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comments.xml" ContentType="application/vnd.openxmlformats-officedocument.wordprocessingml.comment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webSettings.xml" ContentType="application/vnd.openxmlformats-officedocument.wordprocessingml.webSetting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4" Type="http://schemas.openxmlformats.org/officeDocument/2006/relationships/extended-properties" Target="docProps/app.xml"/><Relationship Id="rId3" Type="http://schemas.openxmlformats.org/package/2006/relationships/metadata/core-properties" Target="docProps/core.xml"/><Relationship Id="rId5" Type="http://schemas.openxmlformats.org/officeDocument/2006/relationships/custom-properties" Target="docProps/custom.xml"/></Relationships>
</file>

<file path=word/document.xml><?xml version="1.0" encoding="utf-8"?>
<w:document xmlns:w="http://schemas.openxmlformats.org/wordprocessingml/2006/main" xmlns:m="http://schemas.openxmlformats.org/officeDocument/2006/math" xmlns:r="http://schemas.openxmlformats.org/officeDocument/2006/relationships" xmlns:o="urn:schemas-microsoft-com:office:office" xmlns:v="urn:schemas-microsoft-com:vml" xmlns:w10="urn:schemas-microsoft-com:office:word" xmlns:a="http://schemas.openxmlformats.org/drawingml/2006/main" xmlns:pic="http://schemas.openxmlformats.org/drawingml/2006/picture" xmlns:wp="http://schemas.openxmlformats.org/drawingml/2006/wordprocessingDrawing">
  <w:body>
    <w:p>
      <w:pPr>
        <w:spacing w:before="0" w:after="0" w:line="240" w:lineRule="auto"/>
        <w:jc w:val="center"/>
      </w:pPr>
      <w:r>
        <w:drawing>
          <wp:inline>
            <wp:extent cx="6236208" cy="8074152"/>
            <wp:docPr id="734" name="Picture 734" descr="Image: image1.png"/>
            <wp:cNvGraphicFramePr>
              <a:graphicFrameLocks noChangeAspect="1"/>
            </wp:cNvGraphicFramePr>
            <a:graphic>
              <a:graphicData uri="http://schemas.openxmlformats.org/drawingml/2006/picture">
                <pic:pic>
                  <pic:nvPicPr>
                    <pic:cNvPr id="0" name="Introduction_to_Python_Ceteris_LAB_Cover.png"/>
                    <pic:cNvPicPr/>
                  </pic:nvPicPr>
                  <pic:blipFill>
                    <a:blip r:embed="rId9"/>
                    <a:stretch>
                      <a:fillRect/>
                    </a:stretch>
                  </pic:blipFill>
                  <pic:spPr>
                    <a:xfrm>
                      <a:off x="0" y="0"/>
                      <a:ext cx="6236208" cy="8074152"/>
                    </a:xfrm>
                    <a:prstGeom prst="rect"/>
                  </pic:spPr>
                </pic:pic>
              </a:graphicData>
            </a:graphic>
          </wp:inline>
        </w:drawing>
        <w:br w:type="page"/>
      </w:r>
    </w:p>
    <w:bookmarkStart w:id="24" w:name="publication-information"/>
    <w:p>
      <w:pPr>
        <w:pStyle w:val="Heading1"/>
        <w:keepNext/>
        <w:pageBreakBefore w:val="0"/>
      </w:pPr>
      <w:r>
        <w:rPr>
          <w:rFonts w:ascii="Noto Sans" w:hAnsi="Noto Sans" w:eastAsia="Noto Sans" w:cs="Noto Sans"/>
          <w:b/>
          <w:color w:val="0A2342"/>
          <w:sz w:val="43"/>
        </w:rPr>
        <w:t xml:space="preserve">Publication Information</w:t>
      </w:r>
    </w:p>
    <w:p>
      <w:pPr>
        <w:pStyle w:val="FirstParagraph"/>
      </w:pPr>
      <w:r>
        <w:drawing>
          <wp:inline>
            <wp:extent cx="2933700" cy="1651083"/>
            <wp:effectExtent b="0" l="0" r="0" t="0"/>
            <wp:docPr descr="Image: rId20.png" title="" id="21" name="Picture"/>
            <a:graphic>
              <a:graphicData uri="http://schemas.openxmlformats.org/drawingml/2006/picture">
                <pic:pic>
                  <pic:nvPicPr>
                    <pic:cNvPr descr="assets/logo/Ceteris_LAB_Logo.png" id="22" name="Picture"/>
                    <pic:cNvPicPr>
                      <a:picLocks noChangeArrowheads="1" noChangeAspect="1"/>
                    </pic:cNvPicPr>
                  </pic:nvPicPr>
                  <pic:blipFill>
                    <a:blip r:embed="rId20"/>
                    <a:stretch>
                      <a:fillRect/>
                    </a:stretch>
                  </pic:blipFill>
                  <pic:spPr bwMode="auto">
                    <a:xfrm>
                      <a:off x="0" y="0"/>
                      <a:ext cx="2933700" cy="1651083"/>
                    </a:xfrm>
                    <a:prstGeom prst="rect">
                      <a:avLst/>
                    </a:prstGeom>
                    <a:noFill/>
                    <a:ln w="9525">
                      <a:noFill/>
                      <a:headEnd/>
                      <a:tailEnd/>
                    </a:ln>
                  </pic:spPr>
                </pic:pic>
              </a:graphicData>
            </a:graphic>
          </wp:inline>
        </w:drawing>
      </w:r>
    </w:p>
    <w:p>
      <w:pPr>
        <w:pStyle w:val="BodyText"/>
      </w:pPr>
      <w:r>
        <w:t>Fundamentals of Python for Econometrics</w:t>
        <w:br/>
        <w:t>Economics, Data Analysis, Causal Inference, Forecasting, Machine Learning, and Deep Learning</w:t>
      </w:r>
    </w:p>
    <w:p>
      <w:pPr>
        <w:pStyle w:val="BodyText"/>
      </w:pPr>
      <w:r>
        <w:t xml:space="preserve">Prepared for</w:t>
      </w:r>
      <w:r>
        <w:t xml:space="preserve"> </w:t>
      </w:r>
      <w:r>
        <w:rPr>
          <w:b/>
          <w:bCs/>
        </w:rPr>
        <w:t xml:space="preserve">Ceteris LAB</w:t>
      </w:r>
      <w:r>
        <w:t xml:space="preserve"> </w:t>
      </w:r>
      <w:r>
        <w:t xml:space="preserve">by</w:t>
      </w:r>
      <w:r>
        <w:t xml:space="preserve"> </w:t>
      </w:r>
      <w:r>
        <w:rPr>
          <w:b/>
          <w:bCs/>
        </w:rPr>
        <w:t xml:space="preserve">Mohammad Safavi, Ph.D.</w:t>
      </w:r>
      <w:r>
        <w:br/>
      </w:r>
      <w:r>
        <w:t xml:space="preserve">Version 1.0, August 2026</w:t>
      </w:r>
      <w:r>
        <w:br/>
      </w:r>
      <w:r>
        <w:t xml:space="preserve">Website:</w:t>
      </w:r>
      <w:r>
        <w:t xml:space="preserve"> </w:t>
      </w:r>
      <w:hyperlink r:id="rId23">
        <w:r>
          <w:rPr>
            <w:rStyle w:val="Hyperlink"/>
          </w:rPr>
          <w:t xml:space="preserve">https://econometrics.safavim.com/</w:t>
        </w:r>
      </w:hyperlink>
    </w:p>
    <w:p>
      <w:pPr>
        <w:pStyle w:val="BodyText"/>
      </w:pPr>
      <w:r>
        <w:t xml:space="preserve">Copyright © 2026 Mohammad Safavi and Ceteris LAB for original Ceteris LAB text, code, exercises, and figures. No public licence is granted for original Ceteris LAB material unless a separate licence file states otherwise. Third-party materials retain their own rights and licences. The supplied IntroAI materials are credited under CC BY 4.0; source financial-time-series lectures are cited and are not redistributed in this package.</w:t>
      </w:r>
    </w:p>
    <w:p>
      <w:pPr>
        <w:pStyle w:val="BodyText"/>
      </w:pPr>
      <w:r>
        <w:t xml:space="preserve">This publication is an educational resource. Financial, investment, risk, and option-pricing examples are not personalized investment, legal, accounting, or risk-management advice. AI examples are instructional demonstrations and must be verified before consequential use.</w:t>
      </w:r>
    </w:p>
    <w:bookmarkEnd w:id="24"/>
    <w:bookmarkStart w:id="25" w:name="preface"/>
    <w:p>
      <w:pPr>
        <w:pStyle w:val="Heading1"/>
        <w:keepNext/>
        <w:pageBreakBefore/>
      </w:pPr>
      <w:r>
        <w:rPr>
          <w:rFonts w:ascii="Noto Sans" w:hAnsi="Noto Sans" w:eastAsia="Noto Sans" w:cs="Noto Sans"/>
          <w:b/>
          <w:color w:val="0A2342"/>
          <w:sz w:val="43"/>
        </w:rPr>
        <w:t xml:space="preserve">Preface</w:t>
      </w:r>
    </w:p>
    <w:p>
      <w:pPr>
        <w:pStyle w:val="FirstParagraph"/>
      </w:pPr>
      <w:r>
        <w:t xml:space="preserve">Python is now a common language across data analysis, economics, finance, econometrics, and artificial intelligence. That breadth is both its advantage and its trap. A beginner can import a powerful model before learning what the data mean, and an experienced analyst can inherit an attractive notebook whose hidden state makes the result impossible to reproduce. This book therefore treats programming as part of analytical reasoning rather than as a separate technical ornament.</w:t>
      </w:r>
    </w:p>
    <w:p>
      <w:pPr>
        <w:pStyle w:val="BodyText"/>
      </w:pPr>
      <w:r>
        <w:t>The publication begins with variables, collections, control flow, functions, projects, NumPy, pandas, and visualization. It then develops a full econometrics sequence covering regression, inference, endogeneity, instrumental variables, panel data, limited dependent variables, causal inference, and causal machine learning before moving to time series, financial econometrics, machine learning, deep learning, NLP, and AI-assisted research.</w:t>
      </w:r>
    </w:p>
    <w:p>
      <w:pPr>
        <w:pStyle w:val="BodyText"/>
      </w:pPr>
      <w:r>
        <w:t xml:space="preserve">The financial-econometrics spine is adapted and substantially modernized from Ruey S. Tsay’s 2013</w:t>
      </w:r>
      <w:r>
        <w:t xml:space="preserve"> </w:t>
      </w:r>
      <w:r>
        <w:rPr>
          <w:i/>
          <w:iCs/>
        </w:rPr>
        <w:t xml:space="preserve">Analysis of Financial Time Series</w:t>
      </w:r>
      <w:r>
        <w:t xml:space="preserve"> </w:t>
      </w:r>
      <w:r>
        <w:t xml:space="preserve">lecture notes</w:t>
      </w:r>
      <w:r>
        <w:t xml:space="preserve"> </w:t>
      </w:r>
      <w:r>
        <w:t xml:space="preserve">(Tsay 2013)</w:t>
      </w:r>
      <w:r>
        <w:t xml:space="preserve">. The AI spine incorporates selected, legally reusable ideas and datasets from Ali Sharifi-Zarchi and contributors’ ten-session IntroAI repository under CC BY 4.0</w:t>
      </w:r>
      <w:r>
        <w:t xml:space="preserve"> </w:t>
      </w:r>
      <w:r>
        <w:t xml:space="preserve">(Sharifi-Zarchi and contributors 2026)</w:t>
      </w:r>
      <w:r>
        <w:t xml:space="preserve">. Every source figure has been replaced with a new Python-generated visual, and every substantive detected R segment is accounted for in the separate conversion ledger.</w:t>
      </w:r>
    </w:p>
    <w:bookmarkEnd w:id="25"/>
    <w:bookmarkStart w:id="26" w:name="how-to-use-this-book"/>
    <w:p>
      <w:pPr>
        <w:pStyle w:val="Heading1"/>
        <w:keepNext/>
        <w:pageBreakBefore/>
      </w:pPr>
      <w:r>
        <w:rPr>
          <w:rFonts w:ascii="Noto Sans" w:hAnsi="Noto Sans" w:eastAsia="Noto Sans" w:cs="Noto Sans"/>
          <w:b/>
          <w:color w:val="0A2342"/>
          <w:sz w:val="43"/>
        </w:rPr>
        <w:t xml:space="preserve">How to Use This Book</w:t>
      </w:r>
    </w:p>
    <w:p>
      <w:pPr>
        <w:pStyle w:val="FirstParagraph"/>
      </w:pPr>
      <w:r>
        <w:t xml:space="preserve">Each chapter follows the sequence</w:t>
      </w:r>
      <w:r>
        <w:t xml:space="preserve"> </w:t>
      </w:r>
      <w:r>
        <w:rPr>
          <w:b/>
          <w:bCs/>
        </w:rPr>
        <w:t xml:space="preserve">question, concept, Python code, verified output, visual evidence, interpretation, limitation, and practice</w:t>
      </w:r>
      <w:r>
        <w:t xml:space="preserve">. Students new to programming should complete Parts I and II in order. Readers with prior Python experience may begin with Part III, but should review Chapters 7, 10, and 16 because the project uses strict path, validation, and provenance conventions.</w:t>
      </w:r>
    </w:p>
    <w:p>
      <w:pPr>
        <w:pStyle w:val="BodyText"/>
      </w:pPr>
      <w:r>
        <w:t xml:space="preserve">The downloadable source package contains one notebook per chapter. Run notebooks from the project root in numerical order. The student package also includes the frozen datasets that may be legally redistributed, data-retrieval guidance, Python scripts, environment files, and audit reports. Optional advanced sections can be postponed without breaking the core learning path.</w:t>
      </w:r>
    </w:p>
    <w:bookmarkEnd w:id="26"/>
    <w:bookmarkStart w:id="27" w:name="reproducibility-and-ai-use"/>
    <w:p>
      <w:pPr>
        <w:pStyle w:val="Heading1"/>
        <w:keepNext/>
        <w:pageBreakBefore/>
      </w:pPr>
      <w:r>
        <w:rPr>
          <w:rFonts w:ascii="Noto Sans" w:hAnsi="Noto Sans" w:eastAsia="Noto Sans" w:cs="Noto Sans"/>
          <w:b/>
          <w:color w:val="0A2342"/>
          <w:sz w:val="43"/>
        </w:rPr>
        <w:t xml:space="preserve">Reproducibility and AI Use</w:t>
      </w:r>
    </w:p>
    <w:p>
      <w:pPr>
        <w:pStyle w:val="FirstParagraph"/>
      </w:pPr>
      <w:r>
        <w:t xml:space="preserve">All required examples are designed to run without paid APIs. Random examples use documented seeds. External data calls include timeouts and frozen fallbacks where redistribution is permitted. Students may use AI tools to explain errors or propose code, but the submitted analytical work should identify AI assistance, preserve sources, run the code independently, and verify numerical and conceptual claims. A generated citation, coefficient interpretation, or policy claim is not acceptable until it has been checked against evidence.</w:t>
      </w:r>
    </w:p>
    <w:bookmarkEnd w:id="27"/>
    <w:bookmarkStart w:id="28" w:name="list-of-figures"/>
    <w:p>
      <w:pPr>
        <w:pStyle w:val="Heading1"/>
        <w:keepNext/>
        <w:pageBreakBefore/>
      </w:pPr>
      <w:r>
        <w:rPr>
          <w:rFonts w:ascii="Noto Sans" w:hAnsi="Noto Sans" w:eastAsia="Noto Sans" w:cs="Noto Sans"/>
          <w:b/>
          <w:color w:val="0A2342"/>
          <w:sz w:val="43"/>
        </w:rPr>
        <w:t xml:space="preserve">List of Figures</w:t>
      </w:r>
    </w:p>
    <w:p>
      <w:pPr>
        <w:pStyle w:val="Compact"/>
        <w:numPr>
          <w:ilvl w:val="0"/>
          <w:numId w:val="1001"/>
        </w:numPr>
      </w:pPr>
      <w:r>
        <w:t xml:space="preserve">Python connects numerical computing, data management, econometrics, visualization, and artificial intelligence.</w:t>
      </w:r>
    </w:p>
    <w:p>
      <w:pPr>
        <w:pStyle w:val="Compact"/>
        <w:numPr>
          <w:ilvl w:val="0"/>
          <w:numId w:val="1001"/>
        </w:numPr>
      </w:pPr>
      <w:r>
        <w:t xml:space="preserve">The reproducible analysis loop used throughout the book.</w:t>
      </w:r>
    </w:p>
    <w:p>
      <w:pPr>
        <w:pStyle w:val="Compact"/>
        <w:numPr>
          <w:ilvl w:val="0"/>
          <w:numId w:val="1001"/>
        </w:numPr>
      </w:pPr>
      <w:r>
        <w:t xml:space="preserve">Common Python scalar types and example values.</w:t>
      </w:r>
    </w:p>
    <w:p>
      <w:pPr>
        <w:pStyle w:val="Compact"/>
        <w:numPr>
          <w:ilvl w:val="0"/>
          <w:numId w:val="1001"/>
        </w:numPr>
      </w:pPr>
      <w:r>
        <w:t xml:space="preserve">Lists, tuples, dictionaries, and sets encode different structural promises.</w:t>
      </w:r>
    </w:p>
    <w:p>
      <w:pPr>
        <w:pStyle w:val="Compact"/>
        <w:numPr>
          <w:ilvl w:val="0"/>
          <w:numId w:val="1001"/>
        </w:numPr>
      </w:pPr>
      <w:r>
        <w:t xml:space="preserve">Conditional logic and iteration turn a static script into a decision process.</w:t>
      </w:r>
    </w:p>
    <w:p>
      <w:pPr>
        <w:pStyle w:val="Compact"/>
        <w:numPr>
          <w:ilvl w:val="0"/>
          <w:numId w:val="1001"/>
        </w:numPr>
      </w:pPr>
      <w:r>
        <w:t xml:space="preserve">A well-designed function validates inputs, performs one clear task, and returns a documented result.</w:t>
      </w:r>
    </w:p>
    <w:p>
      <w:pPr>
        <w:pStyle w:val="Compact"/>
        <w:numPr>
          <w:ilvl w:val="0"/>
          <w:numId w:val="1001"/>
        </w:numPr>
      </w:pPr>
      <w:r>
        <w:t xml:space="preserve">Recommended project layout using relative paths rather than personal working directories.</w:t>
      </w:r>
    </w:p>
    <w:p>
      <w:pPr>
        <w:pStyle w:val="Compact"/>
        <w:numPr>
          <w:ilvl w:val="0"/>
          <w:numId w:val="1001"/>
        </w:numPr>
      </w:pPr>
      <w:r>
        <w:t xml:space="preserve">A local benchmark comparing element-wise squaring with a Python loop and a NumPy operation.</w:t>
      </w:r>
    </w:p>
    <w:p>
      <w:pPr>
        <w:pStyle w:val="Compact"/>
        <w:numPr>
          <w:ilvl w:val="0"/>
          <w:numId w:val="1001"/>
        </w:numPr>
      </w:pPr>
      <w:r>
        <w:t xml:space="preserve">A DataFrame organizes observations by rows and variables by labelled columns.</w:t>
      </w:r>
    </w:p>
    <w:p>
      <w:pPr>
        <w:pStyle w:val="Compact"/>
        <w:numPr>
          <w:ilvl w:val="0"/>
          <w:numId w:val="1001"/>
        </w:numPr>
      </w:pPr>
      <w:r>
        <w:t xml:space="preserve">A missing-value map helps reveal whether gaps are isolated, clustered, or systematic.</w:t>
      </w:r>
    </w:p>
    <w:p>
      <w:pPr>
        <w:pStyle w:val="Compact"/>
        <w:numPr>
          <w:ilvl w:val="0"/>
          <w:numId w:val="1001"/>
        </w:numPr>
      </w:pPr>
      <w:r>
        <w:t xml:space="preserve">Joining two tables requires explicit keys and duplicate-key diagnostics.</w:t>
      </w:r>
    </w:p>
    <w:p>
      <w:pPr>
        <w:pStyle w:val="Compact"/>
        <w:numPr>
          <w:ilvl w:val="0"/>
          <w:numId w:val="1001"/>
        </w:numPr>
      </w:pPr>
      <w:r>
        <w:t xml:space="preserve">Four common chart forms and the analytical question each answers.</w:t>
      </w:r>
    </w:p>
    <w:p>
      <w:pPr>
        <w:pStyle w:val="Compact"/>
        <w:numPr>
          <w:ilvl w:val="0"/>
          <w:numId w:val="1001"/>
        </w:numPr>
      </w:pPr>
      <w:r>
        <w:t xml:space="preserve">Kernel-density estimates for normal and heavy-tailed samples.</w:t>
      </w:r>
    </w:p>
    <w:p>
      <w:pPr>
        <w:pStyle w:val="Compact"/>
        <w:numPr>
          <w:ilvl w:val="0"/>
          <w:numId w:val="1001"/>
        </w:numPr>
      </w:pPr>
      <w:r>
        <w:t xml:space="preserve">Distribution of 2,500 sample means, each based on 40 observations.</w:t>
      </w:r>
    </w:p>
    <w:p>
      <w:pPr>
        <w:pStyle w:val="Compact"/>
        <w:numPr>
          <w:ilvl w:val="0"/>
          <w:numId w:val="1001"/>
        </w:numPr>
      </w:pPr>
      <w:r>
        <w:t xml:space="preserve">A fitted linear relationship with simulated business data.</w:t>
      </w:r>
    </w:p>
    <w:p>
      <w:pPr>
        <w:pStyle w:val="Compact"/>
        <w:numPr>
          <w:ilvl w:val="0"/>
          <w:numId w:val="1001"/>
        </w:numPr>
      </w:pPr>
      <w:r>
        <w:t xml:space="preserve">Residual plots reveal nonlinearity, changing variance, and distributional departures.</w:t>
      </w:r>
    </w:p>
    <w:p>
      <w:pPr>
        <w:pStyle w:val="Compact"/>
        <w:numPr>
          <w:ilvl w:val="0"/>
          <w:numId w:val="1001"/>
        </w:numPr>
      </w:pPr>
      <w:r>
        <w:t xml:space="preserve">A resilient data-retrieval pipeline validates and caches official observations.</w:t>
      </w:r>
    </w:p>
    <w:p>
      <w:pPr>
        <w:pStyle w:val="Compact"/>
        <w:numPr>
          <w:ilvl w:val="0"/>
          <w:numId w:val="1001"/>
        </w:numPr>
      </w:pPr>
      <w:r>
        <w:t xml:space="preserve">A price-and-volume panel generated from a deterministic financial simulation.</w:t>
      </w:r>
    </w:p>
    <w:p>
      <w:pPr>
        <w:pStyle w:val="Compact"/>
        <w:numPr>
          <w:ilvl w:val="0"/>
          <w:numId w:val="1001"/>
        </w:numPr>
      </w:pPr>
      <w:r>
        <w:t xml:space="preserve">Simulated returns display volatility clustering and heavier tails than a normal benchmark.</w:t>
      </w:r>
    </w:p>
    <w:p>
      <w:pPr>
        <w:pStyle w:val="Compact"/>
        <w:numPr>
          <w:ilvl w:val="0"/>
          <w:numId w:val="1001"/>
        </w:numPr>
      </w:pPr>
      <w:r>
        <w:t xml:space="preserve">Autocorrelation and partial autocorrelation summarize lag dependence.</w:t>
      </w:r>
    </w:p>
    <w:p>
      <w:pPr>
        <w:pStyle w:val="Compact"/>
        <w:numPr>
          <w:ilvl w:val="0"/>
          <w:numId w:val="1001"/>
        </w:numPr>
      </w:pPr>
      <w:r>
        <w:t xml:space="preserve">A stationary process fluctuates around a stable distribution; a random walk carries shocks forward.</w:t>
      </w:r>
    </w:p>
    <w:p>
      <w:pPr>
        <w:pStyle w:val="Compact"/>
        <w:numPr>
          <w:ilvl w:val="0"/>
          <w:numId w:val="1001"/>
        </w:numPr>
      </w:pPr>
      <w:r>
        <w:t xml:space="preserve">A model forecast is a distribution, not merely a line.</w:t>
      </w:r>
    </w:p>
    <w:p>
      <w:pPr>
        <w:pStyle w:val="Compact"/>
        <w:numPr>
          <w:ilvl w:val="0"/>
          <w:numId w:val="1001"/>
        </w:numPr>
      </w:pPr>
      <w:r>
        <w:t xml:space="preserve">Differencing removes the accumulated component of a random walk.</w:t>
      </w:r>
    </w:p>
    <w:p>
      <w:pPr>
        <w:pStyle w:val="Compact"/>
        <w:numPr>
          <w:ilvl w:val="0"/>
          <w:numId w:val="1001"/>
        </w:numPr>
      </w:pPr>
      <w:r>
        <w:t xml:space="preserve">A monthly series decomposed into observed, trend, seasonal, and irregular components.</w:t>
      </w:r>
    </w:p>
    <w:p>
      <w:pPr>
        <w:pStyle w:val="Compact"/>
        <w:numPr>
          <w:ilvl w:val="0"/>
          <w:numId w:val="1001"/>
        </w:numPr>
      </w:pPr>
      <w:r>
        <w:t xml:space="preserve">A SARIMA forecast for a synthetic monthly series with yearly seasonality.</w:t>
      </w:r>
    </w:p>
    <w:p>
      <w:pPr>
        <w:pStyle w:val="Compact"/>
        <w:numPr>
          <w:ilvl w:val="0"/>
          <w:numId w:val="1001"/>
        </w:numPr>
      </w:pPr>
      <w:r>
        <w:t xml:space="preserve">A custom educational Gaussian GARCH(1,1) fit to simulated heavy-tailed returns.</w:t>
      </w:r>
    </w:p>
    <w:p>
      <w:pPr>
        <w:pStyle w:val="Compact"/>
        <w:numPr>
          <w:ilvl w:val="0"/>
          <w:numId w:val="1001"/>
        </w:numPr>
      </w:pPr>
      <w:r>
        <w:t xml:space="preserve">Returns may have little linear autocorrelation while squared returns remain serially dependent.</w:t>
      </w:r>
    </w:p>
    <w:p>
      <w:pPr>
        <w:pStyle w:val="Compact"/>
        <w:numPr>
          <w:ilvl w:val="0"/>
          <w:numId w:val="1001"/>
        </w:numPr>
      </w:pPr>
      <w:r>
        <w:t xml:space="preserve">News-impact curves for symmetric and asymmetric volatility models.</w:t>
      </w:r>
    </w:p>
    <w:p>
      <w:pPr>
        <w:pStyle w:val="Compact"/>
        <w:numPr>
          <w:ilvl w:val="0"/>
          <w:numId w:val="1001"/>
        </w:numPr>
      </w:pPr>
      <w:r>
        <w:t xml:space="preserve">Rolling, exponentially weighted, and realized-volatility proxies for the same return series.</w:t>
      </w:r>
    </w:p>
    <w:p>
      <w:pPr>
        <w:pStyle w:val="Compact"/>
        <w:numPr>
          <w:ilvl w:val="0"/>
          <w:numId w:val="1001"/>
        </w:numPr>
      </w:pPr>
      <w:r>
        <w:t xml:space="preserve">Close-to-close, Parkinson, and Garman-Klass volatility estimates from simulated OHLC prices.</w:t>
      </w:r>
    </w:p>
    <w:p>
      <w:pPr>
        <w:pStyle w:val="Compact"/>
        <w:numPr>
          <w:ilvl w:val="0"/>
          <w:numId w:val="1001"/>
        </w:numPr>
      </w:pPr>
      <w:r>
        <w:t xml:space="preserve">A simulated two-regime threshold autoregressive process.</w:t>
      </w:r>
    </w:p>
    <w:p>
      <w:pPr>
        <w:pStyle w:val="Compact"/>
        <w:numPr>
          <w:ilvl w:val="0"/>
          <w:numId w:val="1001"/>
        </w:numPr>
      </w:pPr>
      <w:r>
        <w:t xml:space="preserve">A two-regime Markov model separates periods with different mean and variance patterns.</w:t>
      </w:r>
    </w:p>
    <w:p>
      <w:pPr>
        <w:pStyle w:val="Compact"/>
        <w:numPr>
          <w:ilvl w:val="0"/>
          <w:numId w:val="1001"/>
        </w:numPr>
      </w:pPr>
      <w:r>
        <w:t xml:space="preserve">Ordered models map a latent continuous score into ranked observed categories.</w:t>
      </w:r>
    </w:p>
    <w:p>
      <w:pPr>
        <w:pStyle w:val="Compact"/>
        <w:numPr>
          <w:ilvl w:val="0"/>
          <w:numId w:val="1001"/>
        </w:numPr>
      </w:pPr>
      <w:r>
        <w:t xml:space="preserve">Predicted category probabilities from a fitted ordered-probit model.</w:t>
      </w:r>
    </w:p>
    <w:p>
      <w:pPr>
        <w:pStyle w:val="Compact"/>
        <w:numPr>
          <w:ilvl w:val="0"/>
          <w:numId w:val="1001"/>
        </w:numPr>
      </w:pPr>
      <w:r>
        <w:t xml:space="preserve">Six simulated standard Brownian-motion paths.</w:t>
      </w:r>
    </w:p>
    <w:p>
      <w:pPr>
        <w:pStyle w:val="Compact"/>
        <w:numPr>
          <w:ilvl w:val="0"/>
          <w:numId w:val="1001"/>
        </w:numPr>
      </w:pPr>
      <w:r>
        <w:t xml:space="preserve">Forty one-year geometric Brownian-motion price paths.</w:t>
      </w:r>
    </w:p>
    <w:p>
      <w:pPr>
        <w:pStyle w:val="Compact"/>
        <w:numPr>
          <w:ilvl w:val="0"/>
          <w:numId w:val="1001"/>
        </w:numPr>
      </w:pPr>
      <w:r>
        <w:t xml:space="preserve">European call and put payoffs at a strike of 100.</w:t>
      </w:r>
    </w:p>
    <w:p>
      <w:pPr>
        <w:pStyle w:val="Compact"/>
        <w:numPr>
          <w:ilvl w:val="0"/>
          <w:numId w:val="1001"/>
        </w:numPr>
      </w:pPr>
      <w:r>
        <w:t xml:space="preserve">Black-Scholes European call prices across stock prices and volatilities.</w:t>
      </w:r>
    </w:p>
    <w:p>
      <w:pPr>
        <w:pStyle w:val="Compact"/>
        <w:numPr>
          <w:ilvl w:val="0"/>
          <w:numId w:val="1001"/>
        </w:numPr>
      </w:pPr>
      <w:r>
        <w:t xml:space="preserve">Historical 99% Value at Risk and Expected Shortfall for simulated portfolio losses.</w:t>
      </w:r>
    </w:p>
    <w:p>
      <w:pPr>
        <w:pStyle w:val="Compact"/>
        <w:numPr>
          <w:ilvl w:val="0"/>
          <w:numId w:val="1001"/>
        </w:numPr>
      </w:pPr>
      <w:r>
        <w:t xml:space="preserve">A rolling historical VaR backtest with exceedances marked as exceptions.</w:t>
      </w:r>
    </w:p>
    <w:p>
      <w:pPr>
        <w:pStyle w:val="Compact"/>
        <w:numPr>
          <w:ilvl w:val="0"/>
          <w:numId w:val="1001"/>
        </w:numPr>
      </w:pPr>
      <w:r>
        <w:t xml:space="preserve">Mean excess above candidate thresholds for a heavy-tailed sample.</w:t>
      </w:r>
    </w:p>
    <w:p>
      <w:pPr>
        <w:pStyle w:val="Compact"/>
        <w:numPr>
          <w:ilvl w:val="0"/>
          <w:numId w:val="1001"/>
        </w:numPr>
      </w:pPr>
      <w:r>
        <w:t xml:space="preserve">A synthetic lead-lag relationship peaks near a lag of two periods.</w:t>
      </w:r>
    </w:p>
    <w:p>
      <w:pPr>
        <w:pStyle w:val="Compact"/>
        <w:numPr>
          <w:ilvl w:val="0"/>
          <w:numId w:val="1001"/>
        </w:numPr>
      </w:pPr>
      <w:r>
        <w:t xml:space="preserve">A bivariate VAR forecast for U.S. GDP growth and changes in unemployment.</w:t>
      </w:r>
    </w:p>
    <w:p>
      <w:pPr>
        <w:pStyle w:val="Compact"/>
        <w:numPr>
          <w:ilvl w:val="0"/>
          <w:numId w:val="1001"/>
        </w:numPr>
      </w:pPr>
      <w:r>
        <w:t xml:space="preserve">Illustrative response of GDP growth to the second VAR innovation.</w:t>
      </w:r>
    </w:p>
    <w:p>
      <w:pPr>
        <w:pStyle w:val="Compact"/>
        <w:numPr>
          <w:ilvl w:val="0"/>
          <w:numId w:val="1001"/>
        </w:numPr>
      </w:pPr>
      <w:r>
        <w:t xml:space="preserve">Simulated cointegrated prices and their mean-reverting linear combination.</w:t>
      </w:r>
    </w:p>
    <w:p>
      <w:pPr>
        <w:pStyle w:val="Compact"/>
        <w:numPr>
          <w:ilvl w:val="0"/>
          <w:numId w:val="1001"/>
        </w:numPr>
      </w:pPr>
      <w:r>
        <w:t xml:space="preserve">A cointegration-spread z-score with illustrative entry thresholds.</w:t>
      </w:r>
    </w:p>
    <w:p>
      <w:pPr>
        <w:pStyle w:val="Compact"/>
        <w:numPr>
          <w:ilvl w:val="0"/>
          <w:numId w:val="1001"/>
        </w:numPr>
      </w:pPr>
      <w:r>
        <w:t xml:space="preserve">A simplified relationship among AI, machine learning, deep learning, and generative AI.</w:t>
      </w:r>
    </w:p>
    <w:p>
      <w:pPr>
        <w:pStyle w:val="Compact"/>
        <w:numPr>
          <w:ilvl w:val="0"/>
          <w:numId w:val="1001"/>
        </w:numPr>
      </w:pPr>
      <w:r>
        <w:t xml:space="preserve">An honest predictive workflow isolates the final test set until model choices are complete.</w:t>
      </w:r>
    </w:p>
    <w:p>
      <w:pPr>
        <w:pStyle w:val="Compact"/>
        <w:numPr>
          <w:ilvl w:val="0"/>
          <w:numId w:val="1001"/>
        </w:numPr>
      </w:pPr>
      <w:r>
        <w:t xml:space="preserve">Iterative parameter updates on a simple quadratic loss surface.</w:t>
      </w:r>
    </w:p>
    <w:p>
      <w:pPr>
        <w:pStyle w:val="Compact"/>
        <w:numPr>
          <w:ilvl w:val="0"/>
          <w:numId w:val="1001"/>
        </w:numPr>
      </w:pPr>
      <w:r>
        <w:t xml:space="preserve">Area and listed price in the Tehran housing dataset from the IntroAI course archive.</w:t>
      </w:r>
    </w:p>
    <w:p>
      <w:pPr>
        <w:pStyle w:val="Compact"/>
        <w:numPr>
          <w:ilvl w:val="0"/>
          <w:numId w:val="1001"/>
        </w:numPr>
      </w:pPr>
      <w:r>
        <w:t xml:space="preserve">The linear baseline leaves large, asymmetric errors, motivating feature engineering and robust evaluation.</w:t>
      </w:r>
    </w:p>
    <w:p>
      <w:pPr>
        <w:pStyle w:val="Compact"/>
        <w:numPr>
          <w:ilvl w:val="0"/>
          <w:numId w:val="1001"/>
        </w:numPr>
      </w:pPr>
      <w:r>
        <w:t xml:space="preserve">Survival proportions by sex and passenger class in the IntroAI Titanic dataset.</w:t>
      </w:r>
    </w:p>
    <w:p>
      <w:pPr>
        <w:pStyle w:val="Compact"/>
        <w:numPr>
          <w:ilvl w:val="0"/>
          <w:numId w:val="1001"/>
        </w:numPr>
      </w:pPr>
      <w:r>
        <w:t xml:space="preserve">A depth-three decision tree for the Titanic classification problem.</w:t>
      </w:r>
    </w:p>
    <w:p>
      <w:pPr>
        <w:pStyle w:val="Compact"/>
        <w:numPr>
          <w:ilvl w:val="0"/>
          <w:numId w:val="1001"/>
        </w:numPr>
      </w:pPr>
      <w:r>
        <w:t xml:space="preserve">Out-of-sample confusion matrix for a logistic-regression pipeline.</w:t>
      </w:r>
    </w:p>
    <w:p>
      <w:pPr>
        <w:pStyle w:val="Compact"/>
        <w:numPr>
          <w:ilvl w:val="0"/>
          <w:numId w:val="1001"/>
        </w:numPr>
      </w:pPr>
      <w:r>
        <w:t xml:space="preserve">Precision-recall performance for the Titanic logistic-regression pipeline.</w:t>
      </w:r>
    </w:p>
    <w:p>
      <w:pPr>
        <w:pStyle w:val="Compact"/>
        <w:numPr>
          <w:ilvl w:val="0"/>
          <w:numId w:val="1001"/>
        </w:numPr>
      </w:pPr>
      <w:r>
        <w:t xml:space="preserve">A feed-forward neural network transforms inputs through learned weighted connections.</w:t>
      </w:r>
    </w:p>
    <w:p>
      <w:pPr>
        <w:pStyle w:val="Compact"/>
        <w:numPr>
          <w:ilvl w:val="0"/>
          <w:numId w:val="1001"/>
        </w:numPr>
      </w:pPr>
      <w:r>
        <w:t xml:space="preserve">Training and cross-validation learning curves for a small neural classifier.</w:t>
      </w:r>
    </w:p>
    <w:p>
      <w:pPr>
        <w:pStyle w:val="Compact"/>
        <w:numPr>
          <w:ilvl w:val="0"/>
          <w:numId w:val="1001"/>
        </w:numPr>
      </w:pPr>
      <w:r>
        <w:t xml:space="preserve">A small convolution kernel highlights vertical edges in an image.</w:t>
      </w:r>
    </w:p>
    <w:p>
      <w:pPr>
        <w:pStyle w:val="Compact"/>
        <w:numPr>
          <w:ilvl w:val="0"/>
          <w:numId w:val="1001"/>
        </w:numPr>
      </w:pPr>
      <w:r>
        <w:t xml:space="preserve">Different convolution filters extract different local image structures.</w:t>
      </w:r>
    </w:p>
    <w:p>
      <w:pPr>
        <w:pStyle w:val="Compact"/>
        <w:numPr>
          <w:ilvl w:val="0"/>
          <w:numId w:val="1001"/>
        </w:numPr>
      </w:pPr>
      <w:r>
        <w:t xml:space="preserve">A text-classification workflow from raw language to evaluated predictions.</w:t>
      </w:r>
    </w:p>
    <w:p>
      <w:pPr>
        <w:pStyle w:val="Compact"/>
        <w:numPr>
          <w:ilvl w:val="0"/>
          <w:numId w:val="1001"/>
        </w:numPr>
      </w:pPr>
      <w:r>
        <w:t xml:space="preserve">A two-dimensional projection of TF-IDF document vectors.</w:t>
      </w:r>
    </w:p>
    <w:p>
      <w:pPr>
        <w:pStyle w:val="Compact"/>
        <w:numPr>
          <w:ilvl w:val="0"/>
          <w:numId w:val="1001"/>
        </w:numPr>
      </w:pPr>
      <w:r>
        <w:t xml:space="preserve">A synthetic attention-weight matrix for a five-token sentence.</w:t>
      </w:r>
    </w:p>
    <w:p>
      <w:pPr>
        <w:pStyle w:val="Compact"/>
        <w:numPr>
          <w:ilvl w:val="0"/>
          <w:numId w:val="1001"/>
        </w:numPr>
      </w:pPr>
      <w:r>
        <w:t xml:space="preserve">Retrieval-augmented generation grounds a response in selected source passages.</w:t>
      </w:r>
    </w:p>
    <w:p>
      <w:pPr>
        <w:pStyle w:val="Compact"/>
        <w:numPr>
          <w:ilvl w:val="0"/>
          <w:numId w:val="1001"/>
        </w:numPr>
      </w:pPr>
      <w:r>
        <w:t xml:space="preserve">A tool-using agent alternates planning, action, observation, and verification.</w:t>
      </w:r>
    </w:p>
    <w:p>
      <w:pPr>
        <w:pStyle w:val="Compact"/>
        <w:numPr>
          <w:ilvl w:val="0"/>
          <w:numId w:val="1001"/>
        </w:numPr>
      </w:pPr>
      <w:r>
        <w:t xml:space="preserve">Official Bank of Canada FXUSDCAD observations from 15 April to 15 May 2024.</w:t>
      </w:r>
    </w:p>
    <w:p>
      <w:pPr>
        <w:pStyle w:val="Compact"/>
        <w:numPr>
          <w:ilvl w:val="0"/>
          <w:numId w:val="1001"/>
        </w:numPr>
      </w:pPr>
      <w:r>
        <w:t xml:space="preserve">USD/CAD log changes and a short-window annualized volatility estimate.</w:t>
      </w:r>
    </w:p>
    <w:p>
      <w:pPr>
        <w:pStyle w:val="Compact"/>
        <w:numPr>
          <w:ilvl w:val="0"/>
          <w:numId w:val="1001"/>
        </w:numPr>
      </w:pPr>
      <w:r>
        <w:t xml:space="preserve">Out-of-sample mean absolute error for three illustrative GDP-growth forecasts.</w:t>
      </w:r>
    </w:p>
    <w:p>
      <w:pPr>
        <w:pStyle w:val="Compact"/>
        <w:numPr>
          <w:ilvl w:val="0"/>
          <w:numId w:val="1001"/>
        </w:numPr>
      </w:pPr>
      <w:r>
        <w:t xml:space="preserve">A simulated three-asset opportunity set generated from random portfolio weights.</w:t>
      </w:r>
    </w:p>
    <w:bookmarkEnd w:id="28"/>
    <w:bookmarkStart w:id="29" w:name="list-of-tables"/>
    <w:p>
      <w:pPr>
        <w:pStyle w:val="Heading1"/>
        <w:keepNext/>
        <w:pageBreakBefore/>
      </w:pPr>
      <w:r>
        <w:rPr>
          <w:rFonts w:ascii="Noto Sans" w:hAnsi="Noto Sans" w:eastAsia="Noto Sans" w:cs="Noto Sans"/>
          <w:b/>
          <w:color w:val="0A2342"/>
          <w:sz w:val="43"/>
        </w:rPr>
        <w:t xml:space="preserve">List of Tables</w:t>
      </w:r>
    </w:p>
    <w:p>
      <w:pPr>
        <w:pStyle w:val="Compact"/>
        <w:numPr>
          <w:ilvl w:val="0"/>
          <w:numId w:val="1002"/>
        </w:numPr>
      </w:pPr>
      <w:r>
        <w:t xml:space="preserve">Welcome to Python and Ceteris LAB: chapter reference table.</w:t>
      </w:r>
    </w:p>
    <w:p>
      <w:pPr>
        <w:pStyle w:val="Compact"/>
        <w:numPr>
          <w:ilvl w:val="0"/>
          <w:numId w:val="1002"/>
        </w:numPr>
      </w:pPr>
      <w:r>
        <w:t xml:space="preserve">Installing and Running Python: chapter reference table.</w:t>
      </w:r>
    </w:p>
    <w:p>
      <w:pPr>
        <w:pStyle w:val="Compact"/>
        <w:numPr>
          <w:ilvl w:val="0"/>
          <w:numId w:val="1002"/>
        </w:numPr>
      </w:pPr>
      <w:r>
        <w:t xml:space="preserve">Variables, Values, Types, Strings, and Dates: chapter reference table.</w:t>
      </w:r>
    </w:p>
    <w:p>
      <w:pPr>
        <w:pStyle w:val="Compact"/>
        <w:numPr>
          <w:ilvl w:val="0"/>
          <w:numId w:val="1002"/>
        </w:numPr>
      </w:pPr>
      <w:r>
        <w:t xml:space="preserve">Collections, Indexing, and Slicing: chapter reference table.</w:t>
      </w:r>
    </w:p>
    <w:p>
      <w:pPr>
        <w:pStyle w:val="Compact"/>
        <w:numPr>
          <w:ilvl w:val="0"/>
          <w:numId w:val="1002"/>
        </w:numPr>
      </w:pPr>
      <w:r>
        <w:t xml:space="preserve">Decisions, Loops, and Iteration: chapter reference table.</w:t>
      </w:r>
    </w:p>
    <w:p>
      <w:pPr>
        <w:pStyle w:val="Compact"/>
        <w:numPr>
          <w:ilvl w:val="0"/>
          <w:numId w:val="1002"/>
        </w:numPr>
      </w:pPr>
      <w:r>
        <w:t xml:space="preserve">Functions, Modules, Errors, and Testing: chapter reference table.</w:t>
      </w:r>
    </w:p>
    <w:p>
      <w:pPr>
        <w:pStyle w:val="Compact"/>
        <w:numPr>
          <w:ilvl w:val="0"/>
          <w:numId w:val="1002"/>
        </w:numPr>
      </w:pPr>
      <w:r>
        <w:t xml:space="preserve">Files, Paths, Projects, and Reproducibility: chapter reference table.</w:t>
      </w:r>
    </w:p>
    <w:p>
      <w:pPr>
        <w:pStyle w:val="Compact"/>
        <w:numPr>
          <w:ilvl w:val="0"/>
          <w:numId w:val="1002"/>
        </w:numPr>
      </w:pPr>
      <w:r>
        <w:t xml:space="preserve">NumPy and Numerical Computing: chapter reference table.</w:t>
      </w:r>
    </w:p>
    <w:p>
      <w:pPr>
        <w:pStyle w:val="Compact"/>
        <w:numPr>
          <w:ilvl w:val="0"/>
          <w:numId w:val="1002"/>
        </w:numPr>
      </w:pPr>
      <w:r>
        <w:t xml:space="preserve">pandas Fundamentals: chapter reference table.</w:t>
      </w:r>
    </w:p>
    <w:p>
      <w:pPr>
        <w:pStyle w:val="Compact"/>
        <w:numPr>
          <w:ilvl w:val="0"/>
          <w:numId w:val="1002"/>
        </w:numPr>
      </w:pPr>
      <w:r>
        <w:t xml:space="preserve">Importing, Cleaning, Validating, and Exporting Data: chapter reference table.</w:t>
      </w:r>
    </w:p>
    <w:p>
      <w:pPr>
        <w:pStyle w:val="Compact"/>
        <w:numPr>
          <w:ilvl w:val="0"/>
          <w:numId w:val="1002"/>
        </w:numPr>
      </w:pPr>
      <w:r>
        <w:t xml:space="preserve">Manipulating, Grouping, Reshaping, and Joining Data: chapter reference table.</w:t>
      </w:r>
    </w:p>
    <w:p>
      <w:pPr>
        <w:pStyle w:val="Compact"/>
        <w:numPr>
          <w:ilvl w:val="0"/>
          <w:numId w:val="1002"/>
        </w:numPr>
      </w:pPr>
      <w:r>
        <w:t xml:space="preserve">Data Visualization with Python: chapter reference table.</w:t>
      </w:r>
    </w:p>
    <w:p>
      <w:pPr>
        <w:pStyle w:val="Compact"/>
        <w:numPr>
          <w:ilvl w:val="0"/>
          <w:numId w:val="1002"/>
        </w:numPr>
      </w:pPr>
      <w:r>
        <w:t xml:space="preserve">Descriptive Statistics and Exploratory Data Analysis: chapter reference table.</w:t>
      </w:r>
    </w:p>
    <w:p>
      <w:pPr>
        <w:pStyle w:val="Compact"/>
        <w:numPr>
          <w:ilvl w:val="0"/>
          <w:numId w:val="1002"/>
        </w:numPr>
      </w:pPr>
      <w:r>
        <w:t xml:space="preserve">Probability, Simulation, and Statistical Inference: chapter reference table.</w:t>
      </w:r>
    </w:p>
    <w:p>
      <w:pPr>
        <w:pStyle w:val="Compact"/>
        <w:numPr>
          <w:ilvl w:val="0"/>
          <w:numId w:val="1002"/>
        </w:numPr>
      </w:pPr>
      <w:r>
        <w:t xml:space="preserve">Regression and Econometrics with Python: chapter reference table.</w:t>
      </w:r>
    </w:p>
    <w:p>
      <w:pPr>
        <w:pStyle w:val="Compact"/>
        <w:numPr>
          <w:ilvl w:val="0"/>
          <w:numId w:val="1002"/>
        </w:numPr>
      </w:pPr>
      <w:r>
        <w:t xml:space="preserve">Obtaining Economic and Financial Data: chapter reference table.</w:t>
      </w:r>
    </w:p>
    <w:p>
      <w:pPr>
        <w:pStyle w:val="Compact"/>
        <w:numPr>
          <w:ilvl w:val="0"/>
          <w:numId w:val="1002"/>
        </w:numPr>
      </w:pPr>
      <w:r>
        <w:t xml:space="preserve">Introduction to Time-Series Data: chapter reference table.</w:t>
      </w:r>
    </w:p>
    <w:p>
      <w:pPr>
        <w:pStyle w:val="Compact"/>
        <w:numPr>
          <w:ilvl w:val="0"/>
          <w:numId w:val="1002"/>
        </w:numPr>
      </w:pPr>
      <w:r>
        <w:t xml:space="preserve">Dependence, Stationarity, and White Noise: chapter reference table.</w:t>
      </w:r>
    </w:p>
    <w:p>
      <w:pPr>
        <w:pStyle w:val="Compact"/>
        <w:numPr>
          <w:ilvl w:val="0"/>
          <w:numId w:val="1002"/>
        </w:numPr>
      </w:pPr>
      <w:r>
        <w:t xml:space="preserve">AR, MA, ARMA, ARIMA, and Forecasting: chapter reference table.</w:t>
      </w:r>
    </w:p>
    <w:p>
      <w:pPr>
        <w:pStyle w:val="Compact"/>
        <w:numPr>
          <w:ilvl w:val="0"/>
          <w:numId w:val="1002"/>
        </w:numPr>
      </w:pPr>
      <w:r>
        <w:t xml:space="preserve">Unit Roots, Seasonality, and Dynamic Regression: chapter reference table.</w:t>
      </w:r>
    </w:p>
    <w:p>
      <w:pPr>
        <w:pStyle w:val="Compact"/>
        <w:numPr>
          <w:ilvl w:val="0"/>
          <w:numId w:val="1002"/>
        </w:numPr>
      </w:pPr>
      <w:r>
        <w:t xml:space="preserve">ARCH and GARCH Models: chapter reference table.</w:t>
      </w:r>
    </w:p>
    <w:p>
      <w:pPr>
        <w:pStyle w:val="Compact"/>
        <w:numPr>
          <w:ilvl w:val="0"/>
          <w:numId w:val="1002"/>
        </w:numPr>
      </w:pPr>
      <w:r>
        <w:t xml:space="preserve">Asymmetric, Advanced, and Realized Volatility: chapter reference table.</w:t>
      </w:r>
    </w:p>
    <w:p>
      <w:pPr>
        <w:pStyle w:val="Compact"/>
        <w:numPr>
          <w:ilvl w:val="0"/>
          <w:numId w:val="1002"/>
        </w:numPr>
      </w:pPr>
      <w:r>
        <w:t xml:space="preserve">Nonlinear Models, Regimes, Market Microstructure, and Ordered Outcomes: chapter reference table.</w:t>
      </w:r>
    </w:p>
    <w:p>
      <w:pPr>
        <w:pStyle w:val="Compact"/>
        <w:numPr>
          <w:ilvl w:val="0"/>
          <w:numId w:val="1002"/>
        </w:numPr>
      </w:pPr>
      <w:r>
        <w:t xml:space="preserve">Stochastic Processes and Option Pricing: chapter reference table.</w:t>
      </w:r>
    </w:p>
    <w:p>
      <w:pPr>
        <w:pStyle w:val="Compact"/>
        <w:numPr>
          <w:ilvl w:val="0"/>
          <w:numId w:val="1002"/>
        </w:numPr>
      </w:pPr>
      <w:r>
        <w:t xml:space="preserve">Financial Risk Management: chapter reference table.</w:t>
      </w:r>
    </w:p>
    <w:p>
      <w:pPr>
        <w:pStyle w:val="Compact"/>
        <w:numPr>
          <w:ilvl w:val="0"/>
          <w:numId w:val="1002"/>
        </w:numPr>
      </w:pPr>
      <w:r>
        <w:t xml:space="preserve">Multiple Time Series: chapter reference table.</w:t>
      </w:r>
    </w:p>
    <w:p>
      <w:pPr>
        <w:pStyle w:val="Compact"/>
        <w:numPr>
          <w:ilvl w:val="0"/>
          <w:numId w:val="1002"/>
        </w:numPr>
      </w:pPr>
      <w:r>
        <w:t xml:space="preserve">What Artificial Intelligence and Machine Learning Actually Do: chapter reference table.</w:t>
      </w:r>
    </w:p>
    <w:p>
      <w:pPr>
        <w:pStyle w:val="Compact"/>
        <w:numPr>
          <w:ilvl w:val="0"/>
          <w:numId w:val="1002"/>
        </w:numPr>
      </w:pPr>
      <w:r>
        <w:t xml:space="preserve">The Machine-Learning Workflow and Gradient Descent: chapter reference table.</w:t>
      </w:r>
    </w:p>
    <w:p>
      <w:pPr>
        <w:pStyle w:val="Compact"/>
        <w:numPr>
          <w:ilvl w:val="0"/>
          <w:numId w:val="1002"/>
        </w:numPr>
      </w:pPr>
      <w:r>
        <w:t xml:space="preserve">Applied Regression and Classification Projects: chapter reference table.</w:t>
      </w:r>
    </w:p>
    <w:p>
      <w:pPr>
        <w:pStyle w:val="Compact"/>
        <w:numPr>
          <w:ilvl w:val="0"/>
          <w:numId w:val="1002"/>
        </w:numPr>
      </w:pPr>
      <w:r>
        <w:t xml:space="preserve">Neural Networks and Deep Learning: chapter reference table.</w:t>
      </w:r>
    </w:p>
    <w:p>
      <w:pPr>
        <w:pStyle w:val="Compact"/>
        <w:numPr>
          <w:ilvl w:val="0"/>
          <w:numId w:val="1002"/>
        </w:numPr>
      </w:pPr>
      <w:r>
        <w:t xml:space="preserve">Computer Vision: chapter reference table.</w:t>
      </w:r>
    </w:p>
    <w:p>
      <w:pPr>
        <w:pStyle w:val="Compact"/>
        <w:numPr>
          <w:ilvl w:val="0"/>
          <w:numId w:val="1002"/>
        </w:numPr>
      </w:pPr>
      <w:r>
        <w:t xml:space="preserve">Natural-Language Processing and Transformers: chapter reference table.</w:t>
      </w:r>
    </w:p>
    <w:p>
      <w:pPr>
        <w:pStyle w:val="Compact"/>
        <w:numPr>
          <w:ilvl w:val="0"/>
          <w:numId w:val="1002"/>
        </w:numPr>
      </w:pPr>
      <w:r>
        <w:t xml:space="preserve">Language Models, Retrieval, and AI Agents: chapter reference table.</w:t>
      </w:r>
    </w:p>
    <w:p>
      <w:pPr>
        <w:pStyle w:val="Compact"/>
        <w:numPr>
          <w:ilvl w:val="0"/>
          <w:numId w:val="1002"/>
        </w:numPr>
      </w:pPr>
      <w:r>
        <w:t xml:space="preserve">Capstone Projects and Student Portfolio: chapter reference table.</w:t>
      </w:r>
    </w:p>
    <w:bookmarkEnd w:id="29"/>
    <w:bookmarkStart w:id="30" w:name="part-i-python-foundations"/>
    <w:p>
      <w:pPr>
        <w:pStyle w:val="Caption"/>
        <w:pageBreakBefore/>
        <w:keepNext/>
        <w:jc w:val="center"/>
      </w:pPr>
      <w:bookmarkStart w:id="9000" w:name="TOC"/>
      <w:r>
        <w:t>Table of Contents</w:t>
      </w:r>
      <w:bookmarkEnd w:id="9000"/>
    </w:p>
    <w:p>
      <w:pPr>
        <w:pStyle w:val="TOC1"/>
        <w:tabs>
          <w:tab w:val="right" w:leader="dot" w:pos="9360"/>
        </w:tabs>
        <w:keepLines/>
      </w:pPr>
      <w:hyperlink w:anchor="publication-information">
        <w:r>
          <w:rPr>
            <w:rStyle w:val="Hyperlink"/>
          </w:rPr>
          <w:t>Publication Information</w:t>
        </w:r>
      </w:hyperlink>
      <w:r>
        <w:tab/>
      </w:r>
      <w:fldSimple w:instr="PAGEREF publication-information \h" w:dirty="false">
        <w:r>
          <w:t>1</w:t>
        </w:r>
      </w:fldSimple>
    </w:p>
    <w:p>
      <w:pPr>
        <w:pStyle w:val="TOC1"/>
        <w:tabs>
          <w:tab w:val="right" w:leader="dot" w:pos="9360"/>
        </w:tabs>
        <w:keepLines/>
      </w:pPr>
      <w:hyperlink w:anchor="preface">
        <w:r>
          <w:rPr>
            <w:rStyle w:val="Hyperlink"/>
          </w:rPr>
          <w:t>Preface</w:t>
        </w:r>
      </w:hyperlink>
      <w:r>
        <w:tab/>
      </w:r>
      <w:fldSimple w:instr="PAGEREF preface \h" w:dirty="false">
        <w:r>
          <w:t>2</w:t>
        </w:r>
      </w:fldSimple>
    </w:p>
    <w:p>
      <w:pPr>
        <w:pStyle w:val="TOC1"/>
        <w:tabs>
          <w:tab w:val="right" w:leader="dot" w:pos="9360"/>
        </w:tabs>
        <w:keepLines/>
      </w:pPr>
      <w:hyperlink w:anchor="how-to-use-this-book">
        <w:r>
          <w:rPr>
            <w:rStyle w:val="Hyperlink"/>
          </w:rPr>
          <w:t>How to Use This Book</w:t>
        </w:r>
      </w:hyperlink>
      <w:r>
        <w:tab/>
      </w:r>
      <w:fldSimple w:instr="PAGEREF how-to-use-this-book \h" w:dirty="false">
        <w:r>
          <w:t>3</w:t>
        </w:r>
      </w:fldSimple>
    </w:p>
    <w:p>
      <w:pPr>
        <w:pStyle w:val="TOC1"/>
        <w:tabs>
          <w:tab w:val="right" w:leader="dot" w:pos="9360"/>
        </w:tabs>
        <w:keepLines/>
      </w:pPr>
      <w:hyperlink w:anchor="reproducibility-and-ai-use">
        <w:r>
          <w:rPr>
            <w:rStyle w:val="Hyperlink"/>
          </w:rPr>
          <w:t>Reproducibility and AI Use</w:t>
        </w:r>
      </w:hyperlink>
      <w:r>
        <w:tab/>
      </w:r>
      <w:fldSimple w:instr="PAGEREF reproducibility-and-ai-use \h" w:dirty="false">
        <w:r>
          <w:t>4</w:t>
        </w:r>
      </w:fldSimple>
    </w:p>
    <w:p>
      <w:pPr>
        <w:pStyle w:val="TOC1"/>
        <w:tabs>
          <w:tab w:val="right" w:leader="dot" w:pos="9360"/>
        </w:tabs>
        <w:keepLines/>
      </w:pPr>
      <w:hyperlink w:anchor="list-of-figures">
        <w:r>
          <w:rPr>
            <w:rStyle w:val="Hyperlink"/>
          </w:rPr>
          <w:t>List of Figures</w:t>
        </w:r>
      </w:hyperlink>
      <w:r>
        <w:tab/>
      </w:r>
      <w:fldSimple w:instr="PAGEREF list-of-figures \h" w:dirty="false">
        <w:r>
          <w:t>5</w:t>
        </w:r>
      </w:fldSimple>
    </w:p>
    <w:p>
      <w:pPr>
        <w:pStyle w:val="TOC1"/>
        <w:tabs>
          <w:tab w:val="right" w:leader="dot" w:pos="9360"/>
        </w:tabs>
        <w:keepLines/>
      </w:pPr>
      <w:hyperlink w:anchor="list-of-tables">
        <w:r>
          <w:rPr>
            <w:rStyle w:val="Hyperlink"/>
          </w:rPr>
          <w:t>List of Tables</w:t>
        </w:r>
      </w:hyperlink>
      <w:r>
        <w:tab/>
      </w:r>
      <w:fldSimple w:instr="PAGEREF list-of-tables \h" w:dirty="false">
        <w:r>
          <w:t>8</w:t>
        </w:r>
      </w:fldSimple>
    </w:p>
    <w:p>
      <w:pPr>
        <w:pStyle w:val="TOC1"/>
        <w:tabs>
          <w:tab w:val="right" w:leader="dot" w:pos="9360"/>
        </w:tabs>
        <w:keepLines/>
      </w:pPr>
      <w:hyperlink w:anchor="part-i-python-foundations">
        <w:r>
          <w:rPr>
            <w:rStyle w:val="Hyperlink"/>
          </w:rPr>
          <w:t>Part I: Python Foundations</w:t>
        </w:r>
      </w:hyperlink>
      <w:r>
        <w:tab/>
      </w:r>
      <w:fldSimple w:instr="PAGEREF part-i-python-foundations \h" w:dirty="false">
        <w:r>
          <w:t>22</w:t>
        </w:r>
      </w:fldSimple>
    </w:p>
    <w:p>
      <w:pPr>
        <w:pStyle w:val="TOC1"/>
        <w:tabs>
          <w:tab w:val="right" w:leader="dot" w:pos="9360"/>
        </w:tabs>
        <w:keepLines/>
      </w:pPr>
      <w:hyperlink w:anchor="welcome-to-python-and-ceteris-lab">
        <w:r>
          <w:rPr>
            <w:rStyle w:val="Hyperlink"/>
          </w:rPr>
          <w:t>1 Welcome to Python and Ceteris LAB</w:t>
        </w:r>
      </w:hyperlink>
      <w:r>
        <w:tab/>
      </w:r>
      <w:fldSimple w:instr="PAGEREF welcome-to-python-and-ceteris-lab \h" w:dirty="false">
        <w:r>
          <w:t>23</w:t>
        </w:r>
      </w:fldSimple>
    </w:p>
    <w:p>
      <w:pPr>
        <w:pStyle w:val="TOC2"/>
        <w:tabs>
          <w:tab w:val="right" w:leader="dot" w:pos="9360"/>
        </w:tabs>
        <w:keepLines/>
      </w:pPr>
      <w:hyperlink w:anchor="learning-objectives">
        <w:r>
          <w:rPr>
            <w:rStyle w:val="Hyperlink"/>
          </w:rPr>
          <w:t>1.1 Learning objectives</w:t>
        </w:r>
      </w:hyperlink>
      <w:r>
        <w:tab/>
      </w:r>
      <w:fldSimple w:instr="PAGEREF learning-objectives \h" w:dirty="false">
        <w:r>
          <w:t>23</w:t>
        </w:r>
      </w:fldSimple>
    </w:p>
    <w:p>
      <w:pPr>
        <w:pStyle w:val="TOC2"/>
        <w:tabs>
          <w:tab w:val="right" w:leader="dot" w:pos="9360"/>
        </w:tabs>
        <w:keepLines/>
      </w:pPr>
      <w:hyperlink w:anchor="a-language-and-an-ecosystem">
        <w:r>
          <w:rPr>
            <w:rStyle w:val="Hyperlink"/>
          </w:rPr>
          <w:t>1.2 A language and an ecosystem</w:t>
        </w:r>
      </w:hyperlink>
      <w:r>
        <w:tab/>
      </w:r>
      <w:fldSimple w:instr="PAGEREF a-language-and-an-ecosystem \h" w:dirty="false">
        <w:r>
          <w:t>23</w:t>
        </w:r>
      </w:fldSimple>
    </w:p>
    <w:p>
      <w:pPr>
        <w:pStyle w:val="TOC2"/>
        <w:tabs>
          <w:tab w:val="right" w:leader="dot" w:pos="9360"/>
        </w:tabs>
        <w:keepLines/>
      </w:pPr>
      <w:hyperlink w:anchor="from-question-to-evidence">
        <w:r>
          <w:rPr>
            <w:rStyle w:val="Hyperlink"/>
          </w:rPr>
          <w:t>1.3 From question to evidence</w:t>
        </w:r>
      </w:hyperlink>
      <w:r>
        <w:tab/>
      </w:r>
      <w:fldSimple w:instr="PAGEREF from-question-to-evidence \h" w:dirty="false">
        <w:r>
          <w:t>23</w:t>
        </w:r>
      </w:fldSimple>
    </w:p>
    <w:p>
      <w:pPr>
        <w:pStyle w:val="TOC2"/>
        <w:tabs>
          <w:tab w:val="right" w:leader="dot" w:pos="9360"/>
        </w:tabs>
        <w:keepLines/>
      </w:pPr>
      <w:hyperlink w:anchor="what-python-cannot-decide-for-you">
        <w:r>
          <w:rPr>
            <w:rStyle w:val="Hyperlink"/>
          </w:rPr>
          <w:t>1.4 What Python cannot decide for you</w:t>
        </w:r>
      </w:hyperlink>
      <w:r>
        <w:tab/>
      </w:r>
      <w:fldSimple w:instr="PAGEREF what-python-cannot-decide-for-you \h" w:dirty="false">
        <w:r>
          <w:t>24</w:t>
        </w:r>
      </w:fldSimple>
    </w:p>
    <w:p>
      <w:pPr>
        <w:pStyle w:val="TOC2"/>
        <w:tabs>
          <w:tab w:val="right" w:leader="dot" w:pos="9360"/>
        </w:tabs>
        <w:keepLines/>
      </w:pPr>
      <w:hyperlink w:anchor="python-demonstrations">
        <w:r>
          <w:rPr>
            <w:rStyle w:val="Hyperlink"/>
          </w:rPr>
          <w:t>1.5 Python demonstrations</w:t>
        </w:r>
      </w:hyperlink>
      <w:r>
        <w:tab/>
      </w:r>
      <w:fldSimple w:instr="PAGEREF python-demonstrations \h" w:dirty="false">
        <w:r>
          <w:t>24</w:t>
        </w:r>
      </w:fldSimple>
    </w:p>
    <w:p>
      <w:pPr>
        <w:pStyle w:val="TOC2"/>
        <w:tabs>
          <w:tab w:val="right" w:leader="dot" w:pos="9360"/>
        </w:tabs>
        <w:keepLines/>
      </w:pPr>
      <w:hyperlink w:anchor="guided-practice">
        <w:r>
          <w:rPr>
            <w:rStyle w:val="Hyperlink"/>
          </w:rPr>
          <w:t>1.8 Guided practice</w:t>
        </w:r>
      </w:hyperlink>
      <w:r>
        <w:tab/>
      </w:r>
      <w:fldSimple w:instr="PAGEREF guided-practice \h" w:dirty="false">
        <w:r>
          <w:t>26</w:t>
        </w:r>
      </w:fldSimple>
    </w:p>
    <w:p>
      <w:pPr>
        <w:pStyle w:val="TOC2"/>
        <w:tabs>
          <w:tab w:val="right" w:leader="dot" w:pos="9360"/>
        </w:tabs>
        <w:keepLines/>
      </w:pPr>
      <w:hyperlink w:anchor="exercises">
        <w:r>
          <w:rPr>
            <w:rStyle w:val="Hyperlink"/>
          </w:rPr>
          <w:t>1.9 Exercises</w:t>
        </w:r>
      </w:hyperlink>
      <w:r>
        <w:tab/>
      </w:r>
      <w:fldSimple w:instr="PAGEREF exercises \h" w:dirty="false">
        <w:r>
          <w:t>26</w:t>
        </w:r>
      </w:fldSimple>
    </w:p>
    <w:p>
      <w:pPr>
        <w:pStyle w:val="TOC2"/>
        <w:tabs>
          <w:tab w:val="right" w:leader="dot" w:pos="9360"/>
        </w:tabs>
        <w:keepLines/>
      </w:pPr>
      <w:hyperlink w:anchor="chapter-summary">
        <w:r>
          <w:rPr>
            <w:rStyle w:val="Hyperlink"/>
          </w:rPr>
          <w:t>1.10 Chapter summary</w:t>
        </w:r>
      </w:hyperlink>
      <w:r>
        <w:tab/>
      </w:r>
      <w:fldSimple w:instr="PAGEREF chapter-summary \h" w:dirty="false">
        <w:r>
          <w:t>26</w:t>
        </w:r>
      </w:fldSimple>
    </w:p>
    <w:p>
      <w:pPr>
        <w:pStyle w:val="TOC1"/>
        <w:tabs>
          <w:tab w:val="right" w:leader="dot" w:pos="9360"/>
        </w:tabs>
        <w:keepLines/>
      </w:pPr>
      <w:hyperlink w:anchor="installing-and-running-python">
        <w:r>
          <w:rPr>
            <w:rStyle w:val="Hyperlink"/>
          </w:rPr>
          <w:t>2 Installing and Running Python</w:t>
        </w:r>
      </w:hyperlink>
      <w:r>
        <w:tab/>
      </w:r>
      <w:fldSimple w:instr="PAGEREF installing-and-running-python \h" w:dirty="false">
        <w:r>
          <w:t>27</w:t>
        </w:r>
      </w:fldSimple>
    </w:p>
    <w:p>
      <w:pPr>
        <w:pStyle w:val="TOC2"/>
        <w:tabs>
          <w:tab w:val="right" w:leader="dot" w:pos="9360"/>
        </w:tabs>
        <w:keepLines/>
      </w:pPr>
      <w:hyperlink w:anchor="learning-objectives-1">
        <w:r>
          <w:rPr>
            <w:rStyle w:val="Hyperlink"/>
          </w:rPr>
          <w:t>2.1 Learning objectives</w:t>
        </w:r>
      </w:hyperlink>
      <w:r>
        <w:tab/>
      </w:r>
      <w:fldSimple w:instr="PAGEREF learning-objectives-1 \h" w:dirty="false">
        <w:r>
          <w:t>27</w:t>
        </w:r>
      </w:fldSimple>
    </w:p>
    <w:p>
      <w:pPr>
        <w:pStyle w:val="TOC2"/>
        <w:tabs>
          <w:tab w:val="right" w:leader="dot" w:pos="9360"/>
        </w:tabs>
        <w:keepLines/>
      </w:pPr>
      <w:hyperlink w:anchor="choose-a-path-that-matches-the-learner">
        <w:r>
          <w:rPr>
            <w:rStyle w:val="Hyperlink"/>
          </w:rPr>
          <w:t>2.2 Choose a path that matches the learner</w:t>
        </w:r>
      </w:hyperlink>
      <w:r>
        <w:tab/>
      </w:r>
      <w:fldSimple w:instr="PAGEREF choose-a-path-that-matches-the-learner \h" w:dirty="false">
        <w:r>
          <w:t>27</w:t>
        </w:r>
      </w:fldSimple>
    </w:p>
    <w:p>
      <w:pPr>
        <w:pStyle w:val="TOC2"/>
        <w:tabs>
          <w:tab w:val="right" w:leader="dot" w:pos="9360"/>
        </w:tabs>
        <w:keepLines/>
      </w:pPr>
      <w:hyperlink w:anchor="virtual-environments-are-small-fences">
        <w:r>
          <w:rPr>
            <w:rStyle w:val="Hyperlink"/>
          </w:rPr>
          <w:t>2.3 Virtual environments are small fences</w:t>
        </w:r>
      </w:hyperlink>
      <w:r>
        <w:tab/>
      </w:r>
      <w:fldSimple w:instr="PAGEREF virtual-environments-are-small-fences \h" w:dirty="false">
        <w:r>
          <w:t>27</w:t>
        </w:r>
      </w:fldSimple>
    </w:p>
    <w:p>
      <w:pPr>
        <w:pStyle w:val="TOC2"/>
        <w:tabs>
          <w:tab w:val="right" w:leader="dot" w:pos="9360"/>
        </w:tabs>
        <w:keepLines/>
      </w:pPr>
      <w:hyperlink w:anchor="troubleshooting-by-layers">
        <w:r>
          <w:rPr>
            <w:rStyle w:val="Hyperlink"/>
          </w:rPr>
          <w:t>2.4 Troubleshooting by layers</w:t>
        </w:r>
      </w:hyperlink>
      <w:r>
        <w:tab/>
      </w:r>
      <w:fldSimple w:instr="PAGEREF troubleshooting-by-layers \h" w:dirty="false">
        <w:r>
          <w:t>27</w:t>
        </w:r>
      </w:fldSimple>
    </w:p>
    <w:p>
      <w:pPr>
        <w:pStyle w:val="TOC2"/>
        <w:tabs>
          <w:tab w:val="right" w:leader="dot" w:pos="9360"/>
        </w:tabs>
        <w:keepLines/>
      </w:pPr>
      <w:hyperlink w:anchor="python-demonstrations-1">
        <w:r>
          <w:rPr>
            <w:rStyle w:val="Hyperlink"/>
          </w:rPr>
          <w:t>2.5 Python demonstrations</w:t>
        </w:r>
      </w:hyperlink>
      <w:r>
        <w:tab/>
      </w:r>
      <w:fldSimple w:instr="PAGEREF python-demonstrations-1 \h" w:dirty="false">
        <w:r>
          <w:t>28</w:t>
        </w:r>
      </w:fldSimple>
    </w:p>
    <w:p>
      <w:pPr>
        <w:pStyle w:val="TOC2"/>
        <w:tabs>
          <w:tab w:val="right" w:leader="dot" w:pos="9360"/>
        </w:tabs>
        <w:keepLines/>
      </w:pPr>
      <w:hyperlink w:anchor="guided-practice-1">
        <w:r>
          <w:rPr>
            <w:rStyle w:val="Hyperlink"/>
          </w:rPr>
          <w:t>2.8 Guided practice</w:t>
        </w:r>
      </w:hyperlink>
      <w:r>
        <w:tab/>
      </w:r>
      <w:fldSimple w:instr="PAGEREF guided-practice-1 \h" w:dirty="false">
        <w:r>
          <w:t>30</w:t>
        </w:r>
      </w:fldSimple>
    </w:p>
    <w:p>
      <w:pPr>
        <w:pStyle w:val="TOC2"/>
        <w:tabs>
          <w:tab w:val="right" w:leader="dot" w:pos="9360"/>
        </w:tabs>
        <w:keepLines/>
      </w:pPr>
      <w:hyperlink w:anchor="exercises-1">
        <w:r>
          <w:rPr>
            <w:rStyle w:val="Hyperlink"/>
          </w:rPr>
          <w:t>2.9 Exercises</w:t>
        </w:r>
      </w:hyperlink>
      <w:r>
        <w:tab/>
      </w:r>
      <w:fldSimple w:instr="PAGEREF exercises-1 \h" w:dirty="false">
        <w:r>
          <w:t>30</w:t>
        </w:r>
      </w:fldSimple>
    </w:p>
    <w:p>
      <w:pPr>
        <w:pStyle w:val="TOC2"/>
        <w:tabs>
          <w:tab w:val="right" w:leader="dot" w:pos="9360"/>
        </w:tabs>
        <w:keepLines/>
      </w:pPr>
      <w:hyperlink w:anchor="chapter-summary-1">
        <w:r>
          <w:rPr>
            <w:rStyle w:val="Hyperlink"/>
          </w:rPr>
          <w:t>2.10 Chapter summary</w:t>
        </w:r>
      </w:hyperlink>
      <w:r>
        <w:tab/>
      </w:r>
      <w:fldSimple w:instr="PAGEREF chapter-summary-1 \h" w:dirty="false">
        <w:r>
          <w:t>30</w:t>
        </w:r>
      </w:fldSimple>
    </w:p>
    <w:p>
      <w:pPr>
        <w:pStyle w:val="TOC1"/>
        <w:tabs>
          <w:tab w:val="right" w:leader="dot" w:pos="9360"/>
        </w:tabs>
        <w:keepLines/>
      </w:pPr>
      <w:hyperlink w:anchor="variables-values-types-strings-and-dates">
        <w:r>
          <w:rPr>
            <w:rStyle w:val="Hyperlink"/>
          </w:rPr>
          <w:t>3 Variables, Values, Types, Strings, and Dates</w:t>
        </w:r>
      </w:hyperlink>
      <w:r>
        <w:tab/>
      </w:r>
      <w:fldSimple w:instr="PAGEREF variables-values-types-strings-and-dates \h" w:dirty="false">
        <w:r>
          <w:t>31</w:t>
        </w:r>
      </w:fldSimple>
    </w:p>
    <w:p>
      <w:pPr>
        <w:pStyle w:val="TOC2"/>
        <w:tabs>
          <w:tab w:val="right" w:leader="dot" w:pos="9360"/>
        </w:tabs>
        <w:keepLines/>
      </w:pPr>
      <w:hyperlink w:anchor="learning-objectives-2">
        <w:r>
          <w:rPr>
            <w:rStyle w:val="Hyperlink"/>
          </w:rPr>
          <w:t>3.1 Learning objectives</w:t>
        </w:r>
      </w:hyperlink>
      <w:r>
        <w:tab/>
      </w:r>
      <w:fldSimple w:instr="PAGEREF learning-objectives-2 \h" w:dirty="false">
        <w:r>
          <w:t>31</w:t>
        </w:r>
      </w:fldSimple>
    </w:p>
    <w:p>
      <w:pPr>
        <w:pStyle w:val="TOC2"/>
        <w:tabs>
          <w:tab w:val="right" w:leader="dot" w:pos="9360"/>
        </w:tabs>
        <w:keepLines/>
      </w:pPr>
      <w:hyperlink w:anchor="names-point-to-objects">
        <w:r>
          <w:rPr>
            <w:rStyle w:val="Hyperlink"/>
          </w:rPr>
          <w:t>3.2 Names point to objects</w:t>
        </w:r>
      </w:hyperlink>
      <w:r>
        <w:tab/>
      </w:r>
      <w:fldSimple w:instr="PAGEREF names-point-to-objects \h" w:dirty="false">
        <w:r>
          <w:t>31</w:t>
        </w:r>
      </w:fldSimple>
    </w:p>
    <w:p>
      <w:pPr>
        <w:pStyle w:val="TOC2"/>
        <w:tabs>
          <w:tab w:val="right" w:leader="dot" w:pos="9360"/>
        </w:tabs>
        <w:keepLines/>
      </w:pPr>
      <w:hyperlink w:anchor="types-are-analytical-constraints">
        <w:r>
          <w:rPr>
            <w:rStyle w:val="Hyperlink"/>
          </w:rPr>
          <w:t>3.3 Types are analytical constraints</w:t>
        </w:r>
      </w:hyperlink>
      <w:r>
        <w:tab/>
      </w:r>
      <w:fldSimple w:instr="PAGEREF types-are-analytical-constraints \h" w:dirty="false">
        <w:r>
          <w:t>31</w:t>
        </w:r>
      </w:fldSimple>
    </w:p>
    <w:p>
      <w:pPr>
        <w:pStyle w:val="TOC2"/>
        <w:tabs>
          <w:tab w:val="right" w:leader="dot" w:pos="9360"/>
        </w:tabs>
        <w:keepLines/>
      </w:pPr>
      <w:hyperlink w:anchor="dates-carry-frequency-and-meaning">
        <w:r>
          <w:rPr>
            <w:rStyle w:val="Hyperlink"/>
          </w:rPr>
          <w:t>3.4 Dates carry frequency and meaning</w:t>
        </w:r>
      </w:hyperlink>
      <w:r>
        <w:tab/>
      </w:r>
      <w:fldSimple w:instr="PAGEREF dates-carry-frequency-and-meaning \h" w:dirty="false">
        <w:r>
          <w:t>31</w:t>
        </w:r>
      </w:fldSimple>
    </w:p>
    <w:p>
      <w:pPr>
        <w:pStyle w:val="TOC2"/>
        <w:tabs>
          <w:tab w:val="right" w:leader="dot" w:pos="9360"/>
        </w:tabs>
        <w:keepLines/>
      </w:pPr>
      <w:hyperlink w:anchor="python-demonstrations-2">
        <w:r>
          <w:rPr>
            <w:rStyle w:val="Hyperlink"/>
          </w:rPr>
          <w:t>3.5 Python demonstrations</w:t>
        </w:r>
      </w:hyperlink>
      <w:r>
        <w:tab/>
      </w:r>
      <w:fldSimple w:instr="PAGEREF python-demonstrations-2 \h" w:dirty="false">
        <w:r>
          <w:t>32</w:t>
        </w:r>
      </w:fldSimple>
    </w:p>
    <w:p>
      <w:pPr>
        <w:pStyle w:val="TOC2"/>
        <w:tabs>
          <w:tab w:val="right" w:leader="dot" w:pos="9360"/>
        </w:tabs>
        <w:keepLines/>
      </w:pPr>
      <w:hyperlink w:anchor="guided-practice-2">
        <w:r>
          <w:rPr>
            <w:rStyle w:val="Hyperlink"/>
          </w:rPr>
          <w:t>3.8 Guided practice</w:t>
        </w:r>
      </w:hyperlink>
      <w:r>
        <w:tab/>
      </w:r>
      <w:fldSimple w:instr="PAGEREF guided-practice-2 \h" w:dirty="false">
        <w:r>
          <w:t>34</w:t>
        </w:r>
      </w:fldSimple>
    </w:p>
    <w:p>
      <w:pPr>
        <w:pStyle w:val="TOC2"/>
        <w:tabs>
          <w:tab w:val="right" w:leader="dot" w:pos="9360"/>
        </w:tabs>
        <w:keepLines/>
      </w:pPr>
      <w:hyperlink w:anchor="exercises-2">
        <w:r>
          <w:rPr>
            <w:rStyle w:val="Hyperlink"/>
          </w:rPr>
          <w:t>3.9 Exercises</w:t>
        </w:r>
      </w:hyperlink>
      <w:r>
        <w:tab/>
      </w:r>
      <w:fldSimple w:instr="PAGEREF exercises-2 \h" w:dirty="false">
        <w:r>
          <w:t>34</w:t>
        </w:r>
      </w:fldSimple>
    </w:p>
    <w:p>
      <w:pPr>
        <w:pStyle w:val="TOC2"/>
        <w:tabs>
          <w:tab w:val="right" w:leader="dot" w:pos="9360"/>
        </w:tabs>
        <w:keepLines/>
      </w:pPr>
      <w:hyperlink w:anchor="chapter-summary-2">
        <w:r>
          <w:rPr>
            <w:rStyle w:val="Hyperlink"/>
          </w:rPr>
          <w:t>3.10 Chapter summary</w:t>
        </w:r>
      </w:hyperlink>
      <w:r>
        <w:tab/>
      </w:r>
      <w:fldSimple w:instr="PAGEREF chapter-summary-2 \h" w:dirty="false">
        <w:r>
          <w:t>34</w:t>
        </w:r>
      </w:fldSimple>
    </w:p>
    <w:p>
      <w:pPr>
        <w:pStyle w:val="TOC1"/>
        <w:tabs>
          <w:tab w:val="right" w:leader="dot" w:pos="9360"/>
        </w:tabs>
        <w:keepLines/>
      </w:pPr>
      <w:hyperlink w:anchor="collections-indexing-and-slicing">
        <w:r>
          <w:rPr>
            <w:rStyle w:val="Hyperlink"/>
          </w:rPr>
          <w:t>4 Collections, Indexing, and Slicing</w:t>
        </w:r>
      </w:hyperlink>
      <w:r>
        <w:tab/>
      </w:r>
      <w:fldSimple w:instr="PAGEREF collections-indexing-and-slicing \h" w:dirty="false">
        <w:r>
          <w:t>35</w:t>
        </w:r>
      </w:fldSimple>
    </w:p>
    <w:p>
      <w:pPr>
        <w:pStyle w:val="TOC2"/>
        <w:tabs>
          <w:tab w:val="right" w:leader="dot" w:pos="9360"/>
        </w:tabs>
        <w:keepLines/>
      </w:pPr>
      <w:hyperlink w:anchor="learning-objectives-3">
        <w:r>
          <w:rPr>
            <w:rStyle w:val="Hyperlink"/>
          </w:rPr>
          <w:t>4.1 Learning objectives</w:t>
        </w:r>
      </w:hyperlink>
      <w:r>
        <w:tab/>
      </w:r>
      <w:fldSimple w:instr="PAGEREF learning-objectives-3 \h" w:dirty="false">
        <w:r>
          <w:t>35</w:t>
        </w:r>
      </w:fldSimple>
    </w:p>
    <w:p>
      <w:pPr>
        <w:pStyle w:val="TOC2"/>
        <w:tabs>
          <w:tab w:val="right" w:leader="dot" w:pos="9360"/>
        </w:tabs>
        <w:keepLines/>
      </w:pPr>
      <w:hyperlink w:anchor="four-structures-four-promises">
        <w:r>
          <w:rPr>
            <w:rStyle w:val="Hyperlink"/>
          </w:rPr>
          <w:t>4.2 Four structures, four promises</w:t>
        </w:r>
      </w:hyperlink>
      <w:r>
        <w:tab/>
      </w:r>
      <w:fldSimple w:instr="PAGEREF four-structures-four-promises \h" w:dirty="false">
        <w:r>
          <w:t>35</w:t>
        </w:r>
      </w:fldSimple>
    </w:p>
    <w:p>
      <w:pPr>
        <w:pStyle w:val="TOC2"/>
        <w:tabs>
          <w:tab w:val="right" w:leader="dot" w:pos="9360"/>
        </w:tabs>
        <w:keepLines/>
      </w:pPr>
      <w:hyperlink w:anchor="Xbbfa361e5d124700ea960101af74576c2aeefe7">
        <w:r>
          <w:rPr>
            <w:rStyle w:val="Hyperlink"/>
          </w:rPr>
          <w:t>4.3 Indexing is positional, slicing is a window</w:t>
        </w:r>
      </w:hyperlink>
      <w:r>
        <w:tab/>
      </w:r>
      <w:fldSimple w:instr="PAGEREF Xbbfa361e5d124700ea960101af74576c2aeefe7 \h" w:dirty="false">
        <w:r>
          <w:t>35</w:t>
        </w:r>
      </w:fldSimple>
    </w:p>
    <w:p>
      <w:pPr>
        <w:pStyle w:val="TOC2"/>
        <w:tabs>
          <w:tab w:val="right" w:leader="dot" w:pos="9360"/>
        </w:tabs>
        <w:keepLines/>
      </w:pPr>
      <w:hyperlink w:anchor="comprehensions-compress-a-transformation">
        <w:r>
          <w:rPr>
            <w:rStyle w:val="Hyperlink"/>
          </w:rPr>
          <w:t>4.4 Comprehensions compress a transformation</w:t>
        </w:r>
      </w:hyperlink>
      <w:r>
        <w:tab/>
      </w:r>
      <w:fldSimple w:instr="PAGEREF comprehensions-compress-a-transformation \h" w:dirty="false">
        <w:r>
          <w:t>35</w:t>
        </w:r>
      </w:fldSimple>
    </w:p>
    <w:p>
      <w:pPr>
        <w:pStyle w:val="TOC2"/>
        <w:tabs>
          <w:tab w:val="right" w:leader="dot" w:pos="9360"/>
        </w:tabs>
        <w:keepLines/>
      </w:pPr>
      <w:hyperlink w:anchor="python-demonstrations-3">
        <w:r>
          <w:rPr>
            <w:rStyle w:val="Hyperlink"/>
          </w:rPr>
          <w:t>4.5 Python demonstrations</w:t>
        </w:r>
      </w:hyperlink>
      <w:r>
        <w:tab/>
      </w:r>
      <w:fldSimple w:instr="PAGEREF python-demonstrations-3 \h" w:dirty="false">
        <w:r>
          <w:t>36</w:t>
        </w:r>
      </w:fldSimple>
    </w:p>
    <w:p>
      <w:pPr>
        <w:pStyle w:val="TOC2"/>
        <w:tabs>
          <w:tab w:val="right" w:leader="dot" w:pos="9360"/>
        </w:tabs>
        <w:keepLines/>
      </w:pPr>
      <w:hyperlink w:anchor="guided-practice-3">
        <w:r>
          <w:rPr>
            <w:rStyle w:val="Hyperlink"/>
          </w:rPr>
          <w:t>4.8 Guided practice</w:t>
        </w:r>
      </w:hyperlink>
      <w:r>
        <w:tab/>
      </w:r>
      <w:fldSimple w:instr="PAGEREF guided-practice-3 \h" w:dirty="false">
        <w:r>
          <w:t>38</w:t>
        </w:r>
      </w:fldSimple>
    </w:p>
    <w:p>
      <w:pPr>
        <w:pStyle w:val="TOC2"/>
        <w:tabs>
          <w:tab w:val="right" w:leader="dot" w:pos="9360"/>
        </w:tabs>
        <w:keepLines/>
      </w:pPr>
      <w:hyperlink w:anchor="exercises-3">
        <w:r>
          <w:rPr>
            <w:rStyle w:val="Hyperlink"/>
          </w:rPr>
          <w:t>4.9 Exercises</w:t>
        </w:r>
      </w:hyperlink>
      <w:r>
        <w:tab/>
      </w:r>
      <w:fldSimple w:instr="PAGEREF exercises-3 \h" w:dirty="false">
        <w:r>
          <w:t>38</w:t>
        </w:r>
      </w:fldSimple>
    </w:p>
    <w:p>
      <w:pPr>
        <w:pStyle w:val="TOC2"/>
        <w:tabs>
          <w:tab w:val="right" w:leader="dot" w:pos="9360"/>
        </w:tabs>
        <w:keepLines/>
      </w:pPr>
      <w:hyperlink w:anchor="chapter-summary-3">
        <w:r>
          <w:rPr>
            <w:rStyle w:val="Hyperlink"/>
          </w:rPr>
          <w:t>4.10 Chapter summary</w:t>
        </w:r>
      </w:hyperlink>
      <w:r>
        <w:tab/>
      </w:r>
      <w:fldSimple w:instr="PAGEREF chapter-summary-3 \h" w:dirty="false">
        <w:r>
          <w:t>38</w:t>
        </w:r>
      </w:fldSimple>
    </w:p>
    <w:p>
      <w:pPr>
        <w:pStyle w:val="TOC1"/>
        <w:tabs>
          <w:tab w:val="right" w:leader="dot" w:pos="9360"/>
        </w:tabs>
        <w:keepLines/>
      </w:pPr>
      <w:hyperlink w:anchor="decisions-loops-and-iteration">
        <w:r>
          <w:rPr>
            <w:rStyle w:val="Hyperlink"/>
          </w:rPr>
          <w:t>5 Decisions, Loops, and Iteration</w:t>
        </w:r>
      </w:hyperlink>
      <w:r>
        <w:tab/>
      </w:r>
      <w:fldSimple w:instr="PAGEREF decisions-loops-and-iteration \h" w:dirty="false">
        <w:r>
          <w:t>39</w:t>
        </w:r>
      </w:fldSimple>
    </w:p>
    <w:p>
      <w:pPr>
        <w:pStyle w:val="TOC2"/>
        <w:tabs>
          <w:tab w:val="right" w:leader="dot" w:pos="9360"/>
        </w:tabs>
        <w:keepLines/>
      </w:pPr>
      <w:hyperlink w:anchor="learning-objectives-4">
        <w:r>
          <w:rPr>
            <w:rStyle w:val="Hyperlink"/>
          </w:rPr>
          <w:t>5.1 Learning objectives</w:t>
        </w:r>
      </w:hyperlink>
      <w:r>
        <w:tab/>
      </w:r>
      <w:fldSimple w:instr="PAGEREF learning-objectives-4 \h" w:dirty="false">
        <w:r>
          <w:t>39</w:t>
        </w:r>
      </w:fldSimple>
    </w:p>
    <w:p>
      <w:pPr>
        <w:pStyle w:val="TOC2"/>
        <w:tabs>
          <w:tab w:val="right" w:leader="dot" w:pos="9360"/>
        </w:tabs>
        <w:keepLines/>
      </w:pPr>
      <w:hyperlink w:anchor="branches-encode-explicit-rules">
        <w:r>
          <w:rPr>
            <w:rStyle w:val="Hyperlink"/>
          </w:rPr>
          <w:t>5.2 Branches encode explicit rules</w:t>
        </w:r>
      </w:hyperlink>
      <w:r>
        <w:tab/>
      </w:r>
      <w:fldSimple w:instr="PAGEREF branches-encode-explicit-rules \h" w:dirty="false">
        <w:r>
          <w:t>39</w:t>
        </w:r>
      </w:fldSimple>
    </w:p>
    <w:p>
      <w:pPr>
        <w:pStyle w:val="TOC2"/>
        <w:tabs>
          <w:tab w:val="right" w:leader="dot" w:pos="9360"/>
        </w:tabs>
        <w:keepLines/>
      </w:pPr>
      <w:hyperlink w:anchor="loops-reveal-sequence">
        <w:r>
          <w:rPr>
            <w:rStyle w:val="Hyperlink"/>
          </w:rPr>
          <w:t>5.3 Loops reveal sequence</w:t>
        </w:r>
      </w:hyperlink>
      <w:r>
        <w:tab/>
      </w:r>
      <w:fldSimple w:instr="PAGEREF loops-reveal-sequence \h" w:dirty="false">
        <w:r>
          <w:t>39</w:t>
        </w:r>
      </w:fldSimple>
    </w:p>
    <w:p>
      <w:pPr>
        <w:pStyle w:val="TOC2"/>
        <w:tabs>
          <w:tab w:val="right" w:leader="dot" w:pos="9360"/>
        </w:tabs>
        <w:keepLines/>
      </w:pPr>
      <w:hyperlink w:anchor="vectorization-is-not-a-moral-command">
        <w:r>
          <w:rPr>
            <w:rStyle w:val="Hyperlink"/>
          </w:rPr>
          <w:t>5.4 Vectorization is not a moral command</w:t>
        </w:r>
      </w:hyperlink>
      <w:r>
        <w:tab/>
      </w:r>
      <w:fldSimple w:instr="PAGEREF vectorization-is-not-a-moral-command \h" w:dirty="false">
        <w:r>
          <w:t>39</w:t>
        </w:r>
      </w:fldSimple>
    </w:p>
    <w:p>
      <w:pPr>
        <w:pStyle w:val="TOC2"/>
        <w:tabs>
          <w:tab w:val="right" w:leader="dot" w:pos="9360"/>
        </w:tabs>
        <w:keepLines/>
      </w:pPr>
      <w:hyperlink w:anchor="python-demonstrations-4">
        <w:r>
          <w:rPr>
            <w:rStyle w:val="Hyperlink"/>
          </w:rPr>
          <w:t>5.5 Python demonstrations</w:t>
        </w:r>
      </w:hyperlink>
      <w:r>
        <w:tab/>
      </w:r>
      <w:fldSimple w:instr="PAGEREF python-demonstrations-4 \h" w:dirty="false">
        <w:r>
          <w:t>40</w:t>
        </w:r>
      </w:fldSimple>
    </w:p>
    <w:p>
      <w:pPr>
        <w:pStyle w:val="TOC2"/>
        <w:tabs>
          <w:tab w:val="right" w:leader="dot" w:pos="9360"/>
        </w:tabs>
        <w:keepLines/>
      </w:pPr>
      <w:hyperlink w:anchor="guided-practice-4">
        <w:r>
          <w:rPr>
            <w:rStyle w:val="Hyperlink"/>
          </w:rPr>
          <w:t>5.8 Guided practice</w:t>
        </w:r>
      </w:hyperlink>
      <w:r>
        <w:tab/>
      </w:r>
      <w:fldSimple w:instr="PAGEREF guided-practice-4 \h" w:dirty="false">
        <w:r>
          <w:t>42</w:t>
        </w:r>
      </w:fldSimple>
    </w:p>
    <w:p>
      <w:pPr>
        <w:pStyle w:val="TOC2"/>
        <w:tabs>
          <w:tab w:val="right" w:leader="dot" w:pos="9360"/>
        </w:tabs>
        <w:keepLines/>
      </w:pPr>
      <w:hyperlink w:anchor="exercises-4">
        <w:r>
          <w:rPr>
            <w:rStyle w:val="Hyperlink"/>
          </w:rPr>
          <w:t>5.9 Exercises</w:t>
        </w:r>
      </w:hyperlink>
      <w:r>
        <w:tab/>
      </w:r>
      <w:fldSimple w:instr="PAGEREF exercises-4 \h" w:dirty="false">
        <w:r>
          <w:t>42</w:t>
        </w:r>
      </w:fldSimple>
    </w:p>
    <w:p>
      <w:pPr>
        <w:pStyle w:val="TOC2"/>
        <w:tabs>
          <w:tab w:val="right" w:leader="dot" w:pos="9360"/>
        </w:tabs>
        <w:keepLines/>
      </w:pPr>
      <w:hyperlink w:anchor="chapter-summary-4">
        <w:r>
          <w:rPr>
            <w:rStyle w:val="Hyperlink"/>
          </w:rPr>
          <w:t>5.10 Chapter summary</w:t>
        </w:r>
      </w:hyperlink>
      <w:r>
        <w:tab/>
      </w:r>
      <w:fldSimple w:instr="PAGEREF chapter-summary-4 \h" w:dirty="false">
        <w:r>
          <w:t>42</w:t>
        </w:r>
      </w:fldSimple>
    </w:p>
    <w:p>
      <w:pPr>
        <w:pStyle w:val="TOC1"/>
        <w:tabs>
          <w:tab w:val="right" w:leader="dot" w:pos="9360"/>
        </w:tabs>
        <w:keepLines/>
      </w:pPr>
      <w:hyperlink w:anchor="functions-modules-errors-and-testing">
        <w:r>
          <w:rPr>
            <w:rStyle w:val="Hyperlink"/>
          </w:rPr>
          <w:t>6 Functions, Modules, Errors, and Testing</w:t>
        </w:r>
      </w:hyperlink>
      <w:r>
        <w:tab/>
      </w:r>
      <w:fldSimple w:instr="PAGEREF functions-modules-errors-and-testing \h" w:dirty="false">
        <w:r>
          <w:t>43</w:t>
        </w:r>
      </w:fldSimple>
    </w:p>
    <w:p>
      <w:pPr>
        <w:pStyle w:val="TOC2"/>
        <w:tabs>
          <w:tab w:val="right" w:leader="dot" w:pos="9360"/>
        </w:tabs>
        <w:keepLines/>
      </w:pPr>
      <w:hyperlink w:anchor="learning-objectives-5">
        <w:r>
          <w:rPr>
            <w:rStyle w:val="Hyperlink"/>
          </w:rPr>
          <w:t>6.1 Learning objectives</w:t>
        </w:r>
      </w:hyperlink>
      <w:r>
        <w:tab/>
      </w:r>
      <w:fldSimple w:instr="PAGEREF learning-objectives-5 \h" w:dirty="false">
        <w:r>
          <w:t>43</w:t>
        </w:r>
      </w:fldSimple>
    </w:p>
    <w:p>
      <w:pPr>
        <w:pStyle w:val="TOC2"/>
        <w:tabs>
          <w:tab w:val="right" w:leader="dot" w:pos="9360"/>
        </w:tabs>
        <w:keepLines/>
      </w:pPr>
      <w:hyperlink w:anchor="a-function-is-a-contract">
        <w:r>
          <w:rPr>
            <w:rStyle w:val="Hyperlink"/>
          </w:rPr>
          <w:t>6.2 A function is a contract</w:t>
        </w:r>
      </w:hyperlink>
      <w:r>
        <w:tab/>
      </w:r>
      <w:fldSimple w:instr="PAGEREF a-function-is-a-contract \h" w:dirty="false">
        <w:r>
          <w:t>43</w:t>
        </w:r>
      </w:fldSimple>
    </w:p>
    <w:p>
      <w:pPr>
        <w:pStyle w:val="TOC2"/>
        <w:tabs>
          <w:tab w:val="right" w:leader="dot" w:pos="9360"/>
        </w:tabs>
        <w:keepLines/>
      </w:pPr>
      <w:hyperlink w:anchor="X00691ab96246d7fd9b74ddb77ff976cbdea5aaa">
        <w:r>
          <w:rPr>
            <w:rStyle w:val="Hyperlink"/>
          </w:rPr>
          <w:t>6.3 Errors should explain the violated assumption</w:t>
        </w:r>
      </w:hyperlink>
      <w:r>
        <w:tab/>
      </w:r>
      <w:fldSimple w:instr="PAGEREF X00691ab96246d7fd9b74ddb77ff976cbdea5aaa \h" w:dirty="false">
        <w:r>
          <w:t>43</w:t>
        </w:r>
      </w:fldSimple>
    </w:p>
    <w:p>
      <w:pPr>
        <w:pStyle w:val="TOC2"/>
        <w:tabs>
          <w:tab w:val="right" w:leader="dot" w:pos="9360"/>
        </w:tabs>
        <w:keepLines/>
      </w:pPr>
      <w:hyperlink w:anchor="tests-protect-meaning">
        <w:r>
          <w:rPr>
            <w:rStyle w:val="Hyperlink"/>
          </w:rPr>
          <w:t>6.4 Tests protect meaning</w:t>
        </w:r>
      </w:hyperlink>
      <w:r>
        <w:tab/>
      </w:r>
      <w:fldSimple w:instr="PAGEREF tests-protect-meaning \h" w:dirty="false">
        <w:r>
          <w:t>43</w:t>
        </w:r>
      </w:fldSimple>
    </w:p>
    <w:p>
      <w:pPr>
        <w:pStyle w:val="TOC2"/>
        <w:tabs>
          <w:tab w:val="right" w:leader="dot" w:pos="9360"/>
        </w:tabs>
        <w:keepLines/>
      </w:pPr>
      <w:hyperlink w:anchor="python-demonstrations-5">
        <w:r>
          <w:rPr>
            <w:rStyle w:val="Hyperlink"/>
          </w:rPr>
          <w:t>6.5 Python demonstrations</w:t>
        </w:r>
      </w:hyperlink>
      <w:r>
        <w:tab/>
      </w:r>
      <w:fldSimple w:instr="PAGEREF python-demonstrations-5 \h" w:dirty="false">
        <w:r>
          <w:t>44</w:t>
        </w:r>
      </w:fldSimple>
    </w:p>
    <w:p>
      <w:pPr>
        <w:pStyle w:val="TOC2"/>
        <w:tabs>
          <w:tab w:val="right" w:leader="dot" w:pos="9360"/>
        </w:tabs>
        <w:keepLines/>
      </w:pPr>
      <w:hyperlink w:anchor="guided-practice-5">
        <w:r>
          <w:rPr>
            <w:rStyle w:val="Hyperlink"/>
          </w:rPr>
          <w:t>6.8 Guided practice</w:t>
        </w:r>
      </w:hyperlink>
      <w:r>
        <w:tab/>
      </w:r>
      <w:fldSimple w:instr="PAGEREF guided-practice-5 \h" w:dirty="false">
        <w:r>
          <w:t>45</w:t>
        </w:r>
      </w:fldSimple>
    </w:p>
    <w:p>
      <w:pPr>
        <w:pStyle w:val="TOC2"/>
        <w:tabs>
          <w:tab w:val="right" w:leader="dot" w:pos="9360"/>
        </w:tabs>
        <w:keepLines/>
      </w:pPr>
      <w:hyperlink w:anchor="exercises-5">
        <w:r>
          <w:rPr>
            <w:rStyle w:val="Hyperlink"/>
          </w:rPr>
          <w:t>6.9 Exercises</w:t>
        </w:r>
      </w:hyperlink>
      <w:r>
        <w:tab/>
      </w:r>
      <w:fldSimple w:instr="PAGEREF exercises-5 \h" w:dirty="false">
        <w:r>
          <w:t>46</w:t>
        </w:r>
      </w:fldSimple>
    </w:p>
    <w:p>
      <w:pPr>
        <w:pStyle w:val="TOC2"/>
        <w:tabs>
          <w:tab w:val="right" w:leader="dot" w:pos="9360"/>
        </w:tabs>
        <w:keepLines/>
      </w:pPr>
      <w:hyperlink w:anchor="chapter-summary-5">
        <w:r>
          <w:rPr>
            <w:rStyle w:val="Hyperlink"/>
          </w:rPr>
          <w:t>6.10 Chapter summary</w:t>
        </w:r>
      </w:hyperlink>
      <w:r>
        <w:tab/>
      </w:r>
      <w:fldSimple w:instr="PAGEREF chapter-summary-5 \h" w:dirty="false">
        <w:r>
          <w:t>46</w:t>
        </w:r>
      </w:fldSimple>
    </w:p>
    <w:p>
      <w:pPr>
        <w:pStyle w:val="TOC1"/>
        <w:tabs>
          <w:tab w:val="right" w:leader="dot" w:pos="9360"/>
        </w:tabs>
        <w:keepLines/>
      </w:pPr>
      <w:hyperlink w:anchor="files-paths-projects-and-reproducibility">
        <w:r>
          <w:rPr>
            <w:rStyle w:val="Hyperlink"/>
          </w:rPr>
          <w:t>7 Files, Paths, Projects, and Reproducibility</w:t>
        </w:r>
      </w:hyperlink>
      <w:r>
        <w:tab/>
      </w:r>
      <w:fldSimple w:instr="PAGEREF files-paths-projects-and-reproducibility \h" w:dirty="false">
        <w:r>
          <w:t>47</w:t>
        </w:r>
      </w:fldSimple>
    </w:p>
    <w:p>
      <w:pPr>
        <w:pStyle w:val="TOC2"/>
        <w:tabs>
          <w:tab w:val="right" w:leader="dot" w:pos="9360"/>
        </w:tabs>
        <w:keepLines/>
      </w:pPr>
      <w:hyperlink w:anchor="learning-objectives-6">
        <w:r>
          <w:rPr>
            <w:rStyle w:val="Hyperlink"/>
          </w:rPr>
          <w:t>7.1 Learning objectives</w:t>
        </w:r>
      </w:hyperlink>
      <w:r>
        <w:tab/>
      </w:r>
      <w:fldSimple w:instr="PAGEREF learning-objectives-6 \h" w:dirty="false">
        <w:r>
          <w:t>47</w:t>
        </w:r>
      </w:fldSimple>
    </w:p>
    <w:p>
      <w:pPr>
        <w:pStyle w:val="TOC2"/>
        <w:tabs>
          <w:tab w:val="right" w:leader="dot" w:pos="9360"/>
        </w:tabs>
        <w:keepLines/>
      </w:pPr>
      <w:hyperlink w:anchor="a-project-is-a-map-not-a-pile">
        <w:r>
          <w:rPr>
            <w:rStyle w:val="Hyperlink"/>
          </w:rPr>
          <w:t>7.2 A project is a map, not a pile</w:t>
        </w:r>
      </w:hyperlink>
      <w:r>
        <w:tab/>
      </w:r>
      <w:fldSimple w:instr="PAGEREF a-project-is-a-map-not-a-pile \h" w:dirty="false">
        <w:r>
          <w:t>47</w:t>
        </w:r>
      </w:fldSimple>
    </w:p>
    <w:p>
      <w:pPr>
        <w:pStyle w:val="TOC2"/>
        <w:tabs>
          <w:tab w:val="right" w:leader="dot" w:pos="9360"/>
        </w:tabs>
        <w:keepLines/>
      </w:pPr>
      <w:hyperlink w:anchor="relative-paths-travel">
        <w:r>
          <w:rPr>
            <w:rStyle w:val="Hyperlink"/>
          </w:rPr>
          <w:t>7.3 Relative paths travel</w:t>
        </w:r>
      </w:hyperlink>
      <w:r>
        <w:tab/>
      </w:r>
      <w:fldSimple w:instr="PAGEREF relative-paths-travel \h" w:dirty="false">
        <w:r>
          <w:t>47</w:t>
        </w:r>
      </w:fldSimple>
    </w:p>
    <w:p>
      <w:pPr>
        <w:pStyle w:val="TOC2"/>
        <w:tabs>
          <w:tab w:val="right" w:leader="dot" w:pos="9360"/>
        </w:tabs>
        <w:keepLines/>
      </w:pPr>
      <w:hyperlink w:anchor="reproducibility-includes-provenance">
        <w:r>
          <w:rPr>
            <w:rStyle w:val="Hyperlink"/>
          </w:rPr>
          <w:t>7.4 Reproducibility includes provenance</w:t>
        </w:r>
      </w:hyperlink>
      <w:r>
        <w:tab/>
      </w:r>
      <w:fldSimple w:instr="PAGEREF reproducibility-includes-provenance \h" w:dirty="false">
        <w:r>
          <w:t>47</w:t>
        </w:r>
      </w:fldSimple>
    </w:p>
    <w:p>
      <w:pPr>
        <w:pStyle w:val="TOC2"/>
        <w:tabs>
          <w:tab w:val="right" w:leader="dot" w:pos="9360"/>
        </w:tabs>
        <w:keepLines/>
      </w:pPr>
      <w:hyperlink w:anchor="python-demonstrations-6">
        <w:r>
          <w:rPr>
            <w:rStyle w:val="Hyperlink"/>
          </w:rPr>
          <w:t>7.5 Python demonstrations</w:t>
        </w:r>
      </w:hyperlink>
      <w:r>
        <w:tab/>
      </w:r>
      <w:fldSimple w:instr="PAGEREF python-demonstrations-6 \h" w:dirty="false">
        <w:r>
          <w:t>48</w:t>
        </w:r>
      </w:fldSimple>
    </w:p>
    <w:p>
      <w:pPr>
        <w:pStyle w:val="TOC2"/>
        <w:tabs>
          <w:tab w:val="right" w:leader="dot" w:pos="9360"/>
        </w:tabs>
        <w:keepLines/>
      </w:pPr>
      <w:hyperlink w:anchor="guided-practice-6">
        <w:r>
          <w:rPr>
            <w:rStyle w:val="Hyperlink"/>
          </w:rPr>
          <w:t>7.8 Guided practice</w:t>
        </w:r>
      </w:hyperlink>
      <w:r>
        <w:tab/>
      </w:r>
      <w:fldSimple w:instr="PAGEREF guided-practice-6 \h" w:dirty="false">
        <w:r>
          <w:t>50</w:t>
        </w:r>
      </w:fldSimple>
    </w:p>
    <w:p>
      <w:pPr>
        <w:pStyle w:val="TOC2"/>
        <w:tabs>
          <w:tab w:val="right" w:leader="dot" w:pos="9360"/>
        </w:tabs>
        <w:keepLines/>
      </w:pPr>
      <w:hyperlink w:anchor="exercises-6">
        <w:r>
          <w:rPr>
            <w:rStyle w:val="Hyperlink"/>
          </w:rPr>
          <w:t>7.9 Exercises</w:t>
        </w:r>
      </w:hyperlink>
      <w:r>
        <w:tab/>
      </w:r>
      <w:fldSimple w:instr="PAGEREF exercises-6 \h" w:dirty="false">
        <w:r>
          <w:t>50</w:t>
        </w:r>
      </w:fldSimple>
    </w:p>
    <w:p>
      <w:pPr>
        <w:pStyle w:val="TOC2"/>
        <w:tabs>
          <w:tab w:val="right" w:leader="dot" w:pos="9360"/>
        </w:tabs>
        <w:keepLines/>
      </w:pPr>
      <w:hyperlink w:anchor="chapter-summary-6">
        <w:r>
          <w:rPr>
            <w:rStyle w:val="Hyperlink"/>
          </w:rPr>
          <w:t>7.10 Chapter summary</w:t>
        </w:r>
      </w:hyperlink>
      <w:r>
        <w:tab/>
      </w:r>
      <w:fldSimple w:instr="PAGEREF chapter-summary-6 \h" w:dirty="false">
        <w:r>
          <w:t>50</w:t>
        </w:r>
      </w:fldSimple>
    </w:p>
    <w:p>
      <w:pPr>
        <w:pStyle w:val="TOC1"/>
        <w:tabs>
          <w:tab w:val="right" w:leader="dot" w:pos="9360"/>
        </w:tabs>
        <w:keepLines/>
      </w:pPr>
      <w:hyperlink w:anchor="numpy-and-numerical-computing">
        <w:r>
          <w:rPr>
            <w:rStyle w:val="Hyperlink"/>
          </w:rPr>
          <w:t>8 NumPy and Numerical Computing</w:t>
        </w:r>
      </w:hyperlink>
      <w:r>
        <w:tab/>
      </w:r>
      <w:fldSimple w:instr="PAGEREF numpy-and-numerical-computing \h" w:dirty="false">
        <w:r>
          <w:t>51</w:t>
        </w:r>
      </w:fldSimple>
    </w:p>
    <w:p>
      <w:pPr>
        <w:pStyle w:val="TOC2"/>
        <w:tabs>
          <w:tab w:val="right" w:leader="dot" w:pos="9360"/>
        </w:tabs>
        <w:keepLines/>
      </w:pPr>
      <w:hyperlink w:anchor="learning-objectives-7">
        <w:r>
          <w:rPr>
            <w:rStyle w:val="Hyperlink"/>
          </w:rPr>
          <w:t>8.1 Learning objectives</w:t>
        </w:r>
      </w:hyperlink>
      <w:r>
        <w:tab/>
      </w:r>
      <w:fldSimple w:instr="PAGEREF learning-objectives-7 \h" w:dirty="false">
        <w:r>
          <w:t>51</w:t>
        </w:r>
      </w:fldSimple>
    </w:p>
    <w:p>
      <w:pPr>
        <w:pStyle w:val="TOC2"/>
        <w:tabs>
          <w:tab w:val="right" w:leader="dot" w:pos="9360"/>
        </w:tabs>
        <w:keepLines/>
      </w:pPr>
      <w:hyperlink w:anchor="X7fbd683d57042e9e20581d62f2fbc7ac387e24c">
        <w:r>
          <w:rPr>
            <w:rStyle w:val="Hyperlink"/>
          </w:rPr>
          <w:t>8.2 Arrays are homogeneous numerical structures</w:t>
        </w:r>
      </w:hyperlink>
      <w:r>
        <w:tab/>
      </w:r>
      <w:fldSimple w:instr="PAGEREF X7fbd683d57042e9e20581d62f2fbc7ac387e24c \h" w:dirty="false">
        <w:r>
          <w:t>51</w:t>
        </w:r>
      </w:fldSimple>
    </w:p>
    <w:p>
      <w:pPr>
        <w:pStyle w:val="TOC2"/>
        <w:tabs>
          <w:tab w:val="right" w:leader="dot" w:pos="9360"/>
        </w:tabs>
        <w:keepLines/>
      </w:pPr>
      <w:hyperlink w:anchor="X55dd1f84fd37c17340a338825436b2ec0d9b5fd">
        <w:r>
          <w:rPr>
            <w:rStyle w:val="Hyperlink"/>
          </w:rPr>
          <w:t>8.3 Vectorization states the calculation directly</w:t>
        </w:r>
      </w:hyperlink>
      <w:r>
        <w:tab/>
      </w:r>
      <w:fldSimple w:instr="PAGEREF X55dd1f84fd37c17340a338825436b2ec0d9b5fd \h" w:dirty="false">
        <w:r>
          <w:t>51</w:t>
        </w:r>
      </w:fldSimple>
    </w:p>
    <w:p>
      <w:pPr>
        <w:pStyle w:val="TOC2"/>
        <w:tabs>
          <w:tab w:val="right" w:leader="dot" w:pos="9360"/>
        </w:tabs>
        <w:keepLines/>
      </w:pPr>
      <w:hyperlink w:anchor="X643fa42ad2577c57551f12fcd14dff0cece71cd">
        <w:r>
          <w:rPr>
            <w:rStyle w:val="Hyperlink"/>
          </w:rPr>
          <w:t>8.4 Randomness should be local and reproducible</w:t>
        </w:r>
      </w:hyperlink>
      <w:r>
        <w:tab/>
      </w:r>
      <w:fldSimple w:instr="PAGEREF X643fa42ad2577c57551f12fcd14dff0cece71cd \h" w:dirty="false">
        <w:r>
          <w:t>51</w:t>
        </w:r>
      </w:fldSimple>
    </w:p>
    <w:p>
      <w:pPr>
        <w:pStyle w:val="TOC2"/>
        <w:tabs>
          <w:tab w:val="right" w:leader="dot" w:pos="9360"/>
        </w:tabs>
        <w:keepLines/>
      </w:pPr>
      <w:hyperlink w:anchor="core-equations">
        <w:r>
          <w:rPr>
            <w:rStyle w:val="Hyperlink"/>
          </w:rPr>
          <w:t>8.5 Core equations</w:t>
        </w:r>
      </w:hyperlink>
      <w:r>
        <w:tab/>
      </w:r>
      <w:fldSimple w:instr="PAGEREF core-equations \h" w:dirty="false">
        <w:r>
          <w:t>52</w:t>
        </w:r>
      </w:fldSimple>
    </w:p>
    <w:p>
      <w:pPr>
        <w:pStyle w:val="TOC2"/>
        <w:tabs>
          <w:tab w:val="right" w:leader="dot" w:pos="9360"/>
        </w:tabs>
        <w:keepLines/>
      </w:pPr>
      <w:hyperlink w:anchor="python-demonstrations-7">
        <w:r>
          <w:rPr>
            <w:rStyle w:val="Hyperlink"/>
          </w:rPr>
          <w:t>8.6 Python demonstrations</w:t>
        </w:r>
      </w:hyperlink>
      <w:r>
        <w:tab/>
      </w:r>
      <w:fldSimple w:instr="PAGEREF python-demonstrations-7 \h" w:dirty="false">
        <w:r>
          <w:t>52</w:t>
        </w:r>
      </w:fldSimple>
    </w:p>
    <w:p>
      <w:pPr>
        <w:pStyle w:val="TOC2"/>
        <w:tabs>
          <w:tab w:val="right" w:leader="dot" w:pos="9360"/>
        </w:tabs>
        <w:keepLines/>
      </w:pPr>
      <w:hyperlink w:anchor="guided-practice-7">
        <w:r>
          <w:rPr>
            <w:rStyle w:val="Hyperlink"/>
          </w:rPr>
          <w:t>8.9 Guided practice</w:t>
        </w:r>
      </w:hyperlink>
      <w:r>
        <w:tab/>
      </w:r>
      <w:fldSimple w:instr="PAGEREF guided-practice-7 \h" w:dirty="false">
        <w:r>
          <w:t>54</w:t>
        </w:r>
      </w:fldSimple>
    </w:p>
    <w:p>
      <w:pPr>
        <w:pStyle w:val="TOC2"/>
        <w:tabs>
          <w:tab w:val="right" w:leader="dot" w:pos="9360"/>
        </w:tabs>
        <w:keepLines/>
      </w:pPr>
      <w:hyperlink w:anchor="exercises-7">
        <w:r>
          <w:rPr>
            <w:rStyle w:val="Hyperlink"/>
          </w:rPr>
          <w:t>8.10 Exercises</w:t>
        </w:r>
      </w:hyperlink>
      <w:r>
        <w:tab/>
      </w:r>
      <w:fldSimple w:instr="PAGEREF exercises-7 \h" w:dirty="false">
        <w:r>
          <w:t>54</w:t>
        </w:r>
      </w:fldSimple>
    </w:p>
    <w:p>
      <w:pPr>
        <w:pStyle w:val="TOC2"/>
        <w:tabs>
          <w:tab w:val="right" w:leader="dot" w:pos="9360"/>
        </w:tabs>
        <w:keepLines/>
      </w:pPr>
      <w:hyperlink w:anchor="chapter-summary-7">
        <w:r>
          <w:rPr>
            <w:rStyle w:val="Hyperlink"/>
          </w:rPr>
          <w:t>8.11 Chapter summary</w:t>
        </w:r>
      </w:hyperlink>
      <w:r>
        <w:tab/>
      </w:r>
      <w:fldSimple w:instr="PAGEREF chapter-summary-7 \h" w:dirty="false">
        <w:r>
          <w:t>54</w:t>
        </w:r>
      </w:fldSimple>
    </w:p>
    <w:p>
      <w:pPr>
        <w:pStyle w:val="TOC1"/>
        <w:tabs>
          <w:tab w:val="right" w:leader="dot" w:pos="9360"/>
        </w:tabs>
        <w:keepLines/>
      </w:pPr>
      <w:hyperlink w:anchor="X94dad3b78ee95de4d27cc446b60ca8192f9432e">
        <w:r>
          <w:rPr>
            <w:rStyle w:val="Hyperlink"/>
          </w:rPr>
          <w:t>Part II: Data Analysis, Statistics, and Econometrics</w:t>
        </w:r>
      </w:hyperlink>
      <w:r>
        <w:tab/>
      </w:r>
      <w:fldSimple w:instr="PAGEREF X94dad3b78ee95de4d27cc446b60ca8192f9432e \h" w:dirty="false">
        <w:r>
          <w:t>55</w:t>
        </w:r>
      </w:fldSimple>
    </w:p>
    <w:p>
      <w:pPr>
        <w:pStyle w:val="TOC1"/>
        <w:tabs>
          <w:tab w:val="right" w:leader="dot" w:pos="9360"/>
        </w:tabs>
        <w:keepLines/>
      </w:pPr>
      <w:hyperlink w:anchor="pandas-fundamentals">
        <w:r>
          <w:rPr>
            <w:rStyle w:val="Hyperlink"/>
          </w:rPr>
          <w:t>9 pandas Fundamentals</w:t>
        </w:r>
      </w:hyperlink>
      <w:r>
        <w:tab/>
      </w:r>
      <w:fldSimple w:instr="PAGEREF pandas-fundamentals \h" w:dirty="false">
        <w:r>
          <w:t>56</w:t>
        </w:r>
      </w:fldSimple>
    </w:p>
    <w:p>
      <w:pPr>
        <w:pStyle w:val="TOC2"/>
        <w:tabs>
          <w:tab w:val="right" w:leader="dot" w:pos="9360"/>
        </w:tabs>
        <w:keepLines/>
      </w:pPr>
      <w:hyperlink w:anchor="learning-objectives-8">
        <w:r>
          <w:rPr>
            <w:rStyle w:val="Hyperlink"/>
          </w:rPr>
          <w:t>9.1 Learning objectives</w:t>
        </w:r>
      </w:hyperlink>
      <w:r>
        <w:tab/>
      </w:r>
      <w:fldSimple w:instr="PAGEREF learning-objectives-8 \h" w:dirty="false">
        <w:r>
          <w:t>56</w:t>
        </w:r>
      </w:fldSimple>
    </w:p>
    <w:p>
      <w:pPr>
        <w:pStyle w:val="TOC2"/>
        <w:tabs>
          <w:tab w:val="right" w:leader="dot" w:pos="9360"/>
        </w:tabs>
        <w:keepLines/>
      </w:pPr>
      <w:hyperlink w:anchor="labels-are-part-of-the-data-model">
        <w:r>
          <w:rPr>
            <w:rStyle w:val="Hyperlink"/>
          </w:rPr>
          <w:t>9.2 Labels are part of the data model</w:t>
        </w:r>
      </w:hyperlink>
      <w:r>
        <w:tab/>
      </w:r>
      <w:fldSimple w:instr="PAGEREF labels-are-part-of-the-data-model \h" w:dirty="false">
        <w:r>
          <w:t>56</w:t>
        </w:r>
      </w:fldSimple>
    </w:p>
    <w:p>
      <w:pPr>
        <w:pStyle w:val="TOC2"/>
        <w:tabs>
          <w:tab w:val="right" w:leader="dot" w:pos="9360"/>
        </w:tabs>
        <w:keepLines/>
      </w:pPr>
      <w:hyperlink w:anchor="inspection-comes-before-transformation">
        <w:r>
          <w:rPr>
            <w:rStyle w:val="Hyperlink"/>
          </w:rPr>
          <w:t>9.3 Inspection comes before transformation</w:t>
        </w:r>
      </w:hyperlink>
      <w:r>
        <w:tab/>
      </w:r>
      <w:fldSimple w:instr="PAGEREF inspection-comes-before-transformation \h" w:dirty="false">
        <w:r>
          <w:t>56</w:t>
        </w:r>
      </w:fldSimple>
    </w:p>
    <w:p>
      <w:pPr>
        <w:pStyle w:val="TOC2"/>
        <w:tabs>
          <w:tab w:val="right" w:leader="dot" w:pos="9360"/>
        </w:tabs>
        <w:keepLines/>
      </w:pPr>
      <w:hyperlink w:anchor="selection-should-reveal-intent">
        <w:r>
          <w:rPr>
            <w:rStyle w:val="Hyperlink"/>
          </w:rPr>
          <w:t>9.4 Selection should reveal intent</w:t>
        </w:r>
      </w:hyperlink>
      <w:r>
        <w:tab/>
      </w:r>
      <w:fldSimple w:instr="PAGEREF selection-should-reveal-intent \h" w:dirty="false">
        <w:r>
          <w:t>56</w:t>
        </w:r>
      </w:fldSimple>
    </w:p>
    <w:p>
      <w:pPr>
        <w:pStyle w:val="TOC2"/>
        <w:tabs>
          <w:tab w:val="right" w:leader="dot" w:pos="9360"/>
        </w:tabs>
        <w:keepLines/>
      </w:pPr>
      <w:hyperlink w:anchor="python-demonstrations-8">
        <w:r>
          <w:rPr>
            <w:rStyle w:val="Hyperlink"/>
          </w:rPr>
          <w:t>9.5 Python demonstrations</w:t>
        </w:r>
      </w:hyperlink>
      <w:r>
        <w:tab/>
      </w:r>
      <w:fldSimple w:instr="PAGEREF python-demonstrations-8 \h" w:dirty="false">
        <w:r>
          <w:t>57</w:t>
        </w:r>
      </w:fldSimple>
    </w:p>
    <w:p>
      <w:pPr>
        <w:pStyle w:val="TOC2"/>
        <w:tabs>
          <w:tab w:val="right" w:leader="dot" w:pos="9360"/>
        </w:tabs>
        <w:keepLines/>
      </w:pPr>
      <w:hyperlink w:anchor="guided-practice-8">
        <w:r>
          <w:rPr>
            <w:rStyle w:val="Hyperlink"/>
          </w:rPr>
          <w:t>9.8 Guided practice</w:t>
        </w:r>
      </w:hyperlink>
      <w:r>
        <w:tab/>
      </w:r>
      <w:fldSimple w:instr="PAGEREF guided-practice-8 \h" w:dirty="false">
        <w:r>
          <w:t>58</w:t>
        </w:r>
      </w:fldSimple>
    </w:p>
    <w:p>
      <w:pPr>
        <w:pStyle w:val="TOC2"/>
        <w:tabs>
          <w:tab w:val="right" w:leader="dot" w:pos="9360"/>
        </w:tabs>
        <w:keepLines/>
      </w:pPr>
      <w:hyperlink w:anchor="exercises-8">
        <w:r>
          <w:rPr>
            <w:rStyle w:val="Hyperlink"/>
          </w:rPr>
          <w:t>9.9 Exercises</w:t>
        </w:r>
      </w:hyperlink>
      <w:r>
        <w:tab/>
      </w:r>
      <w:fldSimple w:instr="PAGEREF exercises-8 \h" w:dirty="false">
        <w:r>
          <w:t>59</w:t>
        </w:r>
      </w:fldSimple>
    </w:p>
    <w:p>
      <w:pPr>
        <w:pStyle w:val="TOC2"/>
        <w:tabs>
          <w:tab w:val="right" w:leader="dot" w:pos="9360"/>
        </w:tabs>
        <w:keepLines/>
      </w:pPr>
      <w:hyperlink w:anchor="chapter-summary-8">
        <w:r>
          <w:rPr>
            <w:rStyle w:val="Hyperlink"/>
          </w:rPr>
          <w:t>9.10 Chapter summary</w:t>
        </w:r>
      </w:hyperlink>
      <w:r>
        <w:tab/>
      </w:r>
      <w:fldSimple w:instr="PAGEREF chapter-summary-8 \h" w:dirty="false">
        <w:r>
          <w:t>59</w:t>
        </w:r>
      </w:fldSimple>
    </w:p>
    <w:p>
      <w:pPr>
        <w:pStyle w:val="TOC1"/>
        <w:tabs>
          <w:tab w:val="right" w:leader="dot" w:pos="9360"/>
        </w:tabs>
        <w:keepLines/>
      </w:pPr>
      <w:hyperlink w:anchor="Xce445b41c99a3f33e185fa432a95f2ded6e6df1">
        <w:r>
          <w:rPr>
            <w:rStyle w:val="Hyperlink"/>
          </w:rPr>
          <w:t>10 Importing, Cleaning, Validating, and Exporting Data</w:t>
        </w:r>
      </w:hyperlink>
      <w:r>
        <w:tab/>
      </w:r>
      <w:fldSimple w:instr="PAGEREF Xce445b41c99a3f33e185fa432a95f2ded6e6df1 \h" w:dirty="false">
        <w:r>
          <w:t>60</w:t>
        </w:r>
      </w:fldSimple>
    </w:p>
    <w:p>
      <w:pPr>
        <w:pStyle w:val="TOC2"/>
        <w:tabs>
          <w:tab w:val="right" w:leader="dot" w:pos="9360"/>
        </w:tabs>
        <w:keepLines/>
      </w:pPr>
      <w:hyperlink w:anchor="learning-objectives-9">
        <w:r>
          <w:rPr>
            <w:rStyle w:val="Hyperlink"/>
          </w:rPr>
          <w:t>10.1 Learning objectives</w:t>
        </w:r>
      </w:hyperlink>
      <w:r>
        <w:tab/>
      </w:r>
      <w:fldSimple w:instr="PAGEREF learning-objectives-9 \h" w:dirty="false">
        <w:r>
          <w:t>60</w:t>
        </w:r>
      </w:fldSimple>
    </w:p>
    <w:p>
      <w:pPr>
        <w:pStyle w:val="TOC2"/>
        <w:tabs>
          <w:tab w:val="right" w:leader="dot" w:pos="9360"/>
        </w:tabs>
        <w:keepLines/>
      </w:pPr>
      <w:hyperlink w:anchor="import-is-an-inference-step">
        <w:r>
          <w:rPr>
            <w:rStyle w:val="Hyperlink"/>
          </w:rPr>
          <w:t>10.2 Import is an inference step</w:t>
        </w:r>
      </w:hyperlink>
      <w:r>
        <w:tab/>
      </w:r>
      <w:fldSimple w:instr="PAGEREF import-is-an-inference-step \h" w:dirty="false">
        <w:r>
          <w:t>60</w:t>
        </w:r>
      </w:fldSimple>
    </w:p>
    <w:p>
      <w:pPr>
        <w:pStyle w:val="TOC2"/>
        <w:tabs>
          <w:tab w:val="right" w:leader="dot" w:pos="9360"/>
        </w:tabs>
        <w:keepLines/>
      </w:pPr>
      <w:hyperlink w:anchor="X541cfef08015a621f0cf17f8e173a10cd854248">
        <w:r>
          <w:rPr>
            <w:rStyle w:val="Hyperlink"/>
          </w:rPr>
          <w:t>10.3 Cleaning is a sequence of justified decisions</w:t>
        </w:r>
      </w:hyperlink>
      <w:r>
        <w:tab/>
      </w:r>
      <w:fldSimple w:instr="PAGEREF X541cfef08015a621f0cf17f8e173a10cd854248 \h" w:dirty="false">
        <w:r>
          <w:t>60</w:t>
        </w:r>
      </w:fldSimple>
    </w:p>
    <w:p>
      <w:pPr>
        <w:pStyle w:val="TOC2"/>
        <w:tabs>
          <w:tab w:val="right" w:leader="dot" w:pos="9360"/>
        </w:tabs>
        <w:keepLines/>
      </w:pPr>
      <w:hyperlink w:anchor="a-schema-makes-assumptions-executable">
        <w:r>
          <w:rPr>
            <w:rStyle w:val="Hyperlink"/>
          </w:rPr>
          <w:t>10.4 A schema makes assumptions executable</w:t>
        </w:r>
      </w:hyperlink>
      <w:r>
        <w:tab/>
      </w:r>
      <w:fldSimple w:instr="PAGEREF a-schema-makes-assumptions-executable \h" w:dirty="false">
        <w:r>
          <w:t>60</w:t>
        </w:r>
      </w:fldSimple>
    </w:p>
    <w:p>
      <w:pPr>
        <w:pStyle w:val="TOC2"/>
        <w:tabs>
          <w:tab w:val="right" w:leader="dot" w:pos="9360"/>
        </w:tabs>
        <w:keepLines/>
      </w:pPr>
      <w:hyperlink w:anchor="python-demonstrations-9">
        <w:r>
          <w:rPr>
            <w:rStyle w:val="Hyperlink"/>
          </w:rPr>
          <w:t>10.5 Python demonstrations</w:t>
        </w:r>
      </w:hyperlink>
      <w:r>
        <w:tab/>
      </w:r>
      <w:fldSimple w:instr="PAGEREF python-demonstrations-9 \h" w:dirty="false">
        <w:r>
          <w:t>61</w:t>
        </w:r>
      </w:fldSimple>
    </w:p>
    <w:p>
      <w:pPr>
        <w:pStyle w:val="TOC2"/>
        <w:tabs>
          <w:tab w:val="right" w:leader="dot" w:pos="9360"/>
        </w:tabs>
        <w:keepLines/>
      </w:pPr>
      <w:hyperlink w:anchor="guided-practice-9">
        <w:r>
          <w:rPr>
            <w:rStyle w:val="Hyperlink"/>
          </w:rPr>
          <w:t>10.8 Guided practice</w:t>
        </w:r>
      </w:hyperlink>
      <w:r>
        <w:tab/>
      </w:r>
      <w:fldSimple w:instr="PAGEREF guided-practice-9 \h" w:dirty="false">
        <w:r>
          <w:t>63</w:t>
        </w:r>
      </w:fldSimple>
    </w:p>
    <w:p>
      <w:pPr>
        <w:pStyle w:val="TOC2"/>
        <w:tabs>
          <w:tab w:val="right" w:leader="dot" w:pos="9360"/>
        </w:tabs>
        <w:keepLines/>
      </w:pPr>
      <w:hyperlink w:anchor="exercises-9">
        <w:r>
          <w:rPr>
            <w:rStyle w:val="Hyperlink"/>
          </w:rPr>
          <w:t>10.9 Exercises</w:t>
        </w:r>
      </w:hyperlink>
      <w:r>
        <w:tab/>
      </w:r>
      <w:fldSimple w:instr="PAGEREF exercises-9 \h" w:dirty="false">
        <w:r>
          <w:t>63</w:t>
        </w:r>
      </w:fldSimple>
    </w:p>
    <w:p>
      <w:pPr>
        <w:pStyle w:val="TOC2"/>
        <w:tabs>
          <w:tab w:val="right" w:leader="dot" w:pos="9360"/>
        </w:tabs>
        <w:keepLines/>
      </w:pPr>
      <w:hyperlink w:anchor="chapter-summary-9">
        <w:r>
          <w:rPr>
            <w:rStyle w:val="Hyperlink"/>
          </w:rPr>
          <w:t>10.10 Chapter summary</w:t>
        </w:r>
      </w:hyperlink>
      <w:r>
        <w:tab/>
      </w:r>
      <w:fldSimple w:instr="PAGEREF chapter-summary-9 \h" w:dirty="false">
        <w:r>
          <w:t>63</w:t>
        </w:r>
      </w:fldSimple>
    </w:p>
    <w:p>
      <w:pPr>
        <w:pStyle w:val="TOC1"/>
        <w:tabs>
          <w:tab w:val="right" w:leader="dot" w:pos="9360"/>
        </w:tabs>
        <w:keepLines/>
      </w:pPr>
      <w:hyperlink w:anchor="X1f4bad5ae805f59534c7b2c47785d7bab49fc25">
        <w:r>
          <w:rPr>
            <w:rStyle w:val="Hyperlink"/>
          </w:rPr>
          <w:t>11 Manipulating, Grouping, Reshaping, and Joining Data</w:t>
        </w:r>
      </w:hyperlink>
      <w:r>
        <w:tab/>
      </w:r>
      <w:fldSimple w:instr="PAGEREF X1f4bad5ae805f59534c7b2c47785d7bab49fc25 \h" w:dirty="false">
        <w:r>
          <w:t>64</w:t>
        </w:r>
      </w:fldSimple>
    </w:p>
    <w:p>
      <w:pPr>
        <w:pStyle w:val="TOC2"/>
        <w:tabs>
          <w:tab w:val="right" w:leader="dot" w:pos="9360"/>
        </w:tabs>
        <w:keepLines/>
      </w:pPr>
      <w:hyperlink w:anchor="learning-objectives-10">
        <w:r>
          <w:rPr>
            <w:rStyle w:val="Hyperlink"/>
          </w:rPr>
          <w:t>11.1 Learning objectives</w:t>
        </w:r>
      </w:hyperlink>
      <w:r>
        <w:tab/>
      </w:r>
      <w:fldSimple w:instr="PAGEREF learning-objectives-10 \h" w:dirty="false">
        <w:r>
          <w:t>64</w:t>
        </w:r>
      </w:fldSimple>
    </w:p>
    <w:p>
      <w:pPr>
        <w:pStyle w:val="TOC2"/>
        <w:tabs>
          <w:tab w:val="right" w:leader="dot" w:pos="9360"/>
        </w:tabs>
        <w:keepLines/>
      </w:pPr>
      <w:hyperlink w:anchor="grouping-changes-the-unit-of-analysis">
        <w:r>
          <w:rPr>
            <w:rStyle w:val="Hyperlink"/>
          </w:rPr>
          <w:t>11.2 Grouping changes the unit of analysis</w:t>
        </w:r>
      </w:hyperlink>
      <w:r>
        <w:tab/>
      </w:r>
      <w:fldSimple w:instr="PAGEREF grouping-changes-the-unit-of-analysis \h" w:dirty="false">
        <w:r>
          <w:t>64</w:t>
        </w:r>
      </w:fldSimple>
    </w:p>
    <w:p>
      <w:pPr>
        <w:pStyle w:val="TOC2"/>
        <w:tabs>
          <w:tab w:val="right" w:leader="dot" w:pos="9360"/>
        </w:tabs>
        <w:keepLines/>
      </w:pPr>
      <w:hyperlink w:anchor="X93b036458af61b330ee9b6bdf69b6918a468fa6">
        <w:r>
          <w:rPr>
            <w:rStyle w:val="Hyperlink"/>
          </w:rPr>
          <w:t>11.3 Wide and long are views of the same logic</w:t>
        </w:r>
      </w:hyperlink>
      <w:r>
        <w:tab/>
      </w:r>
      <w:fldSimple w:instr="PAGEREF X93b036458af61b330ee9b6bdf69b6918a468fa6 \h" w:dirty="false">
        <w:r>
          <w:t>64</w:t>
        </w:r>
      </w:fldSimple>
    </w:p>
    <w:p>
      <w:pPr>
        <w:pStyle w:val="TOC2"/>
        <w:tabs>
          <w:tab w:val="right" w:leader="dot" w:pos="9360"/>
        </w:tabs>
        <w:keepLines/>
      </w:pPr>
      <w:hyperlink w:anchor="joins-are-models-of-relationships">
        <w:r>
          <w:rPr>
            <w:rStyle w:val="Hyperlink"/>
          </w:rPr>
          <w:t>11.4 Joins are models of relationships</w:t>
        </w:r>
      </w:hyperlink>
      <w:r>
        <w:tab/>
      </w:r>
      <w:fldSimple w:instr="PAGEREF joins-are-models-of-relationships \h" w:dirty="false">
        <w:r>
          <w:t>64</w:t>
        </w:r>
      </w:fldSimple>
    </w:p>
    <w:p>
      <w:pPr>
        <w:pStyle w:val="TOC2"/>
        <w:tabs>
          <w:tab w:val="right" w:leader="dot" w:pos="9360"/>
        </w:tabs>
        <w:keepLines/>
      </w:pPr>
      <w:hyperlink w:anchor="python-demonstrations-10">
        <w:r>
          <w:rPr>
            <w:rStyle w:val="Hyperlink"/>
          </w:rPr>
          <w:t>11.5 Python demonstrations</w:t>
        </w:r>
      </w:hyperlink>
      <w:r>
        <w:tab/>
      </w:r>
      <w:fldSimple w:instr="PAGEREF python-demonstrations-10 \h" w:dirty="false">
        <w:r>
          <w:t>65</w:t>
        </w:r>
      </w:fldSimple>
    </w:p>
    <w:p>
      <w:pPr>
        <w:pStyle w:val="TOC2"/>
        <w:tabs>
          <w:tab w:val="right" w:leader="dot" w:pos="9360"/>
        </w:tabs>
        <w:keepLines/>
      </w:pPr>
      <w:hyperlink w:anchor="guided-practice-10">
        <w:r>
          <w:rPr>
            <w:rStyle w:val="Hyperlink"/>
          </w:rPr>
          <w:t>11.8 Guided practice</w:t>
        </w:r>
      </w:hyperlink>
      <w:r>
        <w:tab/>
      </w:r>
      <w:fldSimple w:instr="PAGEREF guided-practice-10 \h" w:dirty="false">
        <w:r>
          <w:t>66</w:t>
        </w:r>
      </w:fldSimple>
    </w:p>
    <w:p>
      <w:pPr>
        <w:pStyle w:val="TOC2"/>
        <w:tabs>
          <w:tab w:val="right" w:leader="dot" w:pos="9360"/>
        </w:tabs>
        <w:keepLines/>
      </w:pPr>
      <w:hyperlink w:anchor="exercises-10">
        <w:r>
          <w:rPr>
            <w:rStyle w:val="Hyperlink"/>
          </w:rPr>
          <w:t>11.9 Exercises</w:t>
        </w:r>
      </w:hyperlink>
      <w:r>
        <w:tab/>
      </w:r>
      <w:fldSimple w:instr="PAGEREF exercises-10 \h" w:dirty="false">
        <w:r>
          <w:t>67</w:t>
        </w:r>
      </w:fldSimple>
    </w:p>
    <w:p>
      <w:pPr>
        <w:pStyle w:val="TOC2"/>
        <w:tabs>
          <w:tab w:val="right" w:leader="dot" w:pos="9360"/>
        </w:tabs>
        <w:keepLines/>
      </w:pPr>
      <w:hyperlink w:anchor="chapter-summary-10">
        <w:r>
          <w:rPr>
            <w:rStyle w:val="Hyperlink"/>
          </w:rPr>
          <w:t>11.10 Chapter summary</w:t>
        </w:r>
      </w:hyperlink>
      <w:r>
        <w:tab/>
      </w:r>
      <w:fldSimple w:instr="PAGEREF chapter-summary-10 \h" w:dirty="false">
        <w:r>
          <w:t>67</w:t>
        </w:r>
      </w:fldSimple>
    </w:p>
    <w:p>
      <w:pPr>
        <w:pStyle w:val="TOC1"/>
        <w:tabs>
          <w:tab w:val="right" w:leader="dot" w:pos="9360"/>
        </w:tabs>
        <w:keepLines/>
      </w:pPr>
      <w:hyperlink w:anchor="data-visualization-with-python">
        <w:r>
          <w:rPr>
            <w:rStyle w:val="Hyperlink"/>
          </w:rPr>
          <w:t>12 Data Visualization with Python</w:t>
        </w:r>
      </w:hyperlink>
      <w:r>
        <w:tab/>
      </w:r>
      <w:fldSimple w:instr="PAGEREF data-visualization-with-python \h" w:dirty="false">
        <w:r>
          <w:t>68</w:t>
        </w:r>
      </w:fldSimple>
    </w:p>
    <w:p>
      <w:pPr>
        <w:pStyle w:val="TOC2"/>
        <w:tabs>
          <w:tab w:val="right" w:leader="dot" w:pos="9360"/>
        </w:tabs>
        <w:keepLines/>
      </w:pPr>
      <w:hyperlink w:anchor="learning-objectives-11">
        <w:r>
          <w:rPr>
            <w:rStyle w:val="Hyperlink"/>
          </w:rPr>
          <w:t>12.1 Learning objectives</w:t>
        </w:r>
      </w:hyperlink>
      <w:r>
        <w:tab/>
      </w:r>
      <w:fldSimple w:instr="PAGEREF learning-objectives-11 \h" w:dirty="false">
        <w:r>
          <w:t>68</w:t>
        </w:r>
      </w:fldSimple>
    </w:p>
    <w:p>
      <w:pPr>
        <w:pStyle w:val="TOC2"/>
        <w:tabs>
          <w:tab w:val="right" w:leader="dot" w:pos="9360"/>
        </w:tabs>
        <w:keepLines/>
      </w:pPr>
      <w:hyperlink w:anchor="X6f36c58088c561cdfc9a165aa55b8eb66c0a134">
        <w:r>
          <w:rPr>
            <w:rStyle w:val="Hyperlink"/>
          </w:rPr>
          <w:t>12.2 A chart is an argument with visual grammar</w:t>
        </w:r>
      </w:hyperlink>
      <w:r>
        <w:tab/>
      </w:r>
      <w:fldSimple w:instr="PAGEREF X6f36c58088c561cdfc9a165aa55b8eb66c0a134 \h" w:dirty="false">
        <w:r>
          <w:t>68</w:t>
        </w:r>
      </w:fldSimple>
    </w:p>
    <w:p>
      <w:pPr>
        <w:pStyle w:val="TOC2"/>
        <w:tabs>
          <w:tab w:val="right" w:leader="dot" w:pos="9360"/>
        </w:tabs>
        <w:keepLines/>
      </w:pPr>
      <w:hyperlink w:anchor="labels-protect-meaning">
        <w:r>
          <w:rPr>
            <w:rStyle w:val="Hyperlink"/>
          </w:rPr>
          <w:t>12.3 Labels protect meaning</w:t>
        </w:r>
      </w:hyperlink>
      <w:r>
        <w:tab/>
      </w:r>
      <w:fldSimple w:instr="PAGEREF labels-protect-meaning \h" w:dirty="false">
        <w:r>
          <w:t>68</w:t>
        </w:r>
      </w:fldSimple>
    </w:p>
    <w:p>
      <w:pPr>
        <w:pStyle w:val="TOC2"/>
        <w:tabs>
          <w:tab w:val="right" w:leader="dot" w:pos="9360"/>
        </w:tabs>
        <w:keepLines/>
      </w:pPr>
      <w:hyperlink w:anchor="accessibility-is-part-of-accuracy">
        <w:r>
          <w:rPr>
            <w:rStyle w:val="Hyperlink"/>
          </w:rPr>
          <w:t>12.4 Accessibility is part of accuracy</w:t>
        </w:r>
      </w:hyperlink>
      <w:r>
        <w:tab/>
      </w:r>
      <w:fldSimple w:instr="PAGEREF accessibility-is-part-of-accuracy \h" w:dirty="false">
        <w:r>
          <w:t>68</w:t>
        </w:r>
      </w:fldSimple>
    </w:p>
    <w:p>
      <w:pPr>
        <w:pStyle w:val="TOC2"/>
        <w:tabs>
          <w:tab w:val="right" w:leader="dot" w:pos="9360"/>
        </w:tabs>
        <w:keepLines/>
      </w:pPr>
      <w:hyperlink w:anchor="python-demonstrations-11">
        <w:r>
          <w:rPr>
            <w:rStyle w:val="Hyperlink"/>
          </w:rPr>
          <w:t>12.5 Python demonstrations</w:t>
        </w:r>
      </w:hyperlink>
      <w:r>
        <w:tab/>
      </w:r>
      <w:fldSimple w:instr="PAGEREF python-demonstrations-11 \h" w:dirty="false">
        <w:r>
          <w:t>69</w:t>
        </w:r>
      </w:fldSimple>
    </w:p>
    <w:p>
      <w:pPr>
        <w:pStyle w:val="TOC2"/>
        <w:tabs>
          <w:tab w:val="right" w:leader="dot" w:pos="9360"/>
        </w:tabs>
        <w:keepLines/>
      </w:pPr>
      <w:hyperlink w:anchor="guided-practice-11">
        <w:r>
          <w:rPr>
            <w:rStyle w:val="Hyperlink"/>
          </w:rPr>
          <w:t>12.8 Guided practice</w:t>
        </w:r>
      </w:hyperlink>
      <w:r>
        <w:tab/>
      </w:r>
      <w:fldSimple w:instr="PAGEREF guided-practice-11 \h" w:dirty="false">
        <w:r>
          <w:t>71</w:t>
        </w:r>
      </w:fldSimple>
    </w:p>
    <w:p>
      <w:pPr>
        <w:pStyle w:val="TOC2"/>
        <w:tabs>
          <w:tab w:val="right" w:leader="dot" w:pos="9360"/>
        </w:tabs>
        <w:keepLines/>
      </w:pPr>
      <w:hyperlink w:anchor="exercises-11">
        <w:r>
          <w:rPr>
            <w:rStyle w:val="Hyperlink"/>
          </w:rPr>
          <w:t>12.9 Exercises</w:t>
        </w:r>
      </w:hyperlink>
      <w:r>
        <w:tab/>
      </w:r>
      <w:fldSimple w:instr="PAGEREF exercises-11 \h" w:dirty="false">
        <w:r>
          <w:t>71</w:t>
        </w:r>
      </w:fldSimple>
    </w:p>
    <w:p>
      <w:pPr>
        <w:pStyle w:val="TOC2"/>
        <w:tabs>
          <w:tab w:val="right" w:leader="dot" w:pos="9360"/>
        </w:tabs>
        <w:keepLines/>
      </w:pPr>
      <w:hyperlink w:anchor="chapter-summary-11">
        <w:r>
          <w:rPr>
            <w:rStyle w:val="Hyperlink"/>
          </w:rPr>
          <w:t>12.10 Chapter summary</w:t>
        </w:r>
      </w:hyperlink>
      <w:r>
        <w:tab/>
      </w:r>
      <w:fldSimple w:instr="PAGEREF chapter-summary-11 \h" w:dirty="false">
        <w:r>
          <w:t>71</w:t>
        </w:r>
      </w:fldSimple>
    </w:p>
    <w:p>
      <w:pPr>
        <w:pStyle w:val="TOC1"/>
        <w:tabs>
          <w:tab w:val="right" w:leader="dot" w:pos="9360"/>
        </w:tabs>
        <w:keepLines/>
      </w:pPr>
      <w:hyperlink w:anchor="X275e74359f57141d78c506b409da4c220d08520">
        <w:r>
          <w:rPr>
            <w:rStyle w:val="Hyperlink"/>
          </w:rPr>
          <w:t>13 Descriptive Statistics and Exploratory Data Analysis</w:t>
        </w:r>
      </w:hyperlink>
      <w:r>
        <w:tab/>
      </w:r>
      <w:fldSimple w:instr="PAGEREF X275e74359f57141d78c506b409da4c220d08520 \h" w:dirty="false">
        <w:r>
          <w:t>72</w:t>
        </w:r>
      </w:fldSimple>
    </w:p>
    <w:p>
      <w:pPr>
        <w:pStyle w:val="TOC2"/>
        <w:tabs>
          <w:tab w:val="right" w:leader="dot" w:pos="9360"/>
        </w:tabs>
        <w:keepLines/>
      </w:pPr>
      <w:hyperlink w:anchor="learning-objectives-12">
        <w:r>
          <w:rPr>
            <w:rStyle w:val="Hyperlink"/>
          </w:rPr>
          <w:t>13.1 Learning objectives</w:t>
        </w:r>
      </w:hyperlink>
      <w:r>
        <w:tab/>
      </w:r>
      <w:fldSimple w:instr="PAGEREF learning-objectives-12 \h" w:dirty="false">
        <w:r>
          <w:t>72</w:t>
        </w:r>
      </w:fldSimple>
    </w:p>
    <w:p>
      <w:pPr>
        <w:pStyle w:val="TOC2"/>
        <w:tabs>
          <w:tab w:val="right" w:leader="dot" w:pos="9360"/>
        </w:tabs>
        <w:keepLines/>
      </w:pPr>
      <w:hyperlink w:anchor="X136f4ff67fe44853b5440f77ea2a2e1201597cc">
        <w:r>
          <w:rPr>
            <w:rStyle w:val="Hyperlink"/>
          </w:rPr>
          <w:t>13.2 Location and spread answer different questions</w:t>
        </w:r>
      </w:hyperlink>
      <w:r>
        <w:tab/>
      </w:r>
      <w:fldSimple w:instr="PAGEREF X136f4ff67fe44853b5440f77ea2a2e1201597cc \h" w:dirty="false">
        <w:r>
          <w:t>72</w:t>
        </w:r>
      </w:fldSimple>
    </w:p>
    <w:p>
      <w:pPr>
        <w:pStyle w:val="TOC2"/>
        <w:tabs>
          <w:tab w:val="right" w:leader="dot" w:pos="9360"/>
        </w:tabs>
        <w:keepLines/>
      </w:pPr>
      <w:hyperlink w:anchor="shape-matters-in-finance">
        <w:r>
          <w:rPr>
            <w:rStyle w:val="Hyperlink"/>
          </w:rPr>
          <w:t>13.3 Shape matters in finance</w:t>
        </w:r>
      </w:hyperlink>
      <w:r>
        <w:tab/>
      </w:r>
      <w:fldSimple w:instr="PAGEREF shape-matters-in-finance \h" w:dirty="false">
        <w:r>
          <w:t>72</w:t>
        </w:r>
      </w:fldSimple>
    </w:p>
    <w:p>
      <w:pPr>
        <w:pStyle w:val="TOC2"/>
        <w:tabs>
          <w:tab w:val="right" w:leader="dot" w:pos="9360"/>
        </w:tabs>
        <w:keepLines/>
      </w:pPr>
      <w:hyperlink w:anchor="dependence-is-not-a-single-coefficient">
        <w:r>
          <w:rPr>
            <w:rStyle w:val="Hyperlink"/>
          </w:rPr>
          <w:t>13.4 Dependence is not a single coefficient</w:t>
        </w:r>
      </w:hyperlink>
      <w:r>
        <w:tab/>
      </w:r>
      <w:fldSimple w:instr="PAGEREF dependence-is-not-a-single-coefficient \h" w:dirty="false">
        <w:r>
          <w:t>72</w:t>
        </w:r>
      </w:fldSimple>
    </w:p>
    <w:p>
      <w:pPr>
        <w:pStyle w:val="TOC2"/>
        <w:tabs>
          <w:tab w:val="right" w:leader="dot" w:pos="9360"/>
        </w:tabs>
        <w:keepLines/>
      </w:pPr>
      <w:hyperlink w:anchor="core-equations-1">
        <w:r>
          <w:rPr>
            <w:rStyle w:val="Hyperlink"/>
          </w:rPr>
          <w:t>13.5 Core equations</w:t>
        </w:r>
      </w:hyperlink>
      <w:r>
        <w:tab/>
      </w:r>
      <w:fldSimple w:instr="PAGEREF core-equations-1 \h" w:dirty="false">
        <w:r>
          <w:t>73</w:t>
        </w:r>
      </w:fldSimple>
    </w:p>
    <w:p>
      <w:pPr>
        <w:pStyle w:val="TOC2"/>
        <w:tabs>
          <w:tab w:val="right" w:leader="dot" w:pos="9360"/>
        </w:tabs>
        <w:keepLines/>
      </w:pPr>
      <w:hyperlink w:anchor="python-demonstrations-12">
        <w:r>
          <w:rPr>
            <w:rStyle w:val="Hyperlink"/>
          </w:rPr>
          <w:t>13.6 Python demonstrations</w:t>
        </w:r>
      </w:hyperlink>
      <w:r>
        <w:tab/>
      </w:r>
      <w:fldSimple w:instr="PAGEREF python-demonstrations-12 \h" w:dirty="false">
        <w:r>
          <w:t>73</w:t>
        </w:r>
      </w:fldSimple>
    </w:p>
    <w:p>
      <w:pPr>
        <w:pStyle w:val="TOC2"/>
        <w:tabs>
          <w:tab w:val="right" w:leader="dot" w:pos="9360"/>
        </w:tabs>
        <w:keepLines/>
      </w:pPr>
      <w:hyperlink w:anchor="guided-practice-12">
        <w:r>
          <w:rPr>
            <w:rStyle w:val="Hyperlink"/>
          </w:rPr>
          <w:t>13.9 Guided practice</w:t>
        </w:r>
      </w:hyperlink>
      <w:r>
        <w:tab/>
      </w:r>
      <w:fldSimple w:instr="PAGEREF guided-practice-12 \h" w:dirty="false">
        <w:r>
          <w:t>75</w:t>
        </w:r>
      </w:fldSimple>
    </w:p>
    <w:p>
      <w:pPr>
        <w:pStyle w:val="TOC2"/>
        <w:tabs>
          <w:tab w:val="right" w:leader="dot" w:pos="9360"/>
        </w:tabs>
        <w:keepLines/>
      </w:pPr>
      <w:hyperlink w:anchor="exercises-12">
        <w:r>
          <w:rPr>
            <w:rStyle w:val="Hyperlink"/>
          </w:rPr>
          <w:t>13.10 Exercises</w:t>
        </w:r>
      </w:hyperlink>
      <w:r>
        <w:tab/>
      </w:r>
      <w:fldSimple w:instr="PAGEREF exercises-12 \h" w:dirty="false">
        <w:r>
          <w:t>75</w:t>
        </w:r>
      </w:fldSimple>
    </w:p>
    <w:p>
      <w:pPr>
        <w:pStyle w:val="TOC2"/>
        <w:tabs>
          <w:tab w:val="right" w:leader="dot" w:pos="9360"/>
        </w:tabs>
        <w:keepLines/>
      </w:pPr>
      <w:hyperlink w:anchor="chapter-summary-12">
        <w:r>
          <w:rPr>
            <w:rStyle w:val="Hyperlink"/>
          </w:rPr>
          <w:t>13.11 Chapter summary</w:t>
        </w:r>
      </w:hyperlink>
      <w:r>
        <w:tab/>
      </w:r>
      <w:fldSimple w:instr="PAGEREF chapter-summary-12 \h" w:dirty="false">
        <w:r>
          <w:t>75</w:t>
        </w:r>
      </w:fldSimple>
    </w:p>
    <w:p>
      <w:pPr>
        <w:pStyle w:val="TOC1"/>
        <w:tabs>
          <w:tab w:val="right" w:leader="dot" w:pos="9360"/>
        </w:tabs>
        <w:keepLines/>
      </w:pPr>
      <w:hyperlink w:anchor="X36a45258e0dc04cf0fe1c7a76d51037813623c1">
        <w:r>
          <w:rPr>
            <w:rStyle w:val="Hyperlink"/>
          </w:rPr>
          <w:t>14 Probability, Simulation, and Statistical Inference</w:t>
        </w:r>
      </w:hyperlink>
      <w:r>
        <w:tab/>
      </w:r>
      <w:fldSimple w:instr="PAGEREF X36a45258e0dc04cf0fe1c7a76d51037813623c1 \h" w:dirty="false">
        <w:r>
          <w:t>77</w:t>
        </w:r>
      </w:fldSimple>
    </w:p>
    <w:p>
      <w:pPr>
        <w:pStyle w:val="TOC2"/>
        <w:tabs>
          <w:tab w:val="right" w:leader="dot" w:pos="9360"/>
        </w:tabs>
        <w:keepLines/>
      </w:pPr>
      <w:hyperlink w:anchor="learning-objectives-13">
        <w:r>
          <w:rPr>
            <w:rStyle w:val="Hyperlink"/>
          </w:rPr>
          <w:t>14.1 Learning objectives</w:t>
        </w:r>
      </w:hyperlink>
      <w:r>
        <w:tab/>
      </w:r>
      <w:fldSimple w:instr="PAGEREF learning-objectives-13 \h" w:dirty="false">
        <w:r>
          <w:t>77</w:t>
        </w:r>
      </w:fldSimple>
    </w:p>
    <w:p>
      <w:pPr>
        <w:pStyle w:val="TOC2"/>
        <w:tabs>
          <w:tab w:val="right" w:leader="dot" w:pos="9360"/>
        </w:tabs>
        <w:keepLines/>
      </w:pPr>
      <w:hyperlink w:anchor="X811917fad8d0c4dc129860012bd0020eefdd93a">
        <w:r>
          <w:rPr>
            <w:rStyle w:val="Hyperlink"/>
          </w:rPr>
          <w:t>14.2 Probability describes a model of uncertainty</w:t>
        </w:r>
      </w:hyperlink>
      <w:r>
        <w:tab/>
      </w:r>
      <w:fldSimple w:instr="PAGEREF X811917fad8d0c4dc129860012bd0020eefdd93a \h" w:dirty="false">
        <w:r>
          <w:t>77</w:t>
        </w:r>
      </w:fldSimple>
    </w:p>
    <w:p>
      <w:pPr>
        <w:pStyle w:val="TOC2"/>
        <w:tabs>
          <w:tab w:val="right" w:leader="dot" w:pos="9360"/>
        </w:tabs>
        <w:keepLines/>
      </w:pPr>
      <w:hyperlink w:anchor="X7af4a7c05240b7c345f56db4e0e7c58d969957f">
        <w:r>
          <w:rPr>
            <w:rStyle w:val="Hyperlink"/>
          </w:rPr>
          <w:t>14.3 Simulation turns assumptions into observable consequences</w:t>
        </w:r>
      </w:hyperlink>
      <w:r>
        <w:tab/>
      </w:r>
      <w:fldSimple w:instr="PAGEREF X7af4a7c05240b7c345f56db4e0e7c58d969957f \h" w:dirty="false">
        <w:r>
          <w:t>77</w:t>
        </w:r>
      </w:fldSimple>
    </w:p>
    <w:p>
      <w:pPr>
        <w:pStyle w:val="TOC2"/>
        <w:tabs>
          <w:tab w:val="right" w:leader="dot" w:pos="9360"/>
        </w:tabs>
        <w:keepLines/>
      </w:pPr>
      <w:hyperlink w:anchor="X93202d334f73a1ad5499038a2fb3f2a835f80b6">
        <w:r>
          <w:rPr>
            <w:rStyle w:val="Hyperlink"/>
          </w:rPr>
          <w:t>14.4 Inference concerns repeated-sample behaviour</w:t>
        </w:r>
      </w:hyperlink>
      <w:r>
        <w:tab/>
      </w:r>
      <w:fldSimple w:instr="PAGEREF X93202d334f73a1ad5499038a2fb3f2a835f80b6 \h" w:dirty="false">
        <w:r>
          <w:t>77</w:t>
        </w:r>
      </w:fldSimple>
    </w:p>
    <w:p>
      <w:pPr>
        <w:pStyle w:val="TOC2"/>
        <w:tabs>
          <w:tab w:val="right" w:leader="dot" w:pos="9360"/>
        </w:tabs>
        <w:keepLines/>
      </w:pPr>
      <w:hyperlink w:anchor="core-equations-2">
        <w:r>
          <w:rPr>
            <w:rStyle w:val="Hyperlink"/>
          </w:rPr>
          <w:t>14.5 Core equations</w:t>
        </w:r>
      </w:hyperlink>
      <w:r>
        <w:tab/>
      </w:r>
      <w:fldSimple w:instr="PAGEREF core-equations-2 \h" w:dirty="false">
        <w:r>
          <w:t>78</w:t>
        </w:r>
      </w:fldSimple>
    </w:p>
    <w:p>
      <w:pPr>
        <w:pStyle w:val="TOC2"/>
        <w:tabs>
          <w:tab w:val="right" w:leader="dot" w:pos="9360"/>
        </w:tabs>
        <w:keepLines/>
      </w:pPr>
      <w:hyperlink w:anchor="python-demonstrations-13">
        <w:r>
          <w:rPr>
            <w:rStyle w:val="Hyperlink"/>
          </w:rPr>
          <w:t>14.6 Python demonstrations</w:t>
        </w:r>
      </w:hyperlink>
      <w:r>
        <w:tab/>
      </w:r>
      <w:fldSimple w:instr="PAGEREF python-demonstrations-13 \h" w:dirty="false">
        <w:r>
          <w:t>78</w:t>
        </w:r>
      </w:fldSimple>
    </w:p>
    <w:p>
      <w:pPr>
        <w:pStyle w:val="TOC2"/>
        <w:tabs>
          <w:tab w:val="right" w:leader="dot" w:pos="9360"/>
        </w:tabs>
        <w:keepLines/>
      </w:pPr>
      <w:hyperlink w:anchor="guided-practice-13">
        <w:r>
          <w:rPr>
            <w:rStyle w:val="Hyperlink"/>
          </w:rPr>
          <w:t>14.9 Guided practice</w:t>
        </w:r>
      </w:hyperlink>
      <w:r>
        <w:tab/>
      </w:r>
      <w:fldSimple w:instr="PAGEREF guided-practice-13 \h" w:dirty="false">
        <w:r>
          <w:t>80</w:t>
        </w:r>
      </w:fldSimple>
    </w:p>
    <w:p>
      <w:pPr>
        <w:pStyle w:val="TOC2"/>
        <w:tabs>
          <w:tab w:val="right" w:leader="dot" w:pos="9360"/>
        </w:tabs>
        <w:keepLines/>
      </w:pPr>
      <w:hyperlink w:anchor="exercises-13">
        <w:r>
          <w:rPr>
            <w:rStyle w:val="Hyperlink"/>
          </w:rPr>
          <w:t>14.10 Exercises</w:t>
        </w:r>
      </w:hyperlink>
      <w:r>
        <w:tab/>
      </w:r>
      <w:fldSimple w:instr="PAGEREF exercises-13 \h" w:dirty="false">
        <w:r>
          <w:t>80</w:t>
        </w:r>
      </w:fldSimple>
    </w:p>
    <w:p>
      <w:pPr>
        <w:pStyle w:val="TOC2"/>
        <w:tabs>
          <w:tab w:val="right" w:leader="dot" w:pos="9360"/>
        </w:tabs>
        <w:keepLines/>
      </w:pPr>
      <w:hyperlink w:anchor="chapter-summary-13">
        <w:r>
          <w:rPr>
            <w:rStyle w:val="Hyperlink"/>
          </w:rPr>
          <w:t>14.11 Chapter summary</w:t>
        </w:r>
      </w:hyperlink>
      <w:r>
        <w:tab/>
      </w:r>
      <w:fldSimple w:instr="PAGEREF chapter-summary-13 \h" w:dirty="false">
        <w:r>
          <w:t>80</w:t>
        </w:r>
      </w:fldSimple>
    </w:p>
    <w:p>
      <w:pPr>
        <w:pStyle w:val="TOC1"/>
        <w:tabs>
          <w:tab w:val="right" w:leader="dot" w:pos="9360"/>
        </w:tabs>
        <w:keepLines/>
      </w:pPr>
      <w:hyperlink w:anchor="regression-and-econometrics-with-python">
        <w:r>
          <w:rPr>
            <w:rStyle w:val="Hyperlink"/>
          </w:rPr>
          <w:t>15 Regression and Econometrics with Python</w:t>
        </w:r>
      </w:hyperlink>
      <w:r>
        <w:tab/>
      </w:r>
      <w:fldSimple w:instr="PAGEREF regression-and-econometrics-with-python \h" w:dirty="false">
        <w:r>
          <w:t>81</w:t>
        </w:r>
      </w:fldSimple>
    </w:p>
    <w:p>
      <w:pPr>
        <w:pStyle w:val="TOC2"/>
        <w:tabs>
          <w:tab w:val="right" w:leader="dot" w:pos="9360"/>
        </w:tabs>
        <w:keepLines/>
      </w:pPr>
      <w:hyperlink w:anchor="learning-objectives-14">
        <w:r>
          <w:rPr>
            <w:rStyle w:val="Hyperlink"/>
          </w:rPr>
          <w:t>15.1 Learning objectives</w:t>
        </w:r>
      </w:hyperlink>
      <w:r>
        <w:tab/>
      </w:r>
      <w:fldSimple w:instr="PAGEREF learning-objectives-14 \h" w:dirty="false">
        <w:r>
          <w:t>81</w:t>
        </w:r>
      </w:fldSimple>
    </w:p>
    <w:p>
      <w:pPr>
        <w:pStyle w:val="TOC2"/>
        <w:tabs>
          <w:tab w:val="right" w:leader="dot" w:pos="9360"/>
        </w:tabs>
        <w:keepLines/>
      </w:pPr>
      <w:hyperlink w:anchor="regression-is-a-conditional-comparison">
        <w:r>
          <w:rPr>
            <w:rStyle w:val="Hyperlink"/>
          </w:rPr>
          <w:t>15.2 Regression is a conditional comparison</w:t>
        </w:r>
      </w:hyperlink>
      <w:r>
        <w:tab/>
      </w:r>
      <w:fldSimple w:instr="PAGEREF regression-is-a-conditional-comparison \h" w:dirty="false">
        <w:r>
          <w:t>81</w:t>
        </w:r>
      </w:fldSimple>
    </w:p>
    <w:p>
      <w:pPr>
        <w:pStyle w:val="TOC2"/>
        <w:tabs>
          <w:tab w:val="right" w:leader="dot" w:pos="9360"/>
        </w:tabs>
        <w:keepLines/>
      </w:pPr>
      <w:hyperlink w:anchor="Xf98cccb3e21cfc88fc8ee549efa47bdbcfa0390">
        <w:r>
          <w:rPr>
            <w:rStyle w:val="Hyperlink"/>
          </w:rPr>
          <w:t>15.3 Uncertainty depends on the error structure</w:t>
        </w:r>
      </w:hyperlink>
      <w:r>
        <w:tab/>
      </w:r>
      <w:fldSimple w:instr="PAGEREF Xf98cccb3e21cfc88fc8ee549efa47bdbcfa0390 \h" w:dirty="false">
        <w:r>
          <w:t>81</w:t>
        </w:r>
      </w:fldSimple>
    </w:p>
    <w:p>
      <w:pPr>
        <w:pStyle w:val="TOC2"/>
        <w:tabs>
          <w:tab w:val="right" w:leader="dot" w:pos="9360"/>
        </w:tabs>
        <w:keepLines/>
      </w:pPr>
      <w:hyperlink w:anchor="Xfdeaf1655f36a970138cdde3fd7000fccae145f">
        <w:r>
          <w:rPr>
            <w:rStyle w:val="Hyperlink"/>
          </w:rPr>
          <w:t>15.4 Prediction and inference optimize different questions</w:t>
        </w:r>
      </w:hyperlink>
      <w:r>
        <w:tab/>
      </w:r>
      <w:fldSimple w:instr="PAGEREF Xfdeaf1655f36a970138cdde3fd7000fccae145f \h" w:dirty="false">
        <w:r>
          <w:t>81</w:t>
        </w:r>
      </w:fldSimple>
    </w:p>
    <w:p>
      <w:pPr>
        <w:pStyle w:val="TOC2"/>
        <w:tabs>
          <w:tab w:val="right" w:leader="dot" w:pos="9360"/>
        </w:tabs>
        <w:keepLines/>
      </w:pPr>
      <w:hyperlink w:anchor="core-equations-3">
        <w:r>
          <w:rPr>
            <w:rStyle w:val="Hyperlink"/>
          </w:rPr>
          <w:t>15.5 Core equations</w:t>
        </w:r>
      </w:hyperlink>
      <w:r>
        <w:tab/>
      </w:r>
      <w:fldSimple w:instr="PAGEREF core-equations-3 \h" w:dirty="false">
        <w:r>
          <w:t>82</w:t>
        </w:r>
      </w:fldSimple>
    </w:p>
    <w:p>
      <w:pPr>
        <w:pStyle w:val="TOC2"/>
        <w:tabs>
          <w:tab w:val="right" w:leader="dot" w:pos="9360"/>
        </w:tabs>
        <w:keepLines/>
      </w:pPr>
      <w:hyperlink w:anchor="python-demonstrations-14">
        <w:r>
          <w:rPr>
            <w:rStyle w:val="Hyperlink"/>
          </w:rPr>
          <w:t>15.6 Python demonstrations</w:t>
        </w:r>
      </w:hyperlink>
      <w:r>
        <w:tab/>
      </w:r>
      <w:fldSimple w:instr="PAGEREF python-demonstrations-14 \h" w:dirty="false">
        <w:r>
          <w:t>82</w:t>
        </w:r>
      </w:fldSimple>
    </w:p>
    <w:p>
      <w:pPr>
        <w:pStyle w:val="TOC2"/>
        <w:tabs>
          <w:tab w:val="right" w:leader="dot" w:pos="9360"/>
        </w:tabs>
        <w:keepLines/>
      </w:pPr>
      <w:hyperlink w:anchor="guided-practice-14">
        <w:r>
          <w:rPr>
            <w:rStyle w:val="Hyperlink"/>
          </w:rPr>
          <w:t>15.9 Guided practice</w:t>
        </w:r>
      </w:hyperlink>
      <w:r>
        <w:tab/>
      </w:r>
      <w:fldSimple w:instr="PAGEREF guided-practice-14 \h" w:dirty="false">
        <w:r>
          <w:t>84</w:t>
        </w:r>
      </w:fldSimple>
    </w:p>
    <w:p>
      <w:pPr>
        <w:pStyle w:val="TOC2"/>
        <w:tabs>
          <w:tab w:val="right" w:leader="dot" w:pos="9360"/>
        </w:tabs>
        <w:keepLines/>
      </w:pPr>
      <w:hyperlink w:anchor="exercises-14">
        <w:r>
          <w:rPr>
            <w:rStyle w:val="Hyperlink"/>
          </w:rPr>
          <w:t>15.10 Exercises</w:t>
        </w:r>
      </w:hyperlink>
      <w:r>
        <w:tab/>
      </w:r>
      <w:fldSimple w:instr="PAGEREF exercises-14 \h" w:dirty="false">
        <w:r>
          <w:t>84</w:t>
        </w:r>
      </w:fldSimple>
    </w:p>
    <w:p>
      <w:pPr>
        <w:pStyle w:val="TOC2"/>
        <w:tabs>
          <w:tab w:val="right" w:leader="dot" w:pos="9360"/>
        </w:tabs>
        <w:keepLines/>
      </w:pPr>
      <w:hyperlink w:anchor="chapter-summary-14">
        <w:r>
          <w:rPr>
            <w:rStyle w:val="Hyperlink"/>
          </w:rPr>
          <w:t>15.11 Chapter summary</w:t>
        </w:r>
      </w:hyperlink>
      <w:r>
        <w:tab/>
      </w:r>
      <w:fldSimple w:instr="PAGEREF chapter-summary-14 \h" w:dirty="false">
        <w:r>
          <w:t>84</w:t>
        </w:r>
      </w:fldSimple>
    </w:p>
    <w:p>
      <w:pPr>
        <w:pStyle w:val="TOC1"/>
        <w:tabs>
          <w:tab w:val="right" w:leader="dot" w:pos="9360"/>
        </w:tabs>
        <w:keepLines/>
      </w:pPr>
      <w:hyperlink w:anchor="obtaining-economic-and-financial-data">
        <w:r>
          <w:rPr>
            <w:rStyle w:val="Hyperlink"/>
          </w:rPr>
          <w:t>16 Obtaining Economic and Financial Data</w:t>
        </w:r>
      </w:hyperlink>
      <w:r>
        <w:tab/>
      </w:r>
      <w:fldSimple w:instr="PAGEREF obtaining-economic-and-financial-data \h" w:dirty="false">
        <w:r>
          <w:t>85</w:t>
        </w:r>
      </w:fldSimple>
    </w:p>
    <w:p>
      <w:pPr>
        <w:pStyle w:val="TOC2"/>
        <w:tabs>
          <w:tab w:val="right" w:leader="dot" w:pos="9360"/>
        </w:tabs>
        <w:keepLines/>
      </w:pPr>
      <w:hyperlink w:anchor="learning-objectives-15">
        <w:r>
          <w:rPr>
            <w:rStyle w:val="Hyperlink"/>
          </w:rPr>
          <w:t>16.1 Learning objectives</w:t>
        </w:r>
      </w:hyperlink>
      <w:r>
        <w:tab/>
      </w:r>
      <w:fldSimple w:instr="PAGEREF learning-objectives-15 \h" w:dirty="false">
        <w:r>
          <w:t>85</w:t>
        </w:r>
      </w:fldSimple>
    </w:p>
    <w:p>
      <w:pPr>
        <w:pStyle w:val="TOC2"/>
        <w:tabs>
          <w:tab w:val="right" w:leader="dot" w:pos="9360"/>
        </w:tabs>
        <w:keepLines/>
      </w:pPr>
      <w:hyperlink w:anchor="prefer-authoritative-providers">
        <w:r>
          <w:rPr>
            <w:rStyle w:val="Hyperlink"/>
          </w:rPr>
          <w:t>16.2 Prefer authoritative providers</w:t>
        </w:r>
      </w:hyperlink>
      <w:r>
        <w:tab/>
      </w:r>
      <w:fldSimple w:instr="PAGEREF prefer-authoritative-providers \h" w:dirty="false">
        <w:r>
          <w:t>85</w:t>
        </w:r>
      </w:fldSimple>
    </w:p>
    <w:p>
      <w:pPr>
        <w:pStyle w:val="TOC2"/>
        <w:tabs>
          <w:tab w:val="right" w:leader="dot" w:pos="9360"/>
        </w:tabs>
        <w:keepLines/>
      </w:pPr>
      <w:hyperlink w:anchor="X1f89ca3fcbabe873d50bdac64b31fb96bdf6f36">
        <w:r>
          <w:rPr>
            <w:rStyle w:val="Hyperlink"/>
          </w:rPr>
          <w:t>16.3 A live call is not a reproducibility plan</w:t>
        </w:r>
      </w:hyperlink>
      <w:r>
        <w:tab/>
      </w:r>
      <w:fldSimple w:instr="PAGEREF X1f89ca3fcbabe873d50bdac64b31fb96bdf6f36 \h" w:dirty="false">
        <w:r>
          <w:t>85</w:t>
        </w:r>
      </w:fldSimple>
    </w:p>
    <w:p>
      <w:pPr>
        <w:pStyle w:val="TOC2"/>
        <w:tabs>
          <w:tab w:val="right" w:leader="dot" w:pos="9360"/>
        </w:tabs>
        <w:keepLines/>
      </w:pPr>
      <w:hyperlink w:anchor="validate-response-semantics">
        <w:r>
          <w:rPr>
            <w:rStyle w:val="Hyperlink"/>
          </w:rPr>
          <w:t>16.4 Validate response semantics</w:t>
        </w:r>
      </w:hyperlink>
      <w:r>
        <w:tab/>
      </w:r>
      <w:fldSimple w:instr="PAGEREF validate-response-semantics \h" w:dirty="false">
        <w:r>
          <w:t>85</w:t>
        </w:r>
      </w:fldSimple>
    </w:p>
    <w:p>
      <w:pPr>
        <w:pStyle w:val="TOC2"/>
        <w:tabs>
          <w:tab w:val="right" w:leader="dot" w:pos="9360"/>
        </w:tabs>
        <w:keepLines/>
      </w:pPr>
      <w:hyperlink w:anchor="python-demonstrations-15">
        <w:r>
          <w:rPr>
            <w:rStyle w:val="Hyperlink"/>
          </w:rPr>
          <w:t>16.5 Python demonstrations</w:t>
        </w:r>
      </w:hyperlink>
      <w:r>
        <w:tab/>
      </w:r>
      <w:fldSimple w:instr="PAGEREF python-demonstrations-15 \h" w:dirty="false">
        <w:r>
          <w:t>86</w:t>
        </w:r>
      </w:fldSimple>
    </w:p>
    <w:p>
      <w:pPr>
        <w:pStyle w:val="TOC2"/>
        <w:tabs>
          <w:tab w:val="right" w:leader="dot" w:pos="9360"/>
        </w:tabs>
        <w:keepLines/>
      </w:pPr>
      <w:hyperlink w:anchor="guided-practice-15">
        <w:r>
          <w:rPr>
            <w:rStyle w:val="Hyperlink"/>
          </w:rPr>
          <w:t>16.8 Guided practice</w:t>
        </w:r>
      </w:hyperlink>
      <w:r>
        <w:tab/>
      </w:r>
      <w:fldSimple w:instr="PAGEREF guided-practice-15 \h" w:dirty="false">
        <w:r>
          <w:t>88</w:t>
        </w:r>
      </w:fldSimple>
    </w:p>
    <w:p>
      <w:pPr>
        <w:pStyle w:val="TOC2"/>
        <w:tabs>
          <w:tab w:val="right" w:leader="dot" w:pos="9360"/>
        </w:tabs>
        <w:keepLines/>
      </w:pPr>
      <w:hyperlink w:anchor="exercises-15">
        <w:r>
          <w:rPr>
            <w:rStyle w:val="Hyperlink"/>
          </w:rPr>
          <w:t>16.9 Exercises</w:t>
        </w:r>
      </w:hyperlink>
      <w:r>
        <w:tab/>
      </w:r>
      <w:fldSimple w:instr="PAGEREF exercises-15 \h" w:dirty="false">
        <w:r>
          <w:t>88</w:t>
        </w:r>
      </w:fldSimple>
    </w:p>
    <w:p>
      <w:pPr>
        <w:pStyle w:val="TOC2"/>
        <w:tabs>
          <w:tab w:val="right" w:leader="dot" w:pos="9360"/>
        </w:tabs>
        <w:keepLines/>
      </w:pPr>
      <w:hyperlink w:anchor="chapter-summary-15">
        <w:r>
          <w:rPr>
            <w:rStyle w:val="Hyperlink"/>
          </w:rPr>
          <w:t>16.10 Chapter summary</w:t>
        </w:r>
      </w:hyperlink>
      <w:r>
        <w:tab/>
      </w:r>
      <w:fldSimple w:instr="PAGEREF chapter-summary-15 \h" w:dirty="false">
        <w:r>
          <w:t>88</w:t>
        </w:r>
      </w:fldSimple>
    </w:p>
    <w:p>
      <w:pPr>
        <w:pStyle w:val="TOC1"/>
        <w:tabs>
          <w:tab w:val="right" w:leader="dot" w:pos="9360"/>
        </w:tabs>
        <w:keepLines/>
      </w:pPr>
      <w:hyperlink w:anchor="Xd648c3a2d620088504857427e3977cc814c4f66">
        <w:r>
          <w:rPr>
            <w:rStyle w:val="Hyperlink"/>
          </w:rPr>
          <w:t>Part III: Time Series and Financial Econometrics</w:t>
        </w:r>
      </w:hyperlink>
      <w:r>
        <w:tab/>
      </w:r>
      <w:fldSimple w:instr="PAGEREF Xd648c3a2d620088504857427e3977cc814c4f66 \h" w:dirty="false">
        <w:r>
          <w:t>89</w:t>
        </w:r>
      </w:fldSimple>
    </w:p>
    <w:p>
      <w:pPr>
        <w:pStyle w:val="TOC1"/>
        <w:tabs>
          <w:tab w:val="right" w:leader="dot" w:pos="9360"/>
        </w:tabs>
        <w:keepLines/>
      </w:pPr>
      <w:hyperlink w:anchor="introduction-to-time-series-data">
        <w:r>
          <w:rPr>
            <w:rStyle w:val="Hyperlink"/>
          </w:rPr>
          <w:t>17 Introduction to Time-Series Data</w:t>
        </w:r>
      </w:hyperlink>
      <w:r>
        <w:tab/>
      </w:r>
      <w:fldSimple w:instr="PAGEREF introduction-to-time-series-data \h" w:dirty="false">
        <w:r>
          <w:t>90</w:t>
        </w:r>
      </w:fldSimple>
    </w:p>
    <w:p>
      <w:pPr>
        <w:pStyle w:val="TOC2"/>
        <w:tabs>
          <w:tab w:val="right" w:leader="dot" w:pos="9360"/>
        </w:tabs>
        <w:keepLines/>
      </w:pPr>
      <w:hyperlink w:anchor="learning-objectives-16">
        <w:r>
          <w:rPr>
            <w:rStyle w:val="Hyperlink"/>
          </w:rPr>
          <w:t>17.1 Learning objectives</w:t>
        </w:r>
      </w:hyperlink>
      <w:r>
        <w:tab/>
      </w:r>
      <w:fldSimple w:instr="PAGEREF learning-objectives-16 \h" w:dirty="false">
        <w:r>
          <w:t>90</w:t>
        </w:r>
      </w:fldSimple>
    </w:p>
    <w:p>
      <w:pPr>
        <w:pStyle w:val="TOC2"/>
        <w:tabs>
          <w:tab w:val="right" w:leader="dot" w:pos="9360"/>
        </w:tabs>
        <w:keepLines/>
      </w:pPr>
      <w:hyperlink w:anchor="time-order-is-part-of-the-model">
        <w:r>
          <w:rPr>
            <w:rStyle w:val="Hyperlink"/>
          </w:rPr>
          <w:t>17.2 Time order is part of the model</w:t>
        </w:r>
      </w:hyperlink>
      <w:r>
        <w:tab/>
      </w:r>
      <w:fldSimple w:instr="PAGEREF time-order-is-part-of-the-model \h" w:dirty="false">
        <w:r>
          <w:t>90</w:t>
        </w:r>
      </w:fldSimple>
    </w:p>
    <w:p>
      <w:pPr>
        <w:pStyle w:val="TOC2"/>
        <w:tabs>
          <w:tab w:val="right" w:leader="dot" w:pos="9360"/>
        </w:tabs>
        <w:keepLines/>
      </w:pPr>
      <w:hyperlink w:anchor="X37e499f42868f9e454d343e519b881210fca635">
        <w:r>
          <w:rPr>
            <w:rStyle w:val="Hyperlink"/>
          </w:rPr>
          <w:t>17.3 Levels and changes answer different questions</w:t>
        </w:r>
      </w:hyperlink>
      <w:r>
        <w:tab/>
      </w:r>
      <w:fldSimple w:instr="PAGEREF X37e499f42868f9e454d343e519b881210fca635 \h" w:dirty="false">
        <w:r>
          <w:t>90</w:t>
        </w:r>
      </w:fldSimple>
    </w:p>
    <w:p>
      <w:pPr>
        <w:pStyle w:val="TOC2"/>
        <w:tabs>
          <w:tab w:val="right" w:leader="dot" w:pos="9360"/>
        </w:tabs>
        <w:keepLines/>
      </w:pPr>
      <w:hyperlink w:anchor="Xe6e07dda819754bb8360b8905fbb106f3072049">
        <w:r>
          <w:rPr>
            <w:rStyle w:val="Hyperlink"/>
          </w:rPr>
          <w:t>17.4 Aggregation requires a stock-flow decision</w:t>
        </w:r>
      </w:hyperlink>
      <w:r>
        <w:tab/>
      </w:r>
      <w:fldSimple w:instr="PAGEREF Xe6e07dda819754bb8360b8905fbb106f3072049 \h" w:dirty="false">
        <w:r>
          <w:t>90</w:t>
        </w:r>
      </w:fldSimple>
    </w:p>
    <w:p>
      <w:pPr>
        <w:pStyle w:val="TOC2"/>
        <w:tabs>
          <w:tab w:val="right" w:leader="dot" w:pos="9360"/>
        </w:tabs>
        <w:keepLines/>
      </w:pPr>
      <w:hyperlink w:anchor="core-equations-4">
        <w:r>
          <w:rPr>
            <w:rStyle w:val="Hyperlink"/>
          </w:rPr>
          <w:t>17.5 Core equations</w:t>
        </w:r>
      </w:hyperlink>
      <w:r>
        <w:tab/>
      </w:r>
      <w:fldSimple w:instr="PAGEREF core-equations-4 \h" w:dirty="false">
        <w:r>
          <w:t>91</w:t>
        </w:r>
      </w:fldSimple>
    </w:p>
    <w:p>
      <w:pPr>
        <w:pStyle w:val="TOC2"/>
        <w:tabs>
          <w:tab w:val="right" w:leader="dot" w:pos="9360"/>
        </w:tabs>
        <w:keepLines/>
      </w:pPr>
      <w:hyperlink w:anchor="python-demonstrations-16">
        <w:r>
          <w:rPr>
            <w:rStyle w:val="Hyperlink"/>
          </w:rPr>
          <w:t>17.6 Python demonstrations</w:t>
        </w:r>
      </w:hyperlink>
      <w:r>
        <w:tab/>
      </w:r>
      <w:fldSimple w:instr="PAGEREF python-demonstrations-16 \h" w:dirty="false">
        <w:r>
          <w:t>91</w:t>
        </w:r>
      </w:fldSimple>
    </w:p>
    <w:p>
      <w:pPr>
        <w:pStyle w:val="TOC2"/>
        <w:tabs>
          <w:tab w:val="right" w:leader="dot" w:pos="9360"/>
        </w:tabs>
        <w:keepLines/>
      </w:pPr>
      <w:hyperlink w:anchor="guided-practice-16">
        <w:r>
          <w:rPr>
            <w:rStyle w:val="Hyperlink"/>
          </w:rPr>
          <w:t>17.9 Guided practice</w:t>
        </w:r>
      </w:hyperlink>
      <w:r>
        <w:tab/>
      </w:r>
      <w:fldSimple w:instr="PAGEREF guided-practice-16 \h" w:dirty="false">
        <w:r>
          <w:t>93</w:t>
        </w:r>
      </w:fldSimple>
    </w:p>
    <w:p>
      <w:pPr>
        <w:pStyle w:val="TOC2"/>
        <w:tabs>
          <w:tab w:val="right" w:leader="dot" w:pos="9360"/>
        </w:tabs>
        <w:keepLines/>
      </w:pPr>
      <w:hyperlink w:anchor="exercises-16">
        <w:r>
          <w:rPr>
            <w:rStyle w:val="Hyperlink"/>
          </w:rPr>
          <w:t>17.10 Exercises</w:t>
        </w:r>
      </w:hyperlink>
      <w:r>
        <w:tab/>
      </w:r>
      <w:fldSimple w:instr="PAGEREF exercises-16 \h" w:dirty="false">
        <w:r>
          <w:t>93</w:t>
        </w:r>
      </w:fldSimple>
    </w:p>
    <w:p>
      <w:pPr>
        <w:pStyle w:val="TOC2"/>
        <w:tabs>
          <w:tab w:val="right" w:leader="dot" w:pos="9360"/>
        </w:tabs>
        <w:keepLines/>
      </w:pPr>
      <w:hyperlink w:anchor="chapter-summary-16">
        <w:r>
          <w:rPr>
            <w:rStyle w:val="Hyperlink"/>
          </w:rPr>
          <w:t>17.11 Chapter summary</w:t>
        </w:r>
      </w:hyperlink>
      <w:r>
        <w:tab/>
      </w:r>
      <w:fldSimple w:instr="PAGEREF chapter-summary-16 \h" w:dirty="false">
        <w:r>
          <w:t>93</w:t>
        </w:r>
      </w:fldSimple>
    </w:p>
    <w:p>
      <w:pPr>
        <w:pStyle w:val="TOC1"/>
        <w:tabs>
          <w:tab w:val="right" w:leader="dot" w:pos="9360"/>
        </w:tabs>
        <w:keepLines/>
      </w:pPr>
      <w:hyperlink w:anchor="dependence-stationarity-and-white-noise">
        <w:r>
          <w:rPr>
            <w:rStyle w:val="Hyperlink"/>
          </w:rPr>
          <w:t>18 Dependence, Stationarity, and White Noise</w:t>
        </w:r>
      </w:hyperlink>
      <w:r>
        <w:tab/>
      </w:r>
      <w:fldSimple w:instr="PAGEREF dependence-stationarity-and-white-noise \h" w:dirty="false">
        <w:r>
          <w:t>95</w:t>
        </w:r>
      </w:fldSimple>
    </w:p>
    <w:p>
      <w:pPr>
        <w:pStyle w:val="TOC2"/>
        <w:tabs>
          <w:tab w:val="right" w:leader="dot" w:pos="9360"/>
        </w:tabs>
        <w:keepLines/>
      </w:pPr>
      <w:hyperlink w:anchor="learning-objectives-17">
        <w:r>
          <w:rPr>
            <w:rStyle w:val="Hyperlink"/>
          </w:rPr>
          <w:t>18.1 Learning objectives</w:t>
        </w:r>
      </w:hyperlink>
      <w:r>
        <w:tab/>
      </w:r>
      <w:fldSimple w:instr="PAGEREF learning-objectives-17 \h" w:dirty="false">
        <w:r>
          <w:t>95</w:t>
        </w:r>
      </w:fldSimple>
    </w:p>
    <w:p>
      <w:pPr>
        <w:pStyle w:val="TOC2"/>
        <w:tabs>
          <w:tab w:val="right" w:leader="dot" w:pos="9360"/>
        </w:tabs>
        <w:keepLines/>
      </w:pPr>
      <w:hyperlink w:anchor="X7231da818e1518bd0616d8f1f07de61863938a4">
        <w:r>
          <w:rPr>
            <w:rStyle w:val="Hyperlink"/>
          </w:rPr>
          <w:t>18.2 Stationarity stabilizes the probabilistic frame</w:t>
        </w:r>
      </w:hyperlink>
      <w:r>
        <w:tab/>
      </w:r>
      <w:fldSimple w:instr="PAGEREF X7231da818e1518bd0616d8f1f07de61863938a4 \h" w:dirty="false">
        <w:r>
          <w:t>95</w:t>
        </w:r>
      </w:fldSimple>
    </w:p>
    <w:p>
      <w:pPr>
        <w:pStyle w:val="TOC2"/>
        <w:tabs>
          <w:tab w:val="right" w:leader="dot" w:pos="9360"/>
        </w:tabs>
        <w:keepLines/>
      </w:pPr>
      <w:hyperlink w:anchor="acf-and-pacf-are-diagnostic-fingerprints">
        <w:r>
          <w:rPr>
            <w:rStyle w:val="Hyperlink"/>
          </w:rPr>
          <w:t>18.3 ACF and PACF are diagnostic fingerprints</w:t>
        </w:r>
      </w:hyperlink>
      <w:r>
        <w:tab/>
      </w:r>
      <w:fldSimple w:instr="PAGEREF acf-and-pacf-are-diagnostic-fingerprints \h" w:dirty="false">
        <w:r>
          <w:t>95</w:t>
        </w:r>
      </w:fldSimple>
    </w:p>
    <w:p>
      <w:pPr>
        <w:pStyle w:val="TOC2"/>
        <w:tabs>
          <w:tab w:val="right" w:leader="dot" w:pos="9360"/>
        </w:tabs>
        <w:keepLines/>
      </w:pPr>
      <w:hyperlink w:anchor="uncorrelated-does-not-mean-independent">
        <w:r>
          <w:rPr>
            <w:rStyle w:val="Hyperlink"/>
          </w:rPr>
          <w:t>18.4 Uncorrelated does not mean independent</w:t>
        </w:r>
      </w:hyperlink>
      <w:r>
        <w:tab/>
      </w:r>
      <w:fldSimple w:instr="PAGEREF uncorrelated-does-not-mean-independent \h" w:dirty="false">
        <w:r>
          <w:t>95</w:t>
        </w:r>
      </w:fldSimple>
    </w:p>
    <w:p>
      <w:pPr>
        <w:pStyle w:val="TOC2"/>
        <w:tabs>
          <w:tab w:val="right" w:leader="dot" w:pos="9360"/>
        </w:tabs>
        <w:keepLines/>
      </w:pPr>
      <w:hyperlink w:anchor="core-equations-5">
        <w:r>
          <w:rPr>
            <w:rStyle w:val="Hyperlink"/>
          </w:rPr>
          <w:t>18.5 Core equations</w:t>
        </w:r>
      </w:hyperlink>
      <w:r>
        <w:tab/>
      </w:r>
      <w:fldSimple w:instr="PAGEREF core-equations-5 \h" w:dirty="false">
        <w:r>
          <w:t>96</w:t>
        </w:r>
      </w:fldSimple>
    </w:p>
    <w:p>
      <w:pPr>
        <w:pStyle w:val="TOC2"/>
        <w:tabs>
          <w:tab w:val="right" w:leader="dot" w:pos="9360"/>
        </w:tabs>
        <w:keepLines/>
      </w:pPr>
      <w:hyperlink w:anchor="python-demonstrations-17">
        <w:r>
          <w:rPr>
            <w:rStyle w:val="Hyperlink"/>
          </w:rPr>
          <w:t>18.6 Python demonstrations</w:t>
        </w:r>
      </w:hyperlink>
      <w:r>
        <w:tab/>
      </w:r>
      <w:fldSimple w:instr="PAGEREF python-demonstrations-17 \h" w:dirty="false">
        <w:r>
          <w:t>96</w:t>
        </w:r>
      </w:fldSimple>
    </w:p>
    <w:p>
      <w:pPr>
        <w:pStyle w:val="TOC2"/>
        <w:tabs>
          <w:tab w:val="right" w:leader="dot" w:pos="9360"/>
        </w:tabs>
        <w:keepLines/>
      </w:pPr>
      <w:hyperlink w:anchor="guided-practice-17">
        <w:r>
          <w:rPr>
            <w:rStyle w:val="Hyperlink"/>
          </w:rPr>
          <w:t>18.9 Guided practice</w:t>
        </w:r>
      </w:hyperlink>
      <w:r>
        <w:tab/>
      </w:r>
      <w:fldSimple w:instr="PAGEREF guided-practice-17 \h" w:dirty="false">
        <w:r>
          <w:t>98</w:t>
        </w:r>
      </w:fldSimple>
    </w:p>
    <w:p>
      <w:pPr>
        <w:pStyle w:val="TOC2"/>
        <w:tabs>
          <w:tab w:val="right" w:leader="dot" w:pos="9360"/>
        </w:tabs>
        <w:keepLines/>
      </w:pPr>
      <w:hyperlink w:anchor="exercises-17">
        <w:r>
          <w:rPr>
            <w:rStyle w:val="Hyperlink"/>
          </w:rPr>
          <w:t>18.10 Exercises</w:t>
        </w:r>
      </w:hyperlink>
      <w:r>
        <w:tab/>
      </w:r>
      <w:fldSimple w:instr="PAGEREF exercises-17 \h" w:dirty="false">
        <w:r>
          <w:t>98</w:t>
        </w:r>
      </w:fldSimple>
    </w:p>
    <w:p>
      <w:pPr>
        <w:pStyle w:val="TOC2"/>
        <w:tabs>
          <w:tab w:val="right" w:leader="dot" w:pos="9360"/>
        </w:tabs>
        <w:keepLines/>
      </w:pPr>
      <w:hyperlink w:anchor="chapter-summary-17">
        <w:r>
          <w:rPr>
            <w:rStyle w:val="Hyperlink"/>
          </w:rPr>
          <w:t>18.11 Chapter summary</w:t>
        </w:r>
      </w:hyperlink>
      <w:r>
        <w:tab/>
      </w:r>
      <w:fldSimple w:instr="PAGEREF chapter-summary-17 \h" w:dirty="false">
        <w:r>
          <w:t>98</w:t>
        </w:r>
      </w:fldSimple>
    </w:p>
    <w:p>
      <w:pPr>
        <w:pStyle w:val="TOC1"/>
        <w:tabs>
          <w:tab w:val="right" w:leader="dot" w:pos="9360"/>
        </w:tabs>
        <w:keepLines/>
      </w:pPr>
      <w:hyperlink w:anchor="ar-ma-arma-arima-and-forecasting">
        <w:r>
          <w:rPr>
            <w:rStyle w:val="Hyperlink"/>
          </w:rPr>
          <w:t>19 AR, MA, ARMA, ARIMA, and Forecasting</w:t>
        </w:r>
      </w:hyperlink>
      <w:r>
        <w:tab/>
      </w:r>
      <w:fldSimple w:instr="PAGEREF ar-ma-arma-arima-and-forecasting \h" w:dirty="false">
        <w:r>
          <w:t>99</w:t>
        </w:r>
      </w:fldSimple>
    </w:p>
    <w:p>
      <w:pPr>
        <w:pStyle w:val="TOC2"/>
        <w:tabs>
          <w:tab w:val="right" w:leader="dot" w:pos="9360"/>
        </w:tabs>
        <w:keepLines/>
      </w:pPr>
      <w:hyperlink w:anchor="learning-objectives-18">
        <w:r>
          <w:rPr>
            <w:rStyle w:val="Hyperlink"/>
          </w:rPr>
          <w:t>19.1 Learning objectives</w:t>
        </w:r>
      </w:hyperlink>
      <w:r>
        <w:tab/>
      </w:r>
      <w:fldSimple w:instr="PAGEREF learning-objectives-18 \h" w:dirty="false">
        <w:r>
          <w:t>99</w:t>
        </w:r>
      </w:fldSimple>
    </w:p>
    <w:p>
      <w:pPr>
        <w:pStyle w:val="TOC2"/>
        <w:tabs>
          <w:tab w:val="right" w:leader="dot" w:pos="9360"/>
        </w:tabs>
        <w:keepLines/>
      </w:pPr>
      <w:hyperlink w:anchor="autoregression-describes-persistence">
        <w:r>
          <w:rPr>
            <w:rStyle w:val="Hyperlink"/>
          </w:rPr>
          <w:t>19.2 Autoregression describes persistence</w:t>
        </w:r>
      </w:hyperlink>
      <w:r>
        <w:tab/>
      </w:r>
      <w:fldSimple w:instr="PAGEREF autoregression-describes-persistence \h" w:dirty="false">
        <w:r>
          <w:t>99</w:t>
        </w:r>
      </w:fldSimple>
    </w:p>
    <w:p>
      <w:pPr>
        <w:pStyle w:val="TOC2"/>
        <w:tabs>
          <w:tab w:val="right" w:leader="dot" w:pos="9360"/>
        </w:tabs>
        <w:keepLines/>
      </w:pPr>
      <w:hyperlink w:anchor="moving-averages-describe-shock-memory">
        <w:r>
          <w:rPr>
            <w:rStyle w:val="Hyperlink"/>
          </w:rPr>
          <w:t>19.3 Moving averages describe shock memory</w:t>
        </w:r>
      </w:hyperlink>
      <w:r>
        <w:tab/>
      </w:r>
      <w:fldSimple w:instr="PAGEREF moving-averages-describe-shock-memory \h" w:dirty="false">
        <w:r>
          <w:t>99</w:t>
        </w:r>
      </w:fldSimple>
    </w:p>
    <w:p>
      <w:pPr>
        <w:pStyle w:val="TOC2"/>
        <w:tabs>
          <w:tab w:val="right" w:leader="dot" w:pos="9360"/>
        </w:tabs>
        <w:keepLines/>
      </w:pPr>
      <w:hyperlink w:anchor="forecasting-is-an-evaluation-design">
        <w:r>
          <w:rPr>
            <w:rStyle w:val="Hyperlink"/>
          </w:rPr>
          <w:t>19.4 Forecasting is an evaluation design</w:t>
        </w:r>
      </w:hyperlink>
      <w:r>
        <w:tab/>
      </w:r>
      <w:fldSimple w:instr="PAGEREF forecasting-is-an-evaluation-design \h" w:dirty="false">
        <w:r>
          <w:t>99</w:t>
        </w:r>
      </w:fldSimple>
    </w:p>
    <w:p>
      <w:pPr>
        <w:pStyle w:val="TOC2"/>
        <w:tabs>
          <w:tab w:val="right" w:leader="dot" w:pos="9360"/>
        </w:tabs>
        <w:keepLines/>
      </w:pPr>
      <w:hyperlink w:anchor="core-equations-6">
        <w:r>
          <w:rPr>
            <w:rStyle w:val="Hyperlink"/>
          </w:rPr>
          <w:t>19.5 Core equations</w:t>
        </w:r>
      </w:hyperlink>
      <w:r>
        <w:tab/>
      </w:r>
      <w:fldSimple w:instr="PAGEREF core-equations-6 \h" w:dirty="false">
        <w:r>
          <w:t>100</w:t>
        </w:r>
      </w:fldSimple>
    </w:p>
    <w:p>
      <w:pPr>
        <w:pStyle w:val="TOC2"/>
        <w:tabs>
          <w:tab w:val="right" w:leader="dot" w:pos="9360"/>
        </w:tabs>
        <w:keepLines/>
      </w:pPr>
      <w:hyperlink w:anchor="python-demonstrations-18">
        <w:r>
          <w:rPr>
            <w:rStyle w:val="Hyperlink"/>
          </w:rPr>
          <w:t>19.6 Python demonstrations</w:t>
        </w:r>
      </w:hyperlink>
      <w:r>
        <w:tab/>
      </w:r>
      <w:fldSimple w:instr="PAGEREF python-demonstrations-18 \h" w:dirty="false">
        <w:r>
          <w:t>100</w:t>
        </w:r>
      </w:fldSimple>
    </w:p>
    <w:p>
      <w:pPr>
        <w:pStyle w:val="TOC2"/>
        <w:tabs>
          <w:tab w:val="right" w:leader="dot" w:pos="9360"/>
        </w:tabs>
        <w:keepLines/>
      </w:pPr>
      <w:hyperlink w:anchor="guided-practice-18">
        <w:r>
          <w:rPr>
            <w:rStyle w:val="Hyperlink"/>
          </w:rPr>
          <w:t>19.9 Guided practice</w:t>
        </w:r>
      </w:hyperlink>
      <w:r>
        <w:tab/>
      </w:r>
      <w:fldSimple w:instr="PAGEREF guided-practice-18 \h" w:dirty="false">
        <w:r>
          <w:t>102</w:t>
        </w:r>
      </w:fldSimple>
    </w:p>
    <w:p>
      <w:pPr>
        <w:pStyle w:val="TOC2"/>
        <w:tabs>
          <w:tab w:val="right" w:leader="dot" w:pos="9360"/>
        </w:tabs>
        <w:keepLines/>
      </w:pPr>
      <w:hyperlink w:anchor="exercises-18">
        <w:r>
          <w:rPr>
            <w:rStyle w:val="Hyperlink"/>
          </w:rPr>
          <w:t>19.10 Exercises</w:t>
        </w:r>
      </w:hyperlink>
      <w:r>
        <w:tab/>
      </w:r>
      <w:fldSimple w:instr="PAGEREF exercises-18 \h" w:dirty="false">
        <w:r>
          <w:t>102</w:t>
        </w:r>
      </w:fldSimple>
    </w:p>
    <w:p>
      <w:pPr>
        <w:pStyle w:val="TOC2"/>
        <w:tabs>
          <w:tab w:val="right" w:leader="dot" w:pos="9360"/>
        </w:tabs>
        <w:keepLines/>
      </w:pPr>
      <w:hyperlink w:anchor="chapter-summary-18">
        <w:r>
          <w:rPr>
            <w:rStyle w:val="Hyperlink"/>
          </w:rPr>
          <w:t>19.11 Chapter summary</w:t>
        </w:r>
      </w:hyperlink>
      <w:r>
        <w:tab/>
      </w:r>
      <w:fldSimple w:instr="PAGEREF chapter-summary-18 \h" w:dirty="false">
        <w:r>
          <w:t>102</w:t>
        </w:r>
      </w:fldSimple>
    </w:p>
    <w:p>
      <w:pPr>
        <w:pStyle w:val="TOC1"/>
        <w:tabs>
          <w:tab w:val="right" w:leader="dot" w:pos="9360"/>
        </w:tabs>
        <w:keepLines/>
      </w:pPr>
      <w:hyperlink w:anchor="Xb1bd365769227303672ff0f215db86c2e47d41e">
        <w:r>
          <w:rPr>
            <w:rStyle w:val="Hyperlink"/>
          </w:rPr>
          <w:t>20 Unit Roots, Seasonality, and Dynamic Regression</w:t>
        </w:r>
      </w:hyperlink>
      <w:r>
        <w:tab/>
      </w:r>
      <w:fldSimple w:instr="PAGEREF Xb1bd365769227303672ff0f215db86c2e47d41e \h" w:dirty="false">
        <w:r>
          <w:t>103</w:t>
        </w:r>
      </w:fldSimple>
    </w:p>
    <w:p>
      <w:pPr>
        <w:pStyle w:val="TOC2"/>
        <w:tabs>
          <w:tab w:val="right" w:leader="dot" w:pos="9360"/>
        </w:tabs>
        <w:keepLines/>
      </w:pPr>
      <w:hyperlink w:anchor="learning-objectives-19">
        <w:r>
          <w:rPr>
            <w:rStyle w:val="Hyperlink"/>
          </w:rPr>
          <w:t>20.1 Learning objectives</w:t>
        </w:r>
      </w:hyperlink>
      <w:r>
        <w:tab/>
      </w:r>
      <w:fldSimple w:instr="PAGEREF learning-objectives-19 \h" w:dirty="false">
        <w:r>
          <w:t>103</w:t>
        </w:r>
      </w:fldSimple>
    </w:p>
    <w:p>
      <w:pPr>
        <w:pStyle w:val="TOC2"/>
        <w:tabs>
          <w:tab w:val="right" w:leader="dot" w:pos="9360"/>
        </w:tabs>
        <w:keepLines/>
      </w:pPr>
      <w:hyperlink w:anchor="X24754b32a9c3c56c63e38fc55d834ed8527ed32">
        <w:r>
          <w:rPr>
            <w:rStyle w:val="Hyperlink"/>
          </w:rPr>
          <w:t>20.2 Differencing removes a stochastic trend, not every trend</w:t>
        </w:r>
      </w:hyperlink>
      <w:r>
        <w:tab/>
      </w:r>
      <w:fldSimple w:instr="PAGEREF X24754b32a9c3c56c63e38fc55d834ed8527ed32 \h" w:dirty="false">
        <w:r>
          <w:t>103</w:t>
        </w:r>
      </w:fldSimple>
    </w:p>
    <w:p>
      <w:pPr>
        <w:pStyle w:val="TOC2"/>
        <w:tabs>
          <w:tab w:val="right" w:leader="dot" w:pos="9360"/>
        </w:tabs>
        <w:keepLines/>
      </w:pPr>
      <w:hyperlink w:anchor="Xeb12c1ebf5b31414a4354b2c6ced8c6c5008445">
        <w:r>
          <w:rPr>
            <w:rStyle w:val="Hyperlink"/>
          </w:rPr>
          <w:t>20.3 Seasonality is dependence at a calendar rhythm</w:t>
        </w:r>
      </w:hyperlink>
      <w:r>
        <w:tab/>
      </w:r>
      <w:fldSimple w:instr="PAGEREF Xeb12c1ebf5b31414a4354b2c6ced8c6c5008445 \h" w:dirty="false">
        <w:r>
          <w:t>103</w:t>
        </w:r>
      </w:fldSimple>
    </w:p>
    <w:p>
      <w:pPr>
        <w:pStyle w:val="TOC2"/>
        <w:tabs>
          <w:tab w:val="right" w:leader="dot" w:pos="9360"/>
        </w:tabs>
        <w:keepLines/>
      </w:pPr>
      <w:hyperlink w:anchor="regression-errors-can-remember-the-past">
        <w:r>
          <w:rPr>
            <w:rStyle w:val="Hyperlink"/>
          </w:rPr>
          <w:t>20.4 Regression errors can remember the past</w:t>
        </w:r>
      </w:hyperlink>
      <w:r>
        <w:tab/>
      </w:r>
      <w:fldSimple w:instr="PAGEREF regression-errors-can-remember-the-past \h" w:dirty="false">
        <w:r>
          <w:t>103</w:t>
        </w:r>
      </w:fldSimple>
    </w:p>
    <w:p>
      <w:pPr>
        <w:pStyle w:val="TOC2"/>
        <w:tabs>
          <w:tab w:val="right" w:leader="dot" w:pos="9360"/>
        </w:tabs>
        <w:keepLines/>
      </w:pPr>
      <w:hyperlink w:anchor="core-equations-7">
        <w:r>
          <w:rPr>
            <w:rStyle w:val="Hyperlink"/>
          </w:rPr>
          <w:t>20.5 Core equations</w:t>
        </w:r>
      </w:hyperlink>
      <w:r>
        <w:tab/>
      </w:r>
      <w:fldSimple w:instr="PAGEREF core-equations-7 \h" w:dirty="false">
        <w:r>
          <w:t>104</w:t>
        </w:r>
      </w:fldSimple>
    </w:p>
    <w:p>
      <w:pPr>
        <w:pStyle w:val="TOC2"/>
        <w:tabs>
          <w:tab w:val="right" w:leader="dot" w:pos="9360"/>
        </w:tabs>
        <w:keepLines/>
      </w:pPr>
      <w:hyperlink w:anchor="python-demonstrations-19">
        <w:r>
          <w:rPr>
            <w:rStyle w:val="Hyperlink"/>
          </w:rPr>
          <w:t>20.6 Python demonstrations</w:t>
        </w:r>
      </w:hyperlink>
      <w:r>
        <w:tab/>
      </w:r>
      <w:fldSimple w:instr="PAGEREF python-demonstrations-19 \h" w:dirty="false">
        <w:r>
          <w:t>104</w:t>
        </w:r>
      </w:fldSimple>
    </w:p>
    <w:p>
      <w:pPr>
        <w:pStyle w:val="TOC2"/>
        <w:tabs>
          <w:tab w:val="right" w:leader="dot" w:pos="9360"/>
        </w:tabs>
        <w:keepLines/>
      </w:pPr>
      <w:hyperlink w:anchor="guided-practice-19">
        <w:r>
          <w:rPr>
            <w:rStyle w:val="Hyperlink"/>
          </w:rPr>
          <w:t>20.9 Guided practice</w:t>
        </w:r>
      </w:hyperlink>
      <w:r>
        <w:tab/>
      </w:r>
      <w:fldSimple w:instr="PAGEREF guided-practice-19 \h" w:dirty="false">
        <w:r>
          <w:t>106</w:t>
        </w:r>
      </w:fldSimple>
    </w:p>
    <w:p>
      <w:pPr>
        <w:pStyle w:val="TOC2"/>
        <w:tabs>
          <w:tab w:val="right" w:leader="dot" w:pos="9360"/>
        </w:tabs>
        <w:keepLines/>
      </w:pPr>
      <w:hyperlink w:anchor="exercises-19">
        <w:r>
          <w:rPr>
            <w:rStyle w:val="Hyperlink"/>
          </w:rPr>
          <w:t>20.10 Exercises</w:t>
        </w:r>
      </w:hyperlink>
      <w:r>
        <w:tab/>
      </w:r>
      <w:fldSimple w:instr="PAGEREF exercises-19 \h" w:dirty="false">
        <w:r>
          <w:t>107</w:t>
        </w:r>
      </w:fldSimple>
    </w:p>
    <w:p>
      <w:pPr>
        <w:pStyle w:val="TOC2"/>
        <w:tabs>
          <w:tab w:val="right" w:leader="dot" w:pos="9360"/>
        </w:tabs>
        <w:keepLines/>
      </w:pPr>
      <w:hyperlink w:anchor="chapter-summary-19">
        <w:r>
          <w:rPr>
            <w:rStyle w:val="Hyperlink"/>
          </w:rPr>
          <w:t>20.11 Chapter summary</w:t>
        </w:r>
      </w:hyperlink>
      <w:r>
        <w:tab/>
      </w:r>
      <w:fldSimple w:instr="PAGEREF chapter-summary-19 \h" w:dirty="false">
        <w:r>
          <w:t>107</w:t>
        </w:r>
      </w:fldSimple>
    </w:p>
    <w:p>
      <w:pPr>
        <w:pStyle w:val="TOC1"/>
        <w:tabs>
          <w:tab w:val="right" w:leader="dot" w:pos="9360"/>
        </w:tabs>
        <w:keepLines/>
      </w:pPr>
      <w:hyperlink w:anchor="arch-and-garch-models">
        <w:r>
          <w:rPr>
            <w:rStyle w:val="Hyperlink"/>
          </w:rPr>
          <w:t>21 ARCH and GARCH Models</w:t>
        </w:r>
      </w:hyperlink>
      <w:r>
        <w:tab/>
      </w:r>
      <w:fldSimple w:instr="PAGEREF arch-and-garch-models \h" w:dirty="false">
        <w:r>
          <w:t>108</w:t>
        </w:r>
      </w:fldSimple>
    </w:p>
    <w:p>
      <w:pPr>
        <w:pStyle w:val="TOC2"/>
        <w:tabs>
          <w:tab w:val="right" w:leader="dot" w:pos="9360"/>
        </w:tabs>
        <w:keepLines/>
      </w:pPr>
      <w:hyperlink w:anchor="learning-objectives-20">
        <w:r>
          <w:rPr>
            <w:rStyle w:val="Hyperlink"/>
          </w:rPr>
          <w:t>21.1 Learning objectives</w:t>
        </w:r>
      </w:hyperlink>
      <w:r>
        <w:tab/>
      </w:r>
      <w:fldSimple w:instr="PAGEREF learning-objectives-20 \h" w:dirty="false">
        <w:r>
          <w:t>108</w:t>
        </w:r>
      </w:fldSimple>
    </w:p>
    <w:p>
      <w:pPr>
        <w:pStyle w:val="TOC2"/>
        <w:tabs>
          <w:tab w:val="right" w:leader="dot" w:pos="9360"/>
        </w:tabs>
        <w:keepLines/>
      </w:pPr>
      <w:hyperlink w:anchor="volatility-is-latent-and-conditional">
        <w:r>
          <w:rPr>
            <w:rStyle w:val="Hyperlink"/>
          </w:rPr>
          <w:t>21.2 Volatility is latent and conditional</w:t>
        </w:r>
      </w:hyperlink>
      <w:r>
        <w:tab/>
      </w:r>
      <w:fldSimple w:instr="PAGEREF volatility-is-latent-and-conditional \h" w:dirty="false">
        <w:r>
          <w:t>108</w:t>
        </w:r>
      </w:fldSimple>
    </w:p>
    <w:p>
      <w:pPr>
        <w:pStyle w:val="TOC2"/>
        <w:tabs>
          <w:tab w:val="right" w:leader="dot" w:pos="9360"/>
        </w:tabs>
        <w:keepLines/>
      </w:pPr>
      <w:hyperlink w:anchor="garch-compresses-a-long-memory">
        <w:r>
          <w:rPr>
            <w:rStyle w:val="Hyperlink"/>
          </w:rPr>
          <w:t>21.3 GARCH compresses a long memory</w:t>
        </w:r>
      </w:hyperlink>
      <w:r>
        <w:tab/>
      </w:r>
      <w:fldSimple w:instr="PAGEREF garch-compresses-a-long-memory \h" w:dirty="false">
        <w:r>
          <w:t>108</w:t>
        </w:r>
      </w:fldSimple>
    </w:p>
    <w:p>
      <w:pPr>
        <w:pStyle w:val="TOC2"/>
        <w:tabs>
          <w:tab w:val="right" w:leader="dot" w:pos="9360"/>
        </w:tabs>
        <w:keepLines/>
      </w:pPr>
      <w:hyperlink w:anchor="X20280c1d7afd20dc677cd2c7b24f4a9bbf8965a">
        <w:r>
          <w:rPr>
            <w:rStyle w:val="Hyperlink"/>
          </w:rPr>
          <w:t>21.4 Model checking moves to standardized residuals</w:t>
        </w:r>
      </w:hyperlink>
      <w:r>
        <w:tab/>
      </w:r>
      <w:fldSimple w:instr="PAGEREF X20280c1d7afd20dc677cd2c7b24f4a9bbf8965a \h" w:dirty="false">
        <w:r>
          <w:t>108</w:t>
        </w:r>
      </w:fldSimple>
    </w:p>
    <w:p>
      <w:pPr>
        <w:pStyle w:val="TOC2"/>
        <w:tabs>
          <w:tab w:val="right" w:leader="dot" w:pos="9360"/>
        </w:tabs>
        <w:keepLines/>
      </w:pPr>
      <w:hyperlink w:anchor="core-equations-8">
        <w:r>
          <w:rPr>
            <w:rStyle w:val="Hyperlink"/>
          </w:rPr>
          <w:t>21.5 Core equations</w:t>
        </w:r>
      </w:hyperlink>
      <w:r>
        <w:tab/>
      </w:r>
      <w:fldSimple w:instr="PAGEREF core-equations-8 \h" w:dirty="false">
        <w:r>
          <w:t>109</w:t>
        </w:r>
      </w:fldSimple>
    </w:p>
    <w:p>
      <w:pPr>
        <w:pStyle w:val="TOC2"/>
        <w:tabs>
          <w:tab w:val="right" w:leader="dot" w:pos="9360"/>
        </w:tabs>
        <w:keepLines/>
      </w:pPr>
      <w:hyperlink w:anchor="python-demonstrations-20">
        <w:r>
          <w:rPr>
            <w:rStyle w:val="Hyperlink"/>
          </w:rPr>
          <w:t>21.6 Python demonstrations</w:t>
        </w:r>
      </w:hyperlink>
      <w:r>
        <w:tab/>
      </w:r>
      <w:fldSimple w:instr="PAGEREF python-demonstrations-20 \h" w:dirty="false">
        <w:r>
          <w:t>109</w:t>
        </w:r>
      </w:fldSimple>
    </w:p>
    <w:p>
      <w:pPr>
        <w:pStyle w:val="TOC2"/>
        <w:tabs>
          <w:tab w:val="right" w:leader="dot" w:pos="9360"/>
        </w:tabs>
        <w:keepLines/>
      </w:pPr>
      <w:hyperlink w:anchor="guided-practice-20">
        <w:r>
          <w:rPr>
            <w:rStyle w:val="Hyperlink"/>
          </w:rPr>
          <w:t>21.9 Guided practice</w:t>
        </w:r>
      </w:hyperlink>
      <w:r>
        <w:tab/>
      </w:r>
      <w:fldSimple w:instr="PAGEREF guided-practice-20 \h" w:dirty="false">
        <w:r>
          <w:t>111</w:t>
        </w:r>
      </w:fldSimple>
    </w:p>
    <w:p>
      <w:pPr>
        <w:pStyle w:val="TOC2"/>
        <w:tabs>
          <w:tab w:val="right" w:leader="dot" w:pos="9360"/>
        </w:tabs>
        <w:keepLines/>
      </w:pPr>
      <w:hyperlink w:anchor="exercises-20">
        <w:r>
          <w:rPr>
            <w:rStyle w:val="Hyperlink"/>
          </w:rPr>
          <w:t>21.10 Exercises</w:t>
        </w:r>
      </w:hyperlink>
      <w:r>
        <w:tab/>
      </w:r>
      <w:fldSimple w:instr="PAGEREF exercises-20 \h" w:dirty="false">
        <w:r>
          <w:t>111</w:t>
        </w:r>
      </w:fldSimple>
    </w:p>
    <w:p>
      <w:pPr>
        <w:pStyle w:val="TOC2"/>
        <w:tabs>
          <w:tab w:val="right" w:leader="dot" w:pos="9360"/>
        </w:tabs>
        <w:keepLines/>
      </w:pPr>
      <w:hyperlink w:anchor="chapter-summary-20">
        <w:r>
          <w:rPr>
            <w:rStyle w:val="Hyperlink"/>
          </w:rPr>
          <w:t>21.11 Chapter summary</w:t>
        </w:r>
      </w:hyperlink>
      <w:r>
        <w:tab/>
      </w:r>
      <w:fldSimple w:instr="PAGEREF chapter-summary-20 \h" w:dirty="false">
        <w:r>
          <w:t>111</w:t>
        </w:r>
      </w:fldSimple>
    </w:p>
    <w:p>
      <w:pPr>
        <w:pStyle w:val="TOC1"/>
        <w:tabs>
          <w:tab w:val="right" w:leader="dot" w:pos="9360"/>
        </w:tabs>
        <w:keepLines/>
      </w:pPr>
      <w:hyperlink w:anchor="X117230c6fba230992af937318d89142652b0169">
        <w:r>
          <w:rPr>
            <w:rStyle w:val="Hyperlink"/>
          </w:rPr>
          <w:t>22 Asymmetric, Advanced, and Realized Volatility</w:t>
        </w:r>
      </w:hyperlink>
      <w:r>
        <w:tab/>
      </w:r>
      <w:fldSimple w:instr="PAGEREF X117230c6fba230992af937318d89142652b0169 \h" w:dirty="false">
        <w:r>
          <w:t>112</w:t>
        </w:r>
      </w:fldSimple>
    </w:p>
    <w:p>
      <w:pPr>
        <w:pStyle w:val="TOC2"/>
        <w:tabs>
          <w:tab w:val="right" w:leader="dot" w:pos="9360"/>
        </w:tabs>
        <w:keepLines/>
      </w:pPr>
      <w:hyperlink w:anchor="learning-objectives-21">
        <w:r>
          <w:rPr>
            <w:rStyle w:val="Hyperlink"/>
          </w:rPr>
          <w:t>22.1 Learning objectives</w:t>
        </w:r>
      </w:hyperlink>
      <w:r>
        <w:tab/>
      </w:r>
      <w:fldSimple w:instr="PAGEREF learning-objectives-21 \h" w:dirty="false">
        <w:r>
          <w:t>112</w:t>
        </w:r>
      </w:fldSimple>
    </w:p>
    <w:p>
      <w:pPr>
        <w:pStyle w:val="TOC2"/>
        <w:tabs>
          <w:tab w:val="right" w:leader="dot" w:pos="9360"/>
        </w:tabs>
        <w:keepLines/>
      </w:pPr>
      <w:hyperlink w:anchor="X7b830e4fa760499c86ac988a4001afc332dcbb7">
        <w:r>
          <w:rPr>
            <w:rStyle w:val="Hyperlink"/>
          </w:rPr>
          <w:t>22.2 Asymmetry belongs in the variance equation</w:t>
        </w:r>
      </w:hyperlink>
      <w:r>
        <w:tab/>
      </w:r>
      <w:fldSimple w:instr="PAGEREF X7b830e4fa760499c86ac988a4001afc332dcbb7 \h" w:dirty="false">
        <w:r>
          <w:t>112</w:t>
        </w:r>
      </w:fldSimple>
    </w:p>
    <w:p>
      <w:pPr>
        <w:pStyle w:val="TOC2"/>
        <w:tabs>
          <w:tab w:val="right" w:leader="dot" w:pos="9360"/>
        </w:tabs>
        <w:keepLines/>
      </w:pPr>
      <w:hyperlink w:anchor="realized-measures-use-more-of-the-day">
        <w:r>
          <w:rPr>
            <w:rStyle w:val="Hyperlink"/>
          </w:rPr>
          <w:t>22.3 Realized measures use more of the day</w:t>
        </w:r>
      </w:hyperlink>
      <w:r>
        <w:tab/>
      </w:r>
      <w:fldSimple w:instr="PAGEREF realized-measures-use-more-of-the-day \h" w:dirty="false">
        <w:r>
          <w:t>112</w:t>
        </w:r>
      </w:fldSimple>
    </w:p>
    <w:p>
      <w:pPr>
        <w:pStyle w:val="TOC2"/>
        <w:tabs>
          <w:tab w:val="right" w:leader="dot" w:pos="9360"/>
        </w:tabs>
        <w:keepLines/>
      </w:pPr>
      <w:hyperlink w:anchor="Xe40ea9c75de15ca7fbd4bec6af020e5d955ea35">
        <w:r>
          <w:rPr>
            <w:rStyle w:val="Hyperlink"/>
          </w:rPr>
          <w:t>22.4 OHLC estimators trade assumptions for efficiency</w:t>
        </w:r>
      </w:hyperlink>
      <w:r>
        <w:tab/>
      </w:r>
      <w:fldSimple w:instr="PAGEREF Xe40ea9c75de15ca7fbd4bec6af020e5d955ea35 \h" w:dirty="false">
        <w:r>
          <w:t>112</w:t>
        </w:r>
      </w:fldSimple>
    </w:p>
    <w:p>
      <w:pPr>
        <w:pStyle w:val="TOC2"/>
        <w:tabs>
          <w:tab w:val="right" w:leader="dot" w:pos="9360"/>
        </w:tabs>
        <w:keepLines/>
      </w:pPr>
      <w:hyperlink w:anchor="core-equations-9">
        <w:r>
          <w:rPr>
            <w:rStyle w:val="Hyperlink"/>
          </w:rPr>
          <w:t>22.5 Core equations</w:t>
        </w:r>
      </w:hyperlink>
      <w:r>
        <w:tab/>
      </w:r>
      <w:fldSimple w:instr="PAGEREF core-equations-9 \h" w:dirty="false">
        <w:r>
          <w:t>113</w:t>
        </w:r>
      </w:fldSimple>
    </w:p>
    <w:p>
      <w:pPr>
        <w:pStyle w:val="TOC2"/>
        <w:tabs>
          <w:tab w:val="right" w:leader="dot" w:pos="9360"/>
        </w:tabs>
        <w:keepLines/>
      </w:pPr>
      <w:hyperlink w:anchor="python-demonstrations-21">
        <w:r>
          <w:rPr>
            <w:rStyle w:val="Hyperlink"/>
          </w:rPr>
          <w:t>22.6 Python demonstrations</w:t>
        </w:r>
      </w:hyperlink>
      <w:r>
        <w:tab/>
      </w:r>
      <w:fldSimple w:instr="PAGEREF python-demonstrations-21 \h" w:dirty="false">
        <w:r>
          <w:t>113</w:t>
        </w:r>
      </w:fldSimple>
    </w:p>
    <w:p>
      <w:pPr>
        <w:pStyle w:val="TOC2"/>
        <w:tabs>
          <w:tab w:val="right" w:leader="dot" w:pos="9360"/>
        </w:tabs>
        <w:keepLines/>
      </w:pPr>
      <w:hyperlink w:anchor="guided-practice-21">
        <w:r>
          <w:rPr>
            <w:rStyle w:val="Hyperlink"/>
          </w:rPr>
          <w:t>22.9 Guided practice</w:t>
        </w:r>
      </w:hyperlink>
      <w:r>
        <w:tab/>
      </w:r>
      <w:fldSimple w:instr="PAGEREF guided-practice-21 \h" w:dirty="false">
        <w:r>
          <w:t>116</w:t>
        </w:r>
      </w:fldSimple>
    </w:p>
    <w:p>
      <w:pPr>
        <w:pStyle w:val="TOC2"/>
        <w:tabs>
          <w:tab w:val="right" w:leader="dot" w:pos="9360"/>
        </w:tabs>
        <w:keepLines/>
      </w:pPr>
      <w:hyperlink w:anchor="exercises-21">
        <w:r>
          <w:rPr>
            <w:rStyle w:val="Hyperlink"/>
          </w:rPr>
          <w:t>22.10 Exercises</w:t>
        </w:r>
      </w:hyperlink>
      <w:r>
        <w:tab/>
      </w:r>
      <w:fldSimple w:instr="PAGEREF exercises-21 \h" w:dirty="false">
        <w:r>
          <w:t>116</w:t>
        </w:r>
      </w:fldSimple>
    </w:p>
    <w:p>
      <w:pPr>
        <w:pStyle w:val="TOC2"/>
        <w:tabs>
          <w:tab w:val="right" w:leader="dot" w:pos="9360"/>
        </w:tabs>
        <w:keepLines/>
      </w:pPr>
      <w:hyperlink w:anchor="chapter-summary-21">
        <w:r>
          <w:rPr>
            <w:rStyle w:val="Hyperlink"/>
          </w:rPr>
          <w:t>22.11 Chapter summary</w:t>
        </w:r>
      </w:hyperlink>
      <w:r>
        <w:tab/>
      </w:r>
      <w:fldSimple w:instr="PAGEREF chapter-summary-21 \h" w:dirty="false">
        <w:r>
          <w:t>116</w:t>
        </w:r>
      </w:fldSimple>
    </w:p>
    <w:p>
      <w:pPr>
        <w:pStyle w:val="TOC1"/>
        <w:tabs>
          <w:tab w:val="right" w:leader="dot" w:pos="9360"/>
        </w:tabs>
        <w:keepLines/>
      </w:pPr>
      <w:hyperlink w:anchor="X5782de4a538c050ce79113f2fdb99aff0ab9f9a">
        <w:r>
          <w:rPr>
            <w:rStyle w:val="Hyperlink"/>
          </w:rPr>
          <w:t>23 Nonlinear Models, Regimes, Market Microstructure, and Ordered Outcomes</w:t>
        </w:r>
      </w:hyperlink>
      <w:r>
        <w:tab/>
      </w:r>
      <w:fldSimple w:instr="PAGEREF X5782de4a538c050ce79113f2fdb99aff0ab9f9a \h" w:dirty="false">
        <w:r>
          <w:t>117</w:t>
        </w:r>
      </w:fldSimple>
    </w:p>
    <w:p>
      <w:pPr>
        <w:pStyle w:val="TOC2"/>
        <w:tabs>
          <w:tab w:val="right" w:leader="dot" w:pos="9360"/>
        </w:tabs>
        <w:keepLines/>
      </w:pPr>
      <w:hyperlink w:anchor="learning-objectives-22">
        <w:r>
          <w:rPr>
            <w:rStyle w:val="Hyperlink"/>
          </w:rPr>
          <w:t>23.1 Learning objectives</w:t>
        </w:r>
      </w:hyperlink>
      <w:r>
        <w:tab/>
      </w:r>
      <w:fldSimple w:instr="PAGEREF learning-objectives-22 \h" w:dirty="false">
        <w:r>
          <w:t>117</w:t>
        </w:r>
      </w:fldSimple>
    </w:p>
    <w:p>
      <w:pPr>
        <w:pStyle w:val="TOC2"/>
        <w:tabs>
          <w:tab w:val="right" w:leader="dot" w:pos="9360"/>
        </w:tabs>
        <w:keepLines/>
      </w:pPr>
      <w:hyperlink w:anchor="threshold-models-make-dynamics-piecewise">
        <w:r>
          <w:rPr>
            <w:rStyle w:val="Hyperlink"/>
          </w:rPr>
          <w:t>23.2 Threshold models make dynamics piecewise</w:t>
        </w:r>
      </w:hyperlink>
      <w:r>
        <w:tab/>
      </w:r>
      <w:fldSimple w:instr="PAGEREF threshold-models-make-dynamics-piecewise \h" w:dirty="false">
        <w:r>
          <w:t>117</w:t>
        </w:r>
      </w:fldSimple>
    </w:p>
    <w:p>
      <w:pPr>
        <w:pStyle w:val="TOC2"/>
        <w:tabs>
          <w:tab w:val="right" w:leader="dot" w:pos="9360"/>
        </w:tabs>
        <w:keepLines/>
      </w:pPr>
      <w:hyperlink w:anchor="X8c325905f4118b307fea1fc2795ca7c3aaee175">
        <w:r>
          <w:rPr>
            <w:rStyle w:val="Hyperlink"/>
          </w:rPr>
          <w:t>23.3 Markov switching treats the regime as latent</w:t>
        </w:r>
      </w:hyperlink>
      <w:r>
        <w:tab/>
      </w:r>
      <w:fldSimple w:instr="PAGEREF X8c325905f4118b307fea1fc2795ca7c3aaee175 \h" w:dirty="false">
        <w:r>
          <w:t>117</w:t>
        </w:r>
      </w:fldSimple>
    </w:p>
    <w:p>
      <w:pPr>
        <w:pStyle w:val="TOC2"/>
        <w:tabs>
          <w:tab w:val="right" w:leader="dot" w:pos="9360"/>
        </w:tabs>
        <w:keepLines/>
      </w:pPr>
      <w:hyperlink w:anchor="Xfec1341b9414cad5f54aca74af64c4b71b0c052">
        <w:r>
          <w:rPr>
            <w:rStyle w:val="Hyperlink"/>
          </w:rPr>
          <w:t>23.4 Market data are generated by trading mechanisms</w:t>
        </w:r>
      </w:hyperlink>
      <w:r>
        <w:tab/>
      </w:r>
      <w:fldSimple w:instr="PAGEREF Xfec1341b9414cad5f54aca74af64c4b71b0c052 \h" w:dirty="false">
        <w:r>
          <w:t>117</w:t>
        </w:r>
      </w:fldSimple>
    </w:p>
    <w:p>
      <w:pPr>
        <w:pStyle w:val="TOC2"/>
        <w:tabs>
          <w:tab w:val="right" w:leader="dot" w:pos="9360"/>
        </w:tabs>
        <w:keepLines/>
      </w:pPr>
      <w:hyperlink w:anchor="core-equations-10">
        <w:r>
          <w:rPr>
            <w:rStyle w:val="Hyperlink"/>
          </w:rPr>
          <w:t>23.5 Core equations</w:t>
        </w:r>
      </w:hyperlink>
      <w:r>
        <w:tab/>
      </w:r>
      <w:fldSimple w:instr="PAGEREF core-equations-10 \h" w:dirty="false">
        <w:r>
          <w:t>118</w:t>
        </w:r>
      </w:fldSimple>
    </w:p>
    <w:p>
      <w:pPr>
        <w:pStyle w:val="TOC2"/>
        <w:tabs>
          <w:tab w:val="right" w:leader="dot" w:pos="9360"/>
        </w:tabs>
        <w:keepLines/>
      </w:pPr>
      <w:hyperlink w:anchor="python-demonstrations-22">
        <w:r>
          <w:rPr>
            <w:rStyle w:val="Hyperlink"/>
          </w:rPr>
          <w:t>23.6 Python demonstrations</w:t>
        </w:r>
      </w:hyperlink>
      <w:r>
        <w:tab/>
      </w:r>
      <w:fldSimple w:instr="PAGEREF python-demonstrations-22 \h" w:dirty="false">
        <w:r>
          <w:t>118</w:t>
        </w:r>
      </w:fldSimple>
    </w:p>
    <w:p>
      <w:pPr>
        <w:pStyle w:val="TOC2"/>
        <w:tabs>
          <w:tab w:val="right" w:leader="dot" w:pos="9360"/>
        </w:tabs>
        <w:keepLines/>
      </w:pPr>
      <w:hyperlink w:anchor="guided-practice-22">
        <w:r>
          <w:rPr>
            <w:rStyle w:val="Hyperlink"/>
          </w:rPr>
          <w:t>23.9 Guided practice</w:t>
        </w:r>
      </w:hyperlink>
      <w:r>
        <w:tab/>
      </w:r>
      <w:fldSimple w:instr="PAGEREF guided-practice-22 \h" w:dirty="false">
        <w:r>
          <w:t>121</w:t>
        </w:r>
      </w:fldSimple>
    </w:p>
    <w:p>
      <w:pPr>
        <w:pStyle w:val="TOC2"/>
        <w:tabs>
          <w:tab w:val="right" w:leader="dot" w:pos="9360"/>
        </w:tabs>
        <w:keepLines/>
      </w:pPr>
      <w:hyperlink w:anchor="exercises-22">
        <w:r>
          <w:rPr>
            <w:rStyle w:val="Hyperlink"/>
          </w:rPr>
          <w:t>23.10 Exercises</w:t>
        </w:r>
      </w:hyperlink>
      <w:r>
        <w:tab/>
      </w:r>
      <w:fldSimple w:instr="PAGEREF exercises-22 \h" w:dirty="false">
        <w:r>
          <w:t>121</w:t>
        </w:r>
      </w:fldSimple>
    </w:p>
    <w:p>
      <w:pPr>
        <w:pStyle w:val="TOC2"/>
        <w:tabs>
          <w:tab w:val="right" w:leader="dot" w:pos="9360"/>
        </w:tabs>
        <w:keepLines/>
      </w:pPr>
      <w:hyperlink w:anchor="chapter-summary-22">
        <w:r>
          <w:rPr>
            <w:rStyle w:val="Hyperlink"/>
          </w:rPr>
          <w:t>23.11 Chapter summary</w:t>
        </w:r>
      </w:hyperlink>
      <w:r>
        <w:tab/>
      </w:r>
      <w:fldSimple w:instr="PAGEREF chapter-summary-22 \h" w:dirty="false">
        <w:r>
          <w:t>121</w:t>
        </w:r>
      </w:fldSimple>
    </w:p>
    <w:p>
      <w:pPr>
        <w:pStyle w:val="TOC1"/>
        <w:tabs>
          <w:tab w:val="right" w:leader="dot" w:pos="9360"/>
        </w:tabs>
        <w:keepLines/>
      </w:pPr>
      <w:hyperlink w:anchor="stochastic-processes-and-option-pricing">
        <w:r>
          <w:rPr>
            <w:rStyle w:val="Hyperlink"/>
          </w:rPr>
          <w:t>24 Stochastic Processes and Option Pricing</w:t>
        </w:r>
      </w:hyperlink>
      <w:r>
        <w:tab/>
      </w:r>
      <w:fldSimple w:instr="PAGEREF stochastic-processes-and-option-pricing \h" w:dirty="false">
        <w:r>
          <w:t>122</w:t>
        </w:r>
      </w:fldSimple>
    </w:p>
    <w:p>
      <w:pPr>
        <w:pStyle w:val="TOC2"/>
        <w:tabs>
          <w:tab w:val="right" w:leader="dot" w:pos="9360"/>
        </w:tabs>
        <w:keepLines/>
      </w:pPr>
      <w:hyperlink w:anchor="learning-objectives-23">
        <w:r>
          <w:rPr>
            <w:rStyle w:val="Hyperlink"/>
          </w:rPr>
          <w:t>24.1 Learning objectives</w:t>
        </w:r>
      </w:hyperlink>
      <w:r>
        <w:tab/>
      </w:r>
      <w:fldSimple w:instr="PAGEREF learning-objectives-23 \h" w:dirty="false">
        <w:r>
          <w:t>122</w:t>
        </w:r>
      </w:fldSimple>
    </w:p>
    <w:p>
      <w:pPr>
        <w:pStyle w:val="TOC2"/>
        <w:tabs>
          <w:tab w:val="right" w:leader="dot" w:pos="9360"/>
        </w:tabs>
        <w:keepLines/>
      </w:pPr>
      <w:hyperlink w:anchor="X85e42a64064bd03ca6ca2ad1edcaf4ce0fbe1ff">
        <w:r>
          <w:rPr>
            <w:rStyle w:val="Hyperlink"/>
          </w:rPr>
          <w:t>24.2 Brownian motion accumulates random increments</w:t>
        </w:r>
      </w:hyperlink>
      <w:r>
        <w:tab/>
      </w:r>
      <w:fldSimple w:instr="PAGEREF X85e42a64064bd03ca6ca2ad1edcaf4ce0fbe1ff \h" w:dirty="false">
        <w:r>
          <w:t>122</w:t>
        </w:r>
      </w:fldSimple>
    </w:p>
    <w:p>
      <w:pPr>
        <w:pStyle w:val="TOC2"/>
        <w:tabs>
          <w:tab w:val="right" w:leader="dot" w:pos="9360"/>
        </w:tabs>
        <w:keepLines/>
      </w:pPr>
      <w:hyperlink w:anchor="itos-lemma-adds-a-variance-correction">
        <w:r>
          <w:rPr>
            <w:rStyle w:val="Hyperlink"/>
          </w:rPr>
          <w:t>24.3 Ito’s lemma adds a variance correction</w:t>
        </w:r>
      </w:hyperlink>
      <w:r>
        <w:tab/>
      </w:r>
      <w:fldSimple w:instr="PAGEREF itos-lemma-adds-a-variance-correction \h" w:dirty="false">
        <w:r>
          <w:t>122</w:t>
        </w:r>
      </w:fldSimple>
    </w:p>
    <w:p>
      <w:pPr>
        <w:pStyle w:val="TOC2"/>
        <w:tabs>
          <w:tab w:val="right" w:leader="dot" w:pos="9360"/>
        </w:tabs>
        <w:keepLines/>
      </w:pPr>
      <w:hyperlink w:anchor="X1d11e57e9901f2140481c3c8499783ba7a84ba2">
        <w:r>
          <w:rPr>
            <w:rStyle w:val="Hyperlink"/>
          </w:rPr>
          <w:t>24.4 Black-Scholes is a model, not a market law</w:t>
        </w:r>
      </w:hyperlink>
      <w:r>
        <w:tab/>
      </w:r>
      <w:fldSimple w:instr="PAGEREF X1d11e57e9901f2140481c3c8499783ba7a84ba2 \h" w:dirty="false">
        <w:r>
          <w:t>122</w:t>
        </w:r>
      </w:fldSimple>
    </w:p>
    <w:p>
      <w:pPr>
        <w:pStyle w:val="TOC2"/>
        <w:tabs>
          <w:tab w:val="right" w:leader="dot" w:pos="9360"/>
        </w:tabs>
        <w:keepLines/>
      </w:pPr>
      <w:hyperlink w:anchor="core-equations-11">
        <w:r>
          <w:rPr>
            <w:rStyle w:val="Hyperlink"/>
          </w:rPr>
          <w:t>24.5 Core equations</w:t>
        </w:r>
      </w:hyperlink>
      <w:r>
        <w:tab/>
      </w:r>
      <w:fldSimple w:instr="PAGEREF core-equations-11 \h" w:dirty="false">
        <w:r>
          <w:t>123</w:t>
        </w:r>
      </w:fldSimple>
    </w:p>
    <w:p>
      <w:pPr>
        <w:pStyle w:val="TOC2"/>
        <w:tabs>
          <w:tab w:val="right" w:leader="dot" w:pos="9360"/>
        </w:tabs>
        <w:keepLines/>
      </w:pPr>
      <w:hyperlink w:anchor="python-demonstrations-23">
        <w:r>
          <w:rPr>
            <w:rStyle w:val="Hyperlink"/>
          </w:rPr>
          <w:t>24.6 Python demonstrations</w:t>
        </w:r>
      </w:hyperlink>
      <w:r>
        <w:tab/>
      </w:r>
      <w:fldSimple w:instr="PAGEREF python-demonstrations-23 \h" w:dirty="false">
        <w:r>
          <w:t>123</w:t>
        </w:r>
      </w:fldSimple>
    </w:p>
    <w:p>
      <w:pPr>
        <w:pStyle w:val="TOC2"/>
        <w:tabs>
          <w:tab w:val="right" w:leader="dot" w:pos="9360"/>
        </w:tabs>
        <w:keepLines/>
      </w:pPr>
      <w:hyperlink w:anchor="guided-practice-23">
        <w:r>
          <w:rPr>
            <w:rStyle w:val="Hyperlink"/>
          </w:rPr>
          <w:t>24.9 Guided practice</w:t>
        </w:r>
      </w:hyperlink>
      <w:r>
        <w:tab/>
      </w:r>
      <w:fldSimple w:instr="PAGEREF guided-practice-23 \h" w:dirty="false">
        <w:r>
          <w:t>126</w:t>
        </w:r>
      </w:fldSimple>
    </w:p>
    <w:p>
      <w:pPr>
        <w:pStyle w:val="TOC2"/>
        <w:tabs>
          <w:tab w:val="right" w:leader="dot" w:pos="9360"/>
        </w:tabs>
        <w:keepLines/>
      </w:pPr>
      <w:hyperlink w:anchor="exercises-23">
        <w:r>
          <w:rPr>
            <w:rStyle w:val="Hyperlink"/>
          </w:rPr>
          <w:t>24.10 Exercises</w:t>
        </w:r>
      </w:hyperlink>
      <w:r>
        <w:tab/>
      </w:r>
      <w:fldSimple w:instr="PAGEREF exercises-23 \h" w:dirty="false">
        <w:r>
          <w:t>126</w:t>
        </w:r>
      </w:fldSimple>
    </w:p>
    <w:p>
      <w:pPr>
        <w:pStyle w:val="TOC2"/>
        <w:tabs>
          <w:tab w:val="right" w:leader="dot" w:pos="9360"/>
        </w:tabs>
        <w:keepLines/>
      </w:pPr>
      <w:hyperlink w:anchor="chapter-summary-23">
        <w:r>
          <w:rPr>
            <w:rStyle w:val="Hyperlink"/>
          </w:rPr>
          <w:t>24.11 Chapter summary</w:t>
        </w:r>
      </w:hyperlink>
      <w:r>
        <w:tab/>
      </w:r>
      <w:fldSimple w:instr="PAGEREF chapter-summary-23 \h" w:dirty="false">
        <w:r>
          <w:t>126</w:t>
        </w:r>
      </w:fldSimple>
    </w:p>
    <w:p>
      <w:pPr>
        <w:pStyle w:val="TOC1"/>
        <w:tabs>
          <w:tab w:val="right" w:leader="dot" w:pos="9360"/>
        </w:tabs>
        <w:keepLines/>
      </w:pPr>
      <w:hyperlink w:anchor="financial-risk-management">
        <w:r>
          <w:rPr>
            <w:rStyle w:val="Hyperlink"/>
          </w:rPr>
          <w:t>25 Financial Risk Management</w:t>
        </w:r>
      </w:hyperlink>
      <w:r>
        <w:tab/>
      </w:r>
      <w:fldSimple w:instr="PAGEREF financial-risk-management \h" w:dirty="false">
        <w:r>
          <w:t>128</w:t>
        </w:r>
      </w:fldSimple>
    </w:p>
    <w:p>
      <w:pPr>
        <w:pStyle w:val="TOC2"/>
        <w:tabs>
          <w:tab w:val="right" w:leader="dot" w:pos="9360"/>
        </w:tabs>
        <w:keepLines/>
      </w:pPr>
      <w:hyperlink w:anchor="learning-objectives-24">
        <w:r>
          <w:rPr>
            <w:rStyle w:val="Hyperlink"/>
          </w:rPr>
          <w:t>25.1 Learning objectives</w:t>
        </w:r>
      </w:hyperlink>
      <w:r>
        <w:tab/>
      </w:r>
      <w:fldSimple w:instr="PAGEREF learning-objectives-24 \h" w:dirty="false">
        <w:r>
          <w:t>128</w:t>
        </w:r>
      </w:fldSimple>
    </w:p>
    <w:p>
      <w:pPr>
        <w:pStyle w:val="TOC2"/>
        <w:tabs>
          <w:tab w:val="right" w:leader="dot" w:pos="9360"/>
        </w:tabs>
        <w:keepLines/>
      </w:pPr>
      <w:hyperlink w:anchor="the-sign-convention-comes-first">
        <w:r>
          <w:rPr>
            <w:rStyle w:val="Hyperlink"/>
          </w:rPr>
          <w:t>25.2 The sign convention comes first</w:t>
        </w:r>
      </w:hyperlink>
      <w:r>
        <w:tab/>
      </w:r>
      <w:fldSimple w:instr="PAGEREF the-sign-convention-comes-first \h" w:dirty="false">
        <w:r>
          <w:t>128</w:t>
        </w:r>
      </w:fldSimple>
    </w:p>
    <w:p>
      <w:pPr>
        <w:pStyle w:val="TOC2"/>
        <w:tabs>
          <w:tab w:val="right" w:leader="dot" w:pos="9360"/>
        </w:tabs>
        <w:keepLines/>
      </w:pPr>
      <w:hyperlink w:anchor="X22a532323fcf2aa9eb9799b8a1204cc207ff053">
        <w:r>
          <w:rPr>
            <w:rStyle w:val="Hyperlink"/>
          </w:rPr>
          <w:t>25.3 Expected Shortfall looks beyond the threshold</w:t>
        </w:r>
      </w:hyperlink>
      <w:r>
        <w:tab/>
      </w:r>
      <w:fldSimple w:instr="PAGEREF X22a532323fcf2aa9eb9799b8a1204cc207ff053 \h" w:dirty="false">
        <w:r>
          <w:t>128</w:t>
        </w:r>
      </w:fldSimple>
    </w:p>
    <w:p>
      <w:pPr>
        <w:pStyle w:val="TOC2"/>
        <w:tabs>
          <w:tab w:val="right" w:leader="dot" w:pos="9360"/>
        </w:tabs>
        <w:keepLines/>
      </w:pPr>
      <w:hyperlink w:anchor="Xe00221f1295e192e032492d6b0507e763fca818">
        <w:r>
          <w:rPr>
            <w:rStyle w:val="Hyperlink"/>
          </w:rPr>
          <w:t>25.4 Backtesting checks frequency, not every dimension of risk</w:t>
        </w:r>
      </w:hyperlink>
      <w:r>
        <w:tab/>
      </w:r>
      <w:fldSimple w:instr="PAGEREF Xe00221f1295e192e032492d6b0507e763fca818 \h" w:dirty="false">
        <w:r>
          <w:t>128</w:t>
        </w:r>
      </w:fldSimple>
    </w:p>
    <w:p>
      <w:pPr>
        <w:pStyle w:val="TOC2"/>
        <w:tabs>
          <w:tab w:val="right" w:leader="dot" w:pos="9360"/>
        </w:tabs>
        <w:keepLines/>
      </w:pPr>
      <w:hyperlink w:anchor="core-equations-12">
        <w:r>
          <w:rPr>
            <w:rStyle w:val="Hyperlink"/>
          </w:rPr>
          <w:t>25.5 Core equations</w:t>
        </w:r>
      </w:hyperlink>
      <w:r>
        <w:tab/>
      </w:r>
      <w:fldSimple w:instr="PAGEREF core-equations-12 \h" w:dirty="false">
        <w:r>
          <w:t>129</w:t>
        </w:r>
      </w:fldSimple>
    </w:p>
    <w:p>
      <w:pPr>
        <w:pStyle w:val="TOC2"/>
        <w:tabs>
          <w:tab w:val="right" w:leader="dot" w:pos="9360"/>
        </w:tabs>
        <w:keepLines/>
      </w:pPr>
      <w:hyperlink w:anchor="python-demonstrations-24">
        <w:r>
          <w:rPr>
            <w:rStyle w:val="Hyperlink"/>
          </w:rPr>
          <w:t>25.6 Python demonstrations</w:t>
        </w:r>
      </w:hyperlink>
      <w:r>
        <w:tab/>
      </w:r>
      <w:fldSimple w:instr="PAGEREF python-demonstrations-24 \h" w:dirty="false">
        <w:r>
          <w:t>129</w:t>
        </w:r>
      </w:fldSimple>
    </w:p>
    <w:p>
      <w:pPr>
        <w:pStyle w:val="TOC2"/>
        <w:tabs>
          <w:tab w:val="right" w:leader="dot" w:pos="9360"/>
        </w:tabs>
        <w:keepLines/>
      </w:pPr>
      <w:hyperlink w:anchor="guided-practice-24">
        <w:r>
          <w:rPr>
            <w:rStyle w:val="Hyperlink"/>
          </w:rPr>
          <w:t>25.9 Guided practice</w:t>
        </w:r>
      </w:hyperlink>
      <w:r>
        <w:tab/>
      </w:r>
      <w:fldSimple w:instr="PAGEREF guided-practice-24 \h" w:dirty="false">
        <w:r>
          <w:t>131</w:t>
        </w:r>
      </w:fldSimple>
    </w:p>
    <w:p>
      <w:pPr>
        <w:pStyle w:val="TOC2"/>
        <w:tabs>
          <w:tab w:val="right" w:leader="dot" w:pos="9360"/>
        </w:tabs>
        <w:keepLines/>
      </w:pPr>
      <w:hyperlink w:anchor="exercises-24">
        <w:r>
          <w:rPr>
            <w:rStyle w:val="Hyperlink"/>
          </w:rPr>
          <w:t>25.10 Exercises</w:t>
        </w:r>
      </w:hyperlink>
      <w:r>
        <w:tab/>
      </w:r>
      <w:fldSimple w:instr="PAGEREF exercises-24 \h" w:dirty="false">
        <w:r>
          <w:t>132</w:t>
        </w:r>
      </w:fldSimple>
    </w:p>
    <w:p>
      <w:pPr>
        <w:pStyle w:val="TOC2"/>
        <w:tabs>
          <w:tab w:val="right" w:leader="dot" w:pos="9360"/>
        </w:tabs>
        <w:keepLines/>
      </w:pPr>
      <w:hyperlink w:anchor="chapter-summary-24">
        <w:r>
          <w:rPr>
            <w:rStyle w:val="Hyperlink"/>
          </w:rPr>
          <w:t>25.11 Chapter summary</w:t>
        </w:r>
      </w:hyperlink>
      <w:r>
        <w:tab/>
      </w:r>
      <w:fldSimple w:instr="PAGEREF chapter-summary-24 \h" w:dirty="false">
        <w:r>
          <w:t>132</w:t>
        </w:r>
      </w:fldSimple>
    </w:p>
    <w:p>
      <w:pPr>
        <w:pStyle w:val="TOC1"/>
        <w:tabs>
          <w:tab w:val="right" w:leader="dot" w:pos="9360"/>
        </w:tabs>
        <w:keepLines/>
      </w:pPr>
      <w:hyperlink w:anchor="multiple-time-series">
        <w:r>
          <w:rPr>
            <w:rStyle w:val="Hyperlink"/>
          </w:rPr>
          <w:t>26 Multiple Time Series</w:t>
        </w:r>
      </w:hyperlink>
      <w:r>
        <w:tab/>
      </w:r>
      <w:fldSimple w:instr="PAGEREF multiple-time-series \h" w:dirty="false">
        <w:r>
          <w:t>133</w:t>
        </w:r>
      </w:fldSimple>
    </w:p>
    <w:p>
      <w:pPr>
        <w:pStyle w:val="TOC2"/>
        <w:tabs>
          <w:tab w:val="right" w:leader="dot" w:pos="9360"/>
        </w:tabs>
        <w:keepLines/>
      </w:pPr>
      <w:hyperlink w:anchor="learning-objectives-25">
        <w:r>
          <w:rPr>
            <w:rStyle w:val="Hyperlink"/>
          </w:rPr>
          <w:t>26.1 Learning objectives</w:t>
        </w:r>
      </w:hyperlink>
      <w:r>
        <w:tab/>
      </w:r>
      <w:fldSimple w:instr="PAGEREF learning-objectives-25 \h" w:dirty="false">
        <w:r>
          <w:t>133</w:t>
        </w:r>
      </w:fldSimple>
    </w:p>
    <w:p>
      <w:pPr>
        <w:pStyle w:val="TOC2"/>
        <w:tabs>
          <w:tab w:val="right" w:leader="dot" w:pos="9360"/>
        </w:tabs>
        <w:keepLines/>
      </w:pPr>
      <w:hyperlink w:anchor="a-vector-model-uses-shared-information">
        <w:r>
          <w:rPr>
            <w:rStyle w:val="Hyperlink"/>
          </w:rPr>
          <w:t>26.2 A vector model uses shared information</w:t>
        </w:r>
      </w:hyperlink>
      <w:r>
        <w:tab/>
      </w:r>
      <w:fldSimple w:instr="PAGEREF a-vector-model-uses-shared-information \h" w:dirty="false">
        <w:r>
          <w:t>133</w:t>
        </w:r>
      </w:fldSimple>
    </w:p>
    <w:p>
      <w:pPr>
        <w:pStyle w:val="TOC2"/>
        <w:tabs>
          <w:tab w:val="right" w:leader="dot" w:pos="9360"/>
        </w:tabs>
        <w:keepLines/>
      </w:pPr>
      <w:hyperlink w:anchor="X31a0d24fb81166b76217d8e89415cb876da1f9f">
        <w:r>
          <w:rPr>
            <w:rStyle w:val="Hyperlink"/>
          </w:rPr>
          <w:t>26.3 Predictive ordering is not structural causation</w:t>
        </w:r>
      </w:hyperlink>
      <w:r>
        <w:tab/>
      </w:r>
      <w:fldSimple w:instr="PAGEREF X31a0d24fb81166b76217d8e89415cb876da1f9f \h" w:dirty="false">
        <w:r>
          <w:t>133</w:t>
        </w:r>
      </w:fldSimple>
    </w:p>
    <w:p>
      <w:pPr>
        <w:pStyle w:val="TOC2"/>
        <w:tabs>
          <w:tab w:val="right" w:leader="dot" w:pos="9360"/>
        </w:tabs>
        <w:keepLines/>
      </w:pPr>
      <w:hyperlink w:anchor="Xf8cde1e534ae8a947ed4323b490911606cd4977">
        <w:r>
          <w:rPr>
            <w:rStyle w:val="Hyperlink"/>
          </w:rPr>
          <w:t>26.4 Cointegration separates short and long horizons</w:t>
        </w:r>
      </w:hyperlink>
      <w:r>
        <w:tab/>
      </w:r>
      <w:fldSimple w:instr="PAGEREF Xf8cde1e534ae8a947ed4323b490911606cd4977 \h" w:dirty="false">
        <w:r>
          <w:t>133</w:t>
        </w:r>
      </w:fldSimple>
    </w:p>
    <w:p>
      <w:pPr>
        <w:pStyle w:val="TOC2"/>
        <w:tabs>
          <w:tab w:val="right" w:leader="dot" w:pos="9360"/>
        </w:tabs>
        <w:keepLines/>
      </w:pPr>
      <w:hyperlink w:anchor="core-equations-13">
        <w:r>
          <w:rPr>
            <w:rStyle w:val="Hyperlink"/>
          </w:rPr>
          <w:t>26.5 Core equations</w:t>
        </w:r>
      </w:hyperlink>
      <w:r>
        <w:tab/>
      </w:r>
      <w:fldSimple w:instr="PAGEREF core-equations-13 \h" w:dirty="false">
        <w:r>
          <w:t>134</w:t>
        </w:r>
      </w:fldSimple>
    </w:p>
    <w:p>
      <w:pPr>
        <w:pStyle w:val="TOC2"/>
        <w:tabs>
          <w:tab w:val="right" w:leader="dot" w:pos="9360"/>
        </w:tabs>
        <w:keepLines/>
      </w:pPr>
      <w:hyperlink w:anchor="python-demonstrations-25">
        <w:r>
          <w:rPr>
            <w:rStyle w:val="Hyperlink"/>
          </w:rPr>
          <w:t>26.6 Python demonstrations</w:t>
        </w:r>
      </w:hyperlink>
      <w:r>
        <w:tab/>
      </w:r>
      <w:fldSimple w:instr="PAGEREF python-demonstrations-25 \h" w:dirty="false">
        <w:r>
          <w:t>134</w:t>
        </w:r>
      </w:fldSimple>
    </w:p>
    <w:p>
      <w:pPr>
        <w:pStyle w:val="TOC2"/>
        <w:tabs>
          <w:tab w:val="right" w:leader="dot" w:pos="9360"/>
        </w:tabs>
        <w:keepLines/>
      </w:pPr>
      <w:hyperlink w:anchor="guided-practice-25">
        <w:r>
          <w:rPr>
            <w:rStyle w:val="Hyperlink"/>
          </w:rPr>
          <w:t>26.9 Guided practice</w:t>
        </w:r>
      </w:hyperlink>
      <w:r>
        <w:tab/>
      </w:r>
      <w:fldSimple w:instr="PAGEREF guided-practice-25 \h" w:dirty="false">
        <w:r>
          <w:t>137</w:t>
        </w:r>
      </w:fldSimple>
    </w:p>
    <w:p>
      <w:pPr>
        <w:pStyle w:val="TOC2"/>
        <w:tabs>
          <w:tab w:val="right" w:leader="dot" w:pos="9360"/>
        </w:tabs>
        <w:keepLines/>
      </w:pPr>
      <w:hyperlink w:anchor="exercises-25">
        <w:r>
          <w:rPr>
            <w:rStyle w:val="Hyperlink"/>
          </w:rPr>
          <w:t>26.10 Exercises</w:t>
        </w:r>
      </w:hyperlink>
      <w:r>
        <w:tab/>
      </w:r>
      <w:fldSimple w:instr="PAGEREF exercises-25 \h" w:dirty="false">
        <w:r>
          <w:t>138</w:t>
        </w:r>
      </w:fldSimple>
    </w:p>
    <w:p>
      <w:pPr>
        <w:pStyle w:val="TOC2"/>
        <w:tabs>
          <w:tab w:val="right" w:leader="dot" w:pos="9360"/>
        </w:tabs>
        <w:keepLines/>
      </w:pPr>
      <w:hyperlink w:anchor="chapter-summary-25">
        <w:r>
          <w:rPr>
            <w:rStyle w:val="Hyperlink"/>
          </w:rPr>
          <w:t>26.11 Chapter summary</w:t>
        </w:r>
      </w:hyperlink>
      <w:r>
        <w:tab/>
      </w:r>
      <w:fldSimple w:instr="PAGEREF chapter-summary-25 \h" w:dirty="false">
        <w:r>
          <w:t>138</w:t>
        </w:r>
      </w:fldSimple>
    </w:p>
    <w:p>
      <w:pPr>
        <w:pStyle w:val="TOC1"/>
        <w:tabs>
          <w:tab w:val="right" w:leader="dot" w:pos="9360"/>
        </w:tabs>
        <w:keepLines/>
      </w:pPr>
      <w:hyperlink w:anchor="X578f49c8a8be317270611e482207b183d8b0a7c">
        <w:r>
          <w:rPr>
            <w:rStyle w:val="Hyperlink"/>
          </w:rPr>
          <w:t>Part IV: Machine Learning and Artificial Intelligence</w:t>
        </w:r>
      </w:hyperlink>
      <w:r>
        <w:tab/>
      </w:r>
      <w:fldSimple w:instr="PAGEREF X578f49c8a8be317270611e482207b183d8b0a7c \h" w:dirty="false">
        <w:r>
          <w:t>139</w:t>
        </w:r>
      </w:fldSimple>
    </w:p>
    <w:p>
      <w:pPr>
        <w:pStyle w:val="TOC1"/>
        <w:tabs>
          <w:tab w:val="right" w:leader="dot" w:pos="9360"/>
        </w:tabs>
        <w:keepLines/>
      </w:pPr>
      <w:hyperlink w:anchor="X031a15753c2218374c692cc59a0ac0fa300b6e1">
        <w:r>
          <w:rPr>
            <w:rStyle w:val="Hyperlink"/>
          </w:rPr>
          <w:t>27 What Artificial Intelligence and Machine Learning Actually Do</w:t>
        </w:r>
      </w:hyperlink>
      <w:r>
        <w:tab/>
      </w:r>
      <w:fldSimple w:instr="PAGEREF X031a15753c2218374c692cc59a0ac0fa300b6e1 \h" w:dirty="false">
        <w:r>
          <w:t>140</w:t>
        </w:r>
      </w:fldSimple>
    </w:p>
    <w:p>
      <w:pPr>
        <w:pStyle w:val="TOC2"/>
        <w:tabs>
          <w:tab w:val="right" w:leader="dot" w:pos="9360"/>
        </w:tabs>
        <w:keepLines/>
      </w:pPr>
      <w:hyperlink w:anchor="learning-objectives-26">
        <w:r>
          <w:rPr>
            <w:rStyle w:val="Hyperlink"/>
          </w:rPr>
          <w:t>27.1 Learning objectives</w:t>
        </w:r>
      </w:hyperlink>
      <w:r>
        <w:tab/>
      </w:r>
      <w:fldSimple w:instr="PAGEREF learning-objectives-26 \h" w:dirty="false">
        <w:r>
          <w:t>140</w:t>
        </w:r>
      </w:fldSimple>
    </w:p>
    <w:p>
      <w:pPr>
        <w:pStyle w:val="TOC2"/>
        <w:tabs>
          <w:tab w:val="right" w:leader="dot" w:pos="9360"/>
        </w:tabs>
        <w:keepLines/>
      </w:pPr>
      <w:hyperlink w:anchor="ai-is-an-umbrella-not-a-single-mechanism">
        <w:r>
          <w:rPr>
            <w:rStyle w:val="Hyperlink"/>
          </w:rPr>
          <w:t>27.2 AI is an umbrella, not a single mechanism</w:t>
        </w:r>
      </w:hyperlink>
      <w:r>
        <w:tab/>
      </w:r>
      <w:fldSimple w:instr="PAGEREF ai-is-an-umbrella-not-a-single-mechanism \h" w:dirty="false">
        <w:r>
          <w:t>140</w:t>
        </w:r>
      </w:fldSimple>
    </w:p>
    <w:p>
      <w:pPr>
        <w:pStyle w:val="TOC2"/>
        <w:tabs>
          <w:tab w:val="right" w:leader="dot" w:pos="9360"/>
        </w:tabs>
        <w:keepLines/>
      </w:pPr>
      <w:hyperlink w:anchor="learning-means-optimizing-an-objective">
        <w:r>
          <w:rPr>
            <w:rStyle w:val="Hyperlink"/>
          </w:rPr>
          <w:t>27.3 Learning means optimizing an objective</w:t>
        </w:r>
      </w:hyperlink>
      <w:r>
        <w:tab/>
      </w:r>
      <w:fldSimple w:instr="PAGEREF learning-means-optimizing-an-objective \h" w:dirty="false">
        <w:r>
          <w:t>140</w:t>
        </w:r>
      </w:fldSimple>
    </w:p>
    <w:p>
      <w:pPr>
        <w:pStyle w:val="TOC2"/>
        <w:tabs>
          <w:tab w:val="right" w:leader="dot" w:pos="9360"/>
        </w:tabs>
        <w:keepLines/>
      </w:pPr>
      <w:hyperlink w:anchor="fluency-is-not-verification">
        <w:r>
          <w:rPr>
            <w:rStyle w:val="Hyperlink"/>
          </w:rPr>
          <w:t>27.4 Fluency is not verification</w:t>
        </w:r>
      </w:hyperlink>
      <w:r>
        <w:tab/>
      </w:r>
      <w:fldSimple w:instr="PAGEREF fluency-is-not-verification \h" w:dirty="false">
        <w:r>
          <w:t>140</w:t>
        </w:r>
      </w:fldSimple>
    </w:p>
    <w:p>
      <w:pPr>
        <w:pStyle w:val="TOC2"/>
        <w:tabs>
          <w:tab w:val="right" w:leader="dot" w:pos="9360"/>
        </w:tabs>
        <w:keepLines/>
      </w:pPr>
      <w:hyperlink w:anchor="python-demonstrations-26">
        <w:r>
          <w:rPr>
            <w:rStyle w:val="Hyperlink"/>
          </w:rPr>
          <w:t>27.5 Python demonstrations</w:t>
        </w:r>
      </w:hyperlink>
      <w:r>
        <w:tab/>
      </w:r>
      <w:fldSimple w:instr="PAGEREF python-demonstrations-26 \h" w:dirty="false">
        <w:r>
          <w:t>141</w:t>
        </w:r>
      </w:fldSimple>
    </w:p>
    <w:p>
      <w:pPr>
        <w:pStyle w:val="TOC2"/>
        <w:tabs>
          <w:tab w:val="right" w:leader="dot" w:pos="9360"/>
        </w:tabs>
        <w:keepLines/>
      </w:pPr>
      <w:hyperlink w:anchor="guided-practice-26">
        <w:r>
          <w:rPr>
            <w:rStyle w:val="Hyperlink"/>
          </w:rPr>
          <w:t>27.8 Guided practice</w:t>
        </w:r>
      </w:hyperlink>
      <w:r>
        <w:tab/>
      </w:r>
      <w:fldSimple w:instr="PAGEREF guided-practice-26 \h" w:dirty="false">
        <w:r>
          <w:t>143</w:t>
        </w:r>
      </w:fldSimple>
    </w:p>
    <w:p>
      <w:pPr>
        <w:pStyle w:val="TOC2"/>
        <w:tabs>
          <w:tab w:val="right" w:leader="dot" w:pos="9360"/>
        </w:tabs>
        <w:keepLines/>
      </w:pPr>
      <w:hyperlink w:anchor="exercises-26">
        <w:r>
          <w:rPr>
            <w:rStyle w:val="Hyperlink"/>
          </w:rPr>
          <w:t>27.9 Exercises</w:t>
        </w:r>
      </w:hyperlink>
      <w:r>
        <w:tab/>
      </w:r>
      <w:fldSimple w:instr="PAGEREF exercises-26 \h" w:dirty="false">
        <w:r>
          <w:t>143</w:t>
        </w:r>
      </w:fldSimple>
    </w:p>
    <w:p>
      <w:pPr>
        <w:pStyle w:val="TOC2"/>
        <w:tabs>
          <w:tab w:val="right" w:leader="dot" w:pos="9360"/>
        </w:tabs>
        <w:keepLines/>
      </w:pPr>
      <w:hyperlink w:anchor="chapter-summary-26">
        <w:r>
          <w:rPr>
            <w:rStyle w:val="Hyperlink"/>
          </w:rPr>
          <w:t>27.10 Chapter summary</w:t>
        </w:r>
      </w:hyperlink>
      <w:r>
        <w:tab/>
      </w:r>
      <w:fldSimple w:instr="PAGEREF chapter-summary-26 \h" w:dirty="false">
        <w:r>
          <w:t>143</w:t>
        </w:r>
      </w:fldSimple>
    </w:p>
    <w:p>
      <w:pPr>
        <w:pStyle w:val="TOC1"/>
        <w:tabs>
          <w:tab w:val="right" w:leader="dot" w:pos="9360"/>
        </w:tabs>
        <w:keepLines/>
      </w:pPr>
      <w:hyperlink w:anchor="X6acd8e1a7b9f1ec0896d1d980f590e74a347942">
        <w:r>
          <w:rPr>
            <w:rStyle w:val="Hyperlink"/>
          </w:rPr>
          <w:t>28 The Machine-Learning Workflow and Gradient Descent</w:t>
        </w:r>
      </w:hyperlink>
      <w:r>
        <w:tab/>
      </w:r>
      <w:fldSimple w:instr="PAGEREF X6acd8e1a7b9f1ec0896d1d980f590e74a347942 \h" w:dirty="false">
        <w:r>
          <w:t>144</w:t>
        </w:r>
      </w:fldSimple>
    </w:p>
    <w:p>
      <w:pPr>
        <w:pStyle w:val="TOC2"/>
        <w:tabs>
          <w:tab w:val="right" w:leader="dot" w:pos="9360"/>
        </w:tabs>
        <w:keepLines/>
      </w:pPr>
      <w:hyperlink w:anchor="learning-objectives-27">
        <w:r>
          <w:rPr>
            <w:rStyle w:val="Hyperlink"/>
          </w:rPr>
          <w:t>28.1 Learning objectives</w:t>
        </w:r>
      </w:hyperlink>
      <w:r>
        <w:tab/>
      </w:r>
      <w:fldSimple w:instr="PAGEREF learning-objectives-27 \h" w:dirty="false">
        <w:r>
          <w:t>144</w:t>
        </w:r>
      </w:fldSimple>
    </w:p>
    <w:p>
      <w:pPr>
        <w:pStyle w:val="TOC2"/>
        <w:tabs>
          <w:tab w:val="right" w:leader="dot" w:pos="9360"/>
        </w:tabs>
        <w:keepLines/>
      </w:pPr>
      <w:hyperlink w:anchor="the-split-defines-the-claim">
        <w:r>
          <w:rPr>
            <w:rStyle w:val="Hyperlink"/>
          </w:rPr>
          <w:t>28.2 The split defines the claim</w:t>
        </w:r>
      </w:hyperlink>
      <w:r>
        <w:tab/>
      </w:r>
      <w:fldSimple w:instr="PAGEREF the-split-defines-the-claim \h" w:dirty="false">
        <w:r>
          <w:t>144</w:t>
        </w:r>
      </w:fldSimple>
    </w:p>
    <w:p>
      <w:pPr>
        <w:pStyle w:val="TOC2"/>
        <w:tabs>
          <w:tab w:val="right" w:leader="dot" w:pos="9360"/>
        </w:tabs>
        <w:keepLines/>
      </w:pPr>
      <w:hyperlink w:anchor="X464e85111dc6ae95a63561d8856d42a8bed6f98">
        <w:r>
          <w:rPr>
            <w:rStyle w:val="Hyperlink"/>
          </w:rPr>
          <w:t>28.3 Overfitting is a gap between memory and generalization</w:t>
        </w:r>
      </w:hyperlink>
      <w:r>
        <w:tab/>
      </w:r>
      <w:fldSimple w:instr="PAGEREF X464e85111dc6ae95a63561d8856d42a8bed6f98 \h" w:dirty="false">
        <w:r>
          <w:t>144</w:t>
        </w:r>
      </w:fldSimple>
    </w:p>
    <w:p>
      <w:pPr>
        <w:pStyle w:val="TOC2"/>
        <w:tabs>
          <w:tab w:val="right" w:leader="dot" w:pos="9360"/>
        </w:tabs>
        <w:keepLines/>
      </w:pPr>
      <w:hyperlink w:anchor="Xfa4e05eac2b2bb9cb85198668e78dbd658e3a0a">
        <w:r>
          <w:rPr>
            <w:rStyle w:val="Hyperlink"/>
          </w:rPr>
          <w:t>28.4 Gradient descent follows local slope information</w:t>
        </w:r>
      </w:hyperlink>
      <w:r>
        <w:tab/>
      </w:r>
      <w:fldSimple w:instr="PAGEREF Xfa4e05eac2b2bb9cb85198668e78dbd658e3a0a \h" w:dirty="false">
        <w:r>
          <w:t>144</w:t>
        </w:r>
      </w:fldSimple>
    </w:p>
    <w:p>
      <w:pPr>
        <w:pStyle w:val="TOC2"/>
        <w:tabs>
          <w:tab w:val="right" w:leader="dot" w:pos="9360"/>
        </w:tabs>
        <w:keepLines/>
      </w:pPr>
      <w:hyperlink w:anchor="core-equations-14">
        <w:r>
          <w:rPr>
            <w:rStyle w:val="Hyperlink"/>
          </w:rPr>
          <w:t>28.5 Core equations</w:t>
        </w:r>
      </w:hyperlink>
      <w:r>
        <w:tab/>
      </w:r>
      <w:fldSimple w:instr="PAGEREF core-equations-14 \h" w:dirty="false">
        <w:r>
          <w:t>145</w:t>
        </w:r>
      </w:fldSimple>
    </w:p>
    <w:p>
      <w:pPr>
        <w:pStyle w:val="TOC2"/>
        <w:tabs>
          <w:tab w:val="right" w:leader="dot" w:pos="9360"/>
        </w:tabs>
        <w:keepLines/>
      </w:pPr>
      <w:hyperlink w:anchor="python-demonstrations-27">
        <w:r>
          <w:rPr>
            <w:rStyle w:val="Hyperlink"/>
          </w:rPr>
          <w:t>28.6 Python demonstrations</w:t>
        </w:r>
      </w:hyperlink>
      <w:r>
        <w:tab/>
      </w:r>
      <w:fldSimple w:instr="PAGEREF python-demonstrations-27 \h" w:dirty="false">
        <w:r>
          <w:t>145</w:t>
        </w:r>
      </w:fldSimple>
    </w:p>
    <w:p>
      <w:pPr>
        <w:pStyle w:val="TOC2"/>
        <w:tabs>
          <w:tab w:val="right" w:leader="dot" w:pos="9360"/>
        </w:tabs>
        <w:keepLines/>
      </w:pPr>
      <w:hyperlink w:anchor="guided-practice-27">
        <w:r>
          <w:rPr>
            <w:rStyle w:val="Hyperlink"/>
          </w:rPr>
          <w:t>28.9 Guided practice</w:t>
        </w:r>
      </w:hyperlink>
      <w:r>
        <w:tab/>
      </w:r>
      <w:fldSimple w:instr="PAGEREF guided-practice-27 \h" w:dirty="false">
        <w:r>
          <w:t>147</w:t>
        </w:r>
      </w:fldSimple>
    </w:p>
    <w:p>
      <w:pPr>
        <w:pStyle w:val="TOC2"/>
        <w:tabs>
          <w:tab w:val="right" w:leader="dot" w:pos="9360"/>
        </w:tabs>
        <w:keepLines/>
      </w:pPr>
      <w:hyperlink w:anchor="exercises-27">
        <w:r>
          <w:rPr>
            <w:rStyle w:val="Hyperlink"/>
          </w:rPr>
          <w:t>28.10 Exercises</w:t>
        </w:r>
      </w:hyperlink>
      <w:r>
        <w:tab/>
      </w:r>
      <w:fldSimple w:instr="PAGEREF exercises-27 \h" w:dirty="false">
        <w:r>
          <w:t>147</w:t>
        </w:r>
      </w:fldSimple>
    </w:p>
    <w:p>
      <w:pPr>
        <w:pStyle w:val="TOC2"/>
        <w:tabs>
          <w:tab w:val="right" w:leader="dot" w:pos="9360"/>
        </w:tabs>
        <w:keepLines/>
      </w:pPr>
      <w:hyperlink w:anchor="chapter-summary-27">
        <w:r>
          <w:rPr>
            <w:rStyle w:val="Hyperlink"/>
          </w:rPr>
          <w:t>28.11 Chapter summary</w:t>
        </w:r>
      </w:hyperlink>
      <w:r>
        <w:tab/>
      </w:r>
      <w:fldSimple w:instr="PAGEREF chapter-summary-27 \h" w:dirty="false">
        <w:r>
          <w:t>147</w:t>
        </w:r>
      </w:fldSimple>
    </w:p>
    <w:p>
      <w:pPr>
        <w:pStyle w:val="TOC1"/>
        <w:tabs>
          <w:tab w:val="right" w:leader="dot" w:pos="9360"/>
        </w:tabs>
        <w:keepLines/>
      </w:pPr>
      <w:hyperlink w:anchor="X61223a7e121eb0e54bad753532f0bc5f1665a5a">
        <w:r>
          <w:rPr>
            <w:rStyle w:val="Hyperlink"/>
          </w:rPr>
          <w:t>29 Applied Regression and Classification Projects</w:t>
        </w:r>
      </w:hyperlink>
      <w:r>
        <w:tab/>
      </w:r>
      <w:fldSimple w:instr="PAGEREF X61223a7e121eb0e54bad753532f0bc5f1665a5a \h" w:dirty="false">
        <w:r>
          <w:t>149</w:t>
        </w:r>
      </w:fldSimple>
    </w:p>
    <w:p>
      <w:pPr>
        <w:pStyle w:val="TOC2"/>
        <w:tabs>
          <w:tab w:val="right" w:leader="dot" w:pos="9360"/>
        </w:tabs>
        <w:keepLines/>
      </w:pPr>
      <w:hyperlink w:anchor="learning-objectives-28">
        <w:r>
          <w:rPr>
            <w:rStyle w:val="Hyperlink"/>
          </w:rPr>
          <w:t>29.1 Learning objectives</w:t>
        </w:r>
      </w:hyperlink>
      <w:r>
        <w:tab/>
      </w:r>
      <w:fldSimple w:instr="PAGEREF learning-objectives-28 \h" w:dirty="false">
        <w:r>
          <w:t>149</w:t>
        </w:r>
      </w:fldSimple>
    </w:p>
    <w:p>
      <w:pPr>
        <w:pStyle w:val="TOC2"/>
        <w:tabs>
          <w:tab w:val="right" w:leader="dot" w:pos="9360"/>
        </w:tabs>
        <w:keepLines/>
      </w:pPr>
      <w:hyperlink w:anchor="project-a-tehran-house-prices">
        <w:r>
          <w:rPr>
            <w:rStyle w:val="Hyperlink"/>
          </w:rPr>
          <w:t>29.2 Project A: Tehran house prices</w:t>
        </w:r>
      </w:hyperlink>
      <w:r>
        <w:tab/>
      </w:r>
      <w:fldSimple w:instr="PAGEREF project-a-tehran-house-prices \h" w:dirty="false">
        <w:r>
          <w:t>149</w:t>
        </w:r>
      </w:fldSimple>
    </w:p>
    <w:p>
      <w:pPr>
        <w:pStyle w:val="TOC2"/>
        <w:tabs>
          <w:tab w:val="right" w:leader="dot" w:pos="9360"/>
        </w:tabs>
        <w:keepLines/>
      </w:pPr>
      <w:hyperlink w:anchor="project-b-titanic-classification">
        <w:r>
          <w:rPr>
            <w:rStyle w:val="Hyperlink"/>
          </w:rPr>
          <w:t>29.3 Project B: Titanic classification</w:t>
        </w:r>
      </w:hyperlink>
      <w:r>
        <w:tab/>
      </w:r>
      <w:fldSimple w:instr="PAGEREF project-b-titanic-classification \h" w:dirty="false">
        <w:r>
          <w:t>149</w:t>
        </w:r>
      </w:fldSimple>
    </w:p>
    <w:p>
      <w:pPr>
        <w:pStyle w:val="TOC2"/>
        <w:tabs>
          <w:tab w:val="right" w:leader="dot" w:pos="9360"/>
        </w:tabs>
        <w:keepLines/>
      </w:pPr>
      <w:hyperlink w:anchor="baselines-make-improvement-meaningful">
        <w:r>
          <w:rPr>
            <w:rStyle w:val="Hyperlink"/>
          </w:rPr>
          <w:t>29.4 Baselines make improvement meaningful</w:t>
        </w:r>
      </w:hyperlink>
      <w:r>
        <w:tab/>
      </w:r>
      <w:fldSimple w:instr="PAGEREF baselines-make-improvement-meaningful \h" w:dirty="false">
        <w:r>
          <w:t>149</w:t>
        </w:r>
      </w:fldSimple>
    </w:p>
    <w:p>
      <w:pPr>
        <w:pStyle w:val="TOC2"/>
        <w:tabs>
          <w:tab w:val="right" w:leader="dot" w:pos="9360"/>
        </w:tabs>
        <w:keepLines/>
      </w:pPr>
      <w:hyperlink w:anchor="core-equations-15">
        <w:r>
          <w:rPr>
            <w:rStyle w:val="Hyperlink"/>
          </w:rPr>
          <w:t>29.5 Core equations</w:t>
        </w:r>
      </w:hyperlink>
      <w:r>
        <w:tab/>
      </w:r>
      <w:fldSimple w:instr="PAGEREF core-equations-15 \h" w:dirty="false">
        <w:r>
          <w:t>150</w:t>
        </w:r>
      </w:fldSimple>
    </w:p>
    <w:p>
      <w:pPr>
        <w:pStyle w:val="TOC2"/>
        <w:tabs>
          <w:tab w:val="right" w:leader="dot" w:pos="9360"/>
        </w:tabs>
        <w:keepLines/>
      </w:pPr>
      <w:hyperlink w:anchor="python-demonstrations-28">
        <w:r>
          <w:rPr>
            <w:rStyle w:val="Hyperlink"/>
          </w:rPr>
          <w:t>29.6 Python demonstrations</w:t>
        </w:r>
      </w:hyperlink>
      <w:r>
        <w:tab/>
      </w:r>
      <w:fldSimple w:instr="PAGEREF python-demonstrations-28 \h" w:dirty="false">
        <w:r>
          <w:t>150</w:t>
        </w:r>
      </w:fldSimple>
    </w:p>
    <w:p>
      <w:pPr>
        <w:pStyle w:val="TOC2"/>
        <w:tabs>
          <w:tab w:val="right" w:leader="dot" w:pos="9360"/>
        </w:tabs>
        <w:keepLines/>
      </w:pPr>
      <w:hyperlink w:anchor="guided-practice-28">
        <w:r>
          <w:rPr>
            <w:rStyle w:val="Hyperlink"/>
          </w:rPr>
          <w:t>29.9 Guided practice</w:t>
        </w:r>
      </w:hyperlink>
      <w:r>
        <w:tab/>
      </w:r>
      <w:fldSimple w:instr="PAGEREF guided-practice-28 \h" w:dirty="false">
        <w:r>
          <w:t>154</w:t>
        </w:r>
      </w:fldSimple>
    </w:p>
    <w:p>
      <w:pPr>
        <w:pStyle w:val="TOC2"/>
        <w:tabs>
          <w:tab w:val="right" w:leader="dot" w:pos="9360"/>
        </w:tabs>
        <w:keepLines/>
      </w:pPr>
      <w:hyperlink w:anchor="exercises-28">
        <w:r>
          <w:rPr>
            <w:rStyle w:val="Hyperlink"/>
          </w:rPr>
          <w:t>29.10 Exercises</w:t>
        </w:r>
      </w:hyperlink>
      <w:r>
        <w:tab/>
      </w:r>
      <w:fldSimple w:instr="PAGEREF exercises-28 \h" w:dirty="false">
        <w:r>
          <w:t>154</w:t>
        </w:r>
      </w:fldSimple>
    </w:p>
    <w:p>
      <w:pPr>
        <w:pStyle w:val="TOC2"/>
        <w:tabs>
          <w:tab w:val="right" w:leader="dot" w:pos="9360"/>
        </w:tabs>
        <w:keepLines/>
      </w:pPr>
      <w:hyperlink w:anchor="chapter-summary-28">
        <w:r>
          <w:rPr>
            <w:rStyle w:val="Hyperlink"/>
          </w:rPr>
          <w:t>29.11 Chapter summary</w:t>
        </w:r>
      </w:hyperlink>
      <w:r>
        <w:tab/>
      </w:r>
      <w:fldSimple w:instr="PAGEREF chapter-summary-28 \h" w:dirty="false">
        <w:r>
          <w:t>154</w:t>
        </w:r>
      </w:fldSimple>
    </w:p>
    <w:p>
      <w:pPr>
        <w:pStyle w:val="TOC1"/>
        <w:tabs>
          <w:tab w:val="right" w:leader="dot" w:pos="9360"/>
        </w:tabs>
        <w:keepLines/>
      </w:pPr>
      <w:hyperlink w:anchor="neural-networks-and-deep-learning">
        <w:r>
          <w:rPr>
            <w:rStyle w:val="Hyperlink"/>
          </w:rPr>
          <w:t>30 Neural Networks and Deep Learning</w:t>
        </w:r>
      </w:hyperlink>
      <w:r>
        <w:tab/>
      </w:r>
      <w:fldSimple w:instr="PAGEREF neural-networks-and-deep-learning \h" w:dirty="false">
        <w:r>
          <w:t>156</w:t>
        </w:r>
      </w:fldSimple>
    </w:p>
    <w:p>
      <w:pPr>
        <w:pStyle w:val="TOC2"/>
        <w:tabs>
          <w:tab w:val="right" w:leader="dot" w:pos="9360"/>
        </w:tabs>
        <w:keepLines/>
      </w:pPr>
      <w:hyperlink w:anchor="learning-objectives-29">
        <w:r>
          <w:rPr>
            <w:rStyle w:val="Hyperlink"/>
          </w:rPr>
          <w:t>30.1 Learning objectives</w:t>
        </w:r>
      </w:hyperlink>
      <w:r>
        <w:tab/>
      </w:r>
      <w:fldSimple w:instr="PAGEREF learning-objectives-29 \h" w:dirty="false">
        <w:r>
          <w:t>156</w:t>
        </w:r>
      </w:fldSimple>
    </w:p>
    <w:p>
      <w:pPr>
        <w:pStyle w:val="TOC2"/>
        <w:tabs>
          <w:tab w:val="right" w:leader="dot" w:pos="9360"/>
        </w:tabs>
        <w:keepLines/>
      </w:pPr>
      <w:hyperlink w:anchor="X78e858f5ed65c361640c050e14bd4b4a990e4d2">
        <w:r>
          <w:rPr>
            <w:rStyle w:val="Hyperlink"/>
          </w:rPr>
          <w:t>30.2 A neural network composes transformations</w:t>
        </w:r>
      </w:hyperlink>
      <w:r>
        <w:tab/>
      </w:r>
      <w:fldSimple w:instr="PAGEREF X78e858f5ed65c361640c050e14bd4b4a990e4d2 \h" w:dirty="false">
        <w:r>
          <w:t>156</w:t>
        </w:r>
      </w:fldSimple>
    </w:p>
    <w:p>
      <w:pPr>
        <w:pStyle w:val="TOC2"/>
        <w:tabs>
          <w:tab w:val="right" w:leader="dot" w:pos="9360"/>
        </w:tabs>
        <w:keepLines/>
      </w:pPr>
      <w:hyperlink w:anchor="X35d274df7128365af85eb0a7978019146af6bf0">
        <w:r>
          <w:rPr>
            <w:rStyle w:val="Hyperlink"/>
          </w:rPr>
          <w:t>30.3 Backpropagation is organized chain-rule accounting</w:t>
        </w:r>
      </w:hyperlink>
      <w:r>
        <w:tab/>
      </w:r>
      <w:fldSimple w:instr="PAGEREF X35d274df7128365af85eb0a7978019146af6bf0 \h" w:dirty="false">
        <w:r>
          <w:t>156</w:t>
        </w:r>
      </w:fldSimple>
    </w:p>
    <w:p>
      <w:pPr>
        <w:pStyle w:val="TOC2"/>
        <w:tabs>
          <w:tab w:val="right" w:leader="dot" w:pos="9360"/>
        </w:tabs>
        <w:keepLines/>
      </w:pPr>
      <w:hyperlink w:anchor="Xcb812dbbaa2c5c1a229770ea68b6b2c18d90a67">
        <w:r>
          <w:rPr>
            <w:rStyle w:val="Hyperlink"/>
          </w:rPr>
          <w:t>30.4 Learning curves reveal optimization and generalization</w:t>
        </w:r>
      </w:hyperlink>
      <w:r>
        <w:tab/>
      </w:r>
      <w:fldSimple w:instr="PAGEREF Xcb812dbbaa2c5c1a229770ea68b6b2c18d90a67 \h" w:dirty="false">
        <w:r>
          <w:t>156</w:t>
        </w:r>
      </w:fldSimple>
    </w:p>
    <w:p>
      <w:pPr>
        <w:pStyle w:val="TOC2"/>
        <w:tabs>
          <w:tab w:val="right" w:leader="dot" w:pos="9360"/>
        </w:tabs>
        <w:keepLines/>
      </w:pPr>
      <w:hyperlink w:anchor="core-equations-16">
        <w:r>
          <w:rPr>
            <w:rStyle w:val="Hyperlink"/>
          </w:rPr>
          <w:t>30.5 Core equations</w:t>
        </w:r>
      </w:hyperlink>
      <w:r>
        <w:tab/>
      </w:r>
      <w:fldSimple w:instr="PAGEREF core-equations-16 \h" w:dirty="false">
        <w:r>
          <w:t>157</w:t>
        </w:r>
      </w:fldSimple>
    </w:p>
    <w:p>
      <w:pPr>
        <w:pStyle w:val="TOC2"/>
        <w:tabs>
          <w:tab w:val="right" w:leader="dot" w:pos="9360"/>
        </w:tabs>
        <w:keepLines/>
      </w:pPr>
      <w:hyperlink w:anchor="python-demonstrations-29">
        <w:r>
          <w:rPr>
            <w:rStyle w:val="Hyperlink"/>
          </w:rPr>
          <w:t>30.6 Python demonstrations</w:t>
        </w:r>
      </w:hyperlink>
      <w:r>
        <w:tab/>
      </w:r>
      <w:fldSimple w:instr="PAGEREF python-demonstrations-29 \h" w:dirty="false">
        <w:r>
          <w:t>157</w:t>
        </w:r>
      </w:fldSimple>
    </w:p>
    <w:p>
      <w:pPr>
        <w:pStyle w:val="TOC2"/>
        <w:tabs>
          <w:tab w:val="right" w:leader="dot" w:pos="9360"/>
        </w:tabs>
        <w:keepLines/>
      </w:pPr>
      <w:hyperlink w:anchor="guided-practice-29">
        <w:r>
          <w:rPr>
            <w:rStyle w:val="Hyperlink"/>
          </w:rPr>
          <w:t>30.9 Guided practice</w:t>
        </w:r>
      </w:hyperlink>
      <w:r>
        <w:tab/>
      </w:r>
      <w:fldSimple w:instr="PAGEREF guided-practice-29 \h" w:dirty="false">
        <w:r>
          <w:t>159</w:t>
        </w:r>
      </w:fldSimple>
    </w:p>
    <w:p>
      <w:pPr>
        <w:pStyle w:val="TOC2"/>
        <w:tabs>
          <w:tab w:val="right" w:leader="dot" w:pos="9360"/>
        </w:tabs>
        <w:keepLines/>
      </w:pPr>
      <w:hyperlink w:anchor="exercises-29">
        <w:r>
          <w:rPr>
            <w:rStyle w:val="Hyperlink"/>
          </w:rPr>
          <w:t>30.10 Exercises</w:t>
        </w:r>
      </w:hyperlink>
      <w:r>
        <w:tab/>
      </w:r>
      <w:fldSimple w:instr="PAGEREF exercises-29 \h" w:dirty="false">
        <w:r>
          <w:t>159</w:t>
        </w:r>
      </w:fldSimple>
    </w:p>
    <w:p>
      <w:pPr>
        <w:pStyle w:val="TOC2"/>
        <w:tabs>
          <w:tab w:val="right" w:leader="dot" w:pos="9360"/>
        </w:tabs>
        <w:keepLines/>
      </w:pPr>
      <w:hyperlink w:anchor="chapter-summary-29">
        <w:r>
          <w:rPr>
            <w:rStyle w:val="Hyperlink"/>
          </w:rPr>
          <w:t>30.11 Chapter summary</w:t>
        </w:r>
      </w:hyperlink>
      <w:r>
        <w:tab/>
      </w:r>
      <w:fldSimple w:instr="PAGEREF chapter-summary-29 \h" w:dirty="false">
        <w:r>
          <w:t>159</w:t>
        </w:r>
      </w:fldSimple>
    </w:p>
    <w:p>
      <w:pPr>
        <w:pStyle w:val="TOC1"/>
        <w:tabs>
          <w:tab w:val="right" w:leader="dot" w:pos="9360"/>
        </w:tabs>
        <w:keepLines/>
      </w:pPr>
      <w:hyperlink w:anchor="computer-vision">
        <w:r>
          <w:rPr>
            <w:rStyle w:val="Hyperlink"/>
          </w:rPr>
          <w:t>31 Computer Vision</w:t>
        </w:r>
      </w:hyperlink>
      <w:r>
        <w:tab/>
      </w:r>
      <w:fldSimple w:instr="PAGEREF computer-vision \h" w:dirty="false">
        <w:r>
          <w:t>161</w:t>
        </w:r>
      </w:fldSimple>
    </w:p>
    <w:p>
      <w:pPr>
        <w:pStyle w:val="TOC2"/>
        <w:tabs>
          <w:tab w:val="right" w:leader="dot" w:pos="9360"/>
        </w:tabs>
        <w:keepLines/>
      </w:pPr>
      <w:hyperlink w:anchor="learning-objectives-30">
        <w:r>
          <w:rPr>
            <w:rStyle w:val="Hyperlink"/>
          </w:rPr>
          <w:t>31.1 Learning objectives</w:t>
        </w:r>
      </w:hyperlink>
      <w:r>
        <w:tab/>
      </w:r>
      <w:fldSimple w:instr="PAGEREF learning-objectives-30 \h" w:dirty="false">
        <w:r>
          <w:t>161</w:t>
        </w:r>
      </w:fldSimple>
    </w:p>
    <w:p>
      <w:pPr>
        <w:pStyle w:val="TOC2"/>
        <w:tabs>
          <w:tab w:val="right" w:leader="dot" w:pos="9360"/>
        </w:tabs>
        <w:keepLines/>
      </w:pPr>
      <w:hyperlink w:anchor="images-are-structured-tensors">
        <w:r>
          <w:rPr>
            <w:rStyle w:val="Hyperlink"/>
          </w:rPr>
          <w:t>31.2 Images are structured tensors</w:t>
        </w:r>
      </w:hyperlink>
      <w:r>
        <w:tab/>
      </w:r>
      <w:fldSimple w:instr="PAGEREF images-are-structured-tensors \h" w:dirty="false">
        <w:r>
          <w:t>161</w:t>
        </w:r>
      </w:fldSimple>
    </w:p>
    <w:p>
      <w:pPr>
        <w:pStyle w:val="TOC2"/>
        <w:tabs>
          <w:tab w:val="right" w:leader="dot" w:pos="9360"/>
        </w:tabs>
        <w:keepLines/>
      </w:pPr>
      <w:hyperlink w:anchor="X4082afe806a8734721dbbaa3c588f239e81ca29">
        <w:r>
          <w:rPr>
            <w:rStyle w:val="Hyperlink"/>
          </w:rPr>
          <w:t>31.3 Convolution searches locally with shared weights</w:t>
        </w:r>
      </w:hyperlink>
      <w:r>
        <w:tab/>
      </w:r>
      <w:fldSimple w:instr="PAGEREF X4082afe806a8734721dbbaa3c588f239e81ca29 \h" w:dirty="false">
        <w:r>
          <w:t>161</w:t>
        </w:r>
      </w:fldSimple>
    </w:p>
    <w:p>
      <w:pPr>
        <w:pStyle w:val="TOC2"/>
        <w:tabs>
          <w:tab w:val="right" w:leader="dot" w:pos="9360"/>
        </w:tabs>
        <w:keepLines/>
      </w:pPr>
      <w:hyperlink w:anchor="Xb6e8d618beda3b3453fa05ea03b580705a88aa4">
        <w:r>
          <w:rPr>
            <w:rStyle w:val="Hyperlink"/>
          </w:rPr>
          <w:t>31.4 Transfer learning is borrowed representation, not borrowed truth</w:t>
        </w:r>
      </w:hyperlink>
      <w:r>
        <w:tab/>
      </w:r>
      <w:fldSimple w:instr="PAGEREF Xb6e8d618beda3b3453fa05ea03b580705a88aa4 \h" w:dirty="false">
        <w:r>
          <w:t>161</w:t>
        </w:r>
      </w:fldSimple>
    </w:p>
    <w:p>
      <w:pPr>
        <w:pStyle w:val="TOC2"/>
        <w:tabs>
          <w:tab w:val="right" w:leader="dot" w:pos="9360"/>
        </w:tabs>
        <w:keepLines/>
      </w:pPr>
      <w:hyperlink w:anchor="core-equations-17">
        <w:r>
          <w:rPr>
            <w:rStyle w:val="Hyperlink"/>
          </w:rPr>
          <w:t>31.5 Core equations</w:t>
        </w:r>
      </w:hyperlink>
      <w:r>
        <w:tab/>
      </w:r>
      <w:fldSimple w:instr="PAGEREF core-equations-17 \h" w:dirty="false">
        <w:r>
          <w:t>162</w:t>
        </w:r>
      </w:fldSimple>
    </w:p>
    <w:p>
      <w:pPr>
        <w:pStyle w:val="TOC2"/>
        <w:tabs>
          <w:tab w:val="right" w:leader="dot" w:pos="9360"/>
        </w:tabs>
        <w:keepLines/>
      </w:pPr>
      <w:hyperlink w:anchor="python-demonstrations-30">
        <w:r>
          <w:rPr>
            <w:rStyle w:val="Hyperlink"/>
          </w:rPr>
          <w:t>31.6 Python demonstrations</w:t>
        </w:r>
      </w:hyperlink>
      <w:r>
        <w:tab/>
      </w:r>
      <w:fldSimple w:instr="PAGEREF python-demonstrations-30 \h" w:dirty="false">
        <w:r>
          <w:t>162</w:t>
        </w:r>
      </w:fldSimple>
    </w:p>
    <w:p>
      <w:pPr>
        <w:pStyle w:val="TOC2"/>
        <w:tabs>
          <w:tab w:val="right" w:leader="dot" w:pos="9360"/>
        </w:tabs>
        <w:keepLines/>
      </w:pPr>
      <w:hyperlink w:anchor="guided-practice-30">
        <w:r>
          <w:rPr>
            <w:rStyle w:val="Hyperlink"/>
          </w:rPr>
          <w:t>31.9 Guided practice</w:t>
        </w:r>
      </w:hyperlink>
      <w:r>
        <w:tab/>
      </w:r>
      <w:fldSimple w:instr="PAGEREF guided-practice-30 \h" w:dirty="false">
        <w:r>
          <w:t>164</w:t>
        </w:r>
      </w:fldSimple>
    </w:p>
    <w:p>
      <w:pPr>
        <w:pStyle w:val="TOC2"/>
        <w:tabs>
          <w:tab w:val="right" w:leader="dot" w:pos="9360"/>
        </w:tabs>
        <w:keepLines/>
      </w:pPr>
      <w:hyperlink w:anchor="exercises-30">
        <w:r>
          <w:rPr>
            <w:rStyle w:val="Hyperlink"/>
          </w:rPr>
          <w:t>31.10 Exercises</w:t>
        </w:r>
      </w:hyperlink>
      <w:r>
        <w:tab/>
      </w:r>
      <w:fldSimple w:instr="PAGEREF exercises-30 \h" w:dirty="false">
        <w:r>
          <w:t>164</w:t>
        </w:r>
      </w:fldSimple>
    </w:p>
    <w:p>
      <w:pPr>
        <w:pStyle w:val="TOC2"/>
        <w:tabs>
          <w:tab w:val="right" w:leader="dot" w:pos="9360"/>
        </w:tabs>
        <w:keepLines/>
      </w:pPr>
      <w:hyperlink w:anchor="chapter-summary-30">
        <w:r>
          <w:rPr>
            <w:rStyle w:val="Hyperlink"/>
          </w:rPr>
          <w:t>31.11 Chapter summary</w:t>
        </w:r>
      </w:hyperlink>
      <w:r>
        <w:tab/>
      </w:r>
      <w:fldSimple w:instr="PAGEREF chapter-summary-30 \h" w:dirty="false">
        <w:r>
          <w:t>164</w:t>
        </w:r>
      </w:fldSimple>
    </w:p>
    <w:p>
      <w:pPr>
        <w:pStyle w:val="TOC1"/>
        <w:tabs>
          <w:tab w:val="right" w:leader="dot" w:pos="9360"/>
        </w:tabs>
        <w:keepLines/>
      </w:pPr>
      <w:hyperlink w:anchor="Xa7f0280d8bb577385d63e8eec3cd7a11846a7d1">
        <w:r>
          <w:rPr>
            <w:rStyle w:val="Hyperlink"/>
          </w:rPr>
          <w:t>32 Natural-Language Processing and Transformers</w:t>
        </w:r>
      </w:hyperlink>
      <w:r>
        <w:tab/>
      </w:r>
      <w:fldSimple w:instr="PAGEREF Xa7f0280d8bb577385d63e8eec3cd7a11846a7d1 \h" w:dirty="false">
        <w:r>
          <w:t>165</w:t>
        </w:r>
      </w:fldSimple>
    </w:p>
    <w:p>
      <w:pPr>
        <w:pStyle w:val="TOC2"/>
        <w:tabs>
          <w:tab w:val="right" w:leader="dot" w:pos="9360"/>
        </w:tabs>
        <w:keepLines/>
      </w:pPr>
      <w:hyperlink w:anchor="learning-objectives-31">
        <w:r>
          <w:rPr>
            <w:rStyle w:val="Hyperlink"/>
          </w:rPr>
          <w:t>32.1 Learning objectives</w:t>
        </w:r>
      </w:hyperlink>
      <w:r>
        <w:tab/>
      </w:r>
      <w:fldSimple w:instr="PAGEREF learning-objectives-31 \h" w:dirty="false">
        <w:r>
          <w:t>165</w:t>
        </w:r>
      </w:fldSimple>
    </w:p>
    <w:p>
      <w:pPr>
        <w:pStyle w:val="TOC2"/>
        <w:tabs>
          <w:tab w:val="right" w:leader="dot" w:pos="9360"/>
        </w:tabs>
        <w:keepLines/>
      </w:pPr>
      <w:hyperlink w:anchor="tokenization-chooses-the-models-alphabet">
        <w:r>
          <w:rPr>
            <w:rStyle w:val="Hyperlink"/>
          </w:rPr>
          <w:t>32.2 Tokenization chooses the model’s alphabet</w:t>
        </w:r>
      </w:hyperlink>
      <w:r>
        <w:tab/>
      </w:r>
      <w:fldSimple w:instr="PAGEREF tokenization-chooses-the-models-alphabet \h" w:dirty="false">
        <w:r>
          <w:t>165</w:t>
        </w:r>
      </w:fldSimple>
    </w:p>
    <w:p>
      <w:pPr>
        <w:pStyle w:val="TOC2"/>
        <w:tabs>
          <w:tab w:val="right" w:leader="dot" w:pos="9360"/>
        </w:tabs>
        <w:keepLines/>
      </w:pPr>
      <w:hyperlink w:anchor="X78832b404fe261dd41d885a652afe93cba7c4d5">
        <w:r>
          <w:rPr>
            <w:rStyle w:val="Hyperlink"/>
          </w:rPr>
          <w:t>32.3 Representations move from counts to geometry</w:t>
        </w:r>
      </w:hyperlink>
      <w:r>
        <w:tab/>
      </w:r>
      <w:fldSimple w:instr="PAGEREF X78832b404fe261dd41d885a652afe93cba7c4d5 \h" w:dirty="false">
        <w:r>
          <w:t>165</w:t>
        </w:r>
      </w:fldSimple>
    </w:p>
    <w:p>
      <w:pPr>
        <w:pStyle w:val="TOC2"/>
        <w:tabs>
          <w:tab w:val="right" w:leader="dot" w:pos="9360"/>
        </w:tabs>
        <w:keepLines/>
      </w:pPr>
      <w:hyperlink w:anchor="attention-connects-tokens-conditionally">
        <w:r>
          <w:rPr>
            <w:rStyle w:val="Hyperlink"/>
          </w:rPr>
          <w:t>32.4 Attention connects tokens conditionally</w:t>
        </w:r>
      </w:hyperlink>
      <w:r>
        <w:tab/>
      </w:r>
      <w:fldSimple w:instr="PAGEREF attention-connects-tokens-conditionally \h" w:dirty="false">
        <w:r>
          <w:t>165</w:t>
        </w:r>
      </w:fldSimple>
    </w:p>
    <w:p>
      <w:pPr>
        <w:pStyle w:val="TOC2"/>
        <w:tabs>
          <w:tab w:val="right" w:leader="dot" w:pos="9360"/>
        </w:tabs>
        <w:keepLines/>
      </w:pPr>
      <w:hyperlink w:anchor="core-equations-18">
        <w:r>
          <w:rPr>
            <w:rStyle w:val="Hyperlink"/>
          </w:rPr>
          <w:t>32.5 Core equations</w:t>
        </w:r>
      </w:hyperlink>
      <w:r>
        <w:tab/>
      </w:r>
      <w:fldSimple w:instr="PAGEREF core-equations-18 \h" w:dirty="false">
        <w:r>
          <w:t>166</w:t>
        </w:r>
      </w:fldSimple>
    </w:p>
    <w:p>
      <w:pPr>
        <w:pStyle w:val="TOC2"/>
        <w:tabs>
          <w:tab w:val="right" w:leader="dot" w:pos="9360"/>
        </w:tabs>
        <w:keepLines/>
      </w:pPr>
      <w:hyperlink w:anchor="python-demonstrations-31">
        <w:r>
          <w:rPr>
            <w:rStyle w:val="Hyperlink"/>
          </w:rPr>
          <w:t>32.6 Python demonstrations</w:t>
        </w:r>
      </w:hyperlink>
      <w:r>
        <w:tab/>
      </w:r>
      <w:fldSimple w:instr="PAGEREF python-demonstrations-31 \h" w:dirty="false">
        <w:r>
          <w:t>166</w:t>
        </w:r>
      </w:fldSimple>
    </w:p>
    <w:p>
      <w:pPr>
        <w:pStyle w:val="TOC2"/>
        <w:tabs>
          <w:tab w:val="right" w:leader="dot" w:pos="9360"/>
        </w:tabs>
        <w:keepLines/>
      </w:pPr>
      <w:hyperlink w:anchor="guided-practice-31">
        <w:r>
          <w:rPr>
            <w:rStyle w:val="Hyperlink"/>
          </w:rPr>
          <w:t>32.9 Guided practice</w:t>
        </w:r>
      </w:hyperlink>
      <w:r>
        <w:tab/>
      </w:r>
      <w:fldSimple w:instr="PAGEREF guided-practice-31 \h" w:dirty="false">
        <w:r>
          <w:t>169</w:t>
        </w:r>
      </w:fldSimple>
    </w:p>
    <w:p>
      <w:pPr>
        <w:pStyle w:val="TOC2"/>
        <w:tabs>
          <w:tab w:val="right" w:leader="dot" w:pos="9360"/>
        </w:tabs>
        <w:keepLines/>
      </w:pPr>
      <w:hyperlink w:anchor="exercises-31">
        <w:r>
          <w:rPr>
            <w:rStyle w:val="Hyperlink"/>
          </w:rPr>
          <w:t>32.10 Exercises</w:t>
        </w:r>
      </w:hyperlink>
      <w:r>
        <w:tab/>
      </w:r>
      <w:fldSimple w:instr="PAGEREF exercises-31 \h" w:dirty="false">
        <w:r>
          <w:t>169</w:t>
        </w:r>
      </w:fldSimple>
    </w:p>
    <w:p>
      <w:pPr>
        <w:pStyle w:val="TOC2"/>
        <w:tabs>
          <w:tab w:val="right" w:leader="dot" w:pos="9360"/>
        </w:tabs>
        <w:keepLines/>
      </w:pPr>
      <w:hyperlink w:anchor="chapter-summary-31">
        <w:r>
          <w:rPr>
            <w:rStyle w:val="Hyperlink"/>
          </w:rPr>
          <w:t>32.11 Chapter summary</w:t>
        </w:r>
      </w:hyperlink>
      <w:r>
        <w:tab/>
      </w:r>
      <w:fldSimple w:instr="PAGEREF chapter-summary-31 \h" w:dirty="false">
        <w:r>
          <w:t>169</w:t>
        </w:r>
      </w:fldSimple>
    </w:p>
    <w:p>
      <w:pPr>
        <w:pStyle w:val="TOC1"/>
        <w:tabs>
          <w:tab w:val="right" w:leader="dot" w:pos="9360"/>
        </w:tabs>
        <w:keepLines/>
      </w:pPr>
      <w:hyperlink w:anchor="language-models-retrieval-and-ai-agents">
        <w:r>
          <w:rPr>
            <w:rStyle w:val="Hyperlink"/>
          </w:rPr>
          <w:t>33 Language Models, Retrieval, and AI Agents</w:t>
        </w:r>
      </w:hyperlink>
      <w:r>
        <w:tab/>
      </w:r>
      <w:fldSimple w:instr="PAGEREF language-models-retrieval-and-ai-agents \h" w:dirty="false">
        <w:r>
          <w:t>170</w:t>
        </w:r>
      </w:fldSimple>
    </w:p>
    <w:p>
      <w:pPr>
        <w:pStyle w:val="TOC2"/>
        <w:tabs>
          <w:tab w:val="right" w:leader="dot" w:pos="9360"/>
        </w:tabs>
        <w:keepLines/>
      </w:pPr>
      <w:hyperlink w:anchor="learning-objectives-32">
        <w:r>
          <w:rPr>
            <w:rStyle w:val="Hyperlink"/>
          </w:rPr>
          <w:t>33.1 Learning objectives</w:t>
        </w:r>
      </w:hyperlink>
      <w:r>
        <w:tab/>
      </w:r>
      <w:fldSimple w:instr="PAGEREF learning-objectives-32 \h" w:dirty="false">
        <w:r>
          <w:t>170</w:t>
        </w:r>
      </w:fldSimple>
    </w:p>
    <w:p>
      <w:pPr>
        <w:pStyle w:val="TOC2"/>
        <w:tabs>
          <w:tab w:val="right" w:leader="dot" w:pos="9360"/>
        </w:tabs>
        <w:keepLines/>
      </w:pPr>
      <w:hyperlink w:anchor="a-language-model-predicts-continuations">
        <w:r>
          <w:rPr>
            <w:rStyle w:val="Hyperlink"/>
          </w:rPr>
          <w:t>33.2 A language model predicts continuations</w:t>
        </w:r>
      </w:hyperlink>
      <w:r>
        <w:tab/>
      </w:r>
      <w:fldSimple w:instr="PAGEREF a-language-model-predicts-continuations \h" w:dirty="false">
        <w:r>
          <w:t>170</w:t>
        </w:r>
      </w:fldSimple>
    </w:p>
    <w:p>
      <w:pPr>
        <w:pStyle w:val="TOC2"/>
        <w:tabs>
          <w:tab w:val="right" w:leader="dot" w:pos="9360"/>
        </w:tabs>
        <w:keepLines/>
      </w:pPr>
      <w:hyperlink w:anchor="retrieval-creates-an-evidence-channel">
        <w:r>
          <w:rPr>
            <w:rStyle w:val="Hyperlink"/>
          </w:rPr>
          <w:t>33.3 Retrieval creates an evidence channel</w:t>
        </w:r>
      </w:hyperlink>
      <w:r>
        <w:tab/>
      </w:r>
      <w:fldSimple w:instr="PAGEREF retrieval-creates-an-evidence-channel \h" w:dirty="false">
        <w:r>
          <w:t>170</w:t>
        </w:r>
      </w:fldSimple>
    </w:p>
    <w:p>
      <w:pPr>
        <w:pStyle w:val="TOC2"/>
        <w:tabs>
          <w:tab w:val="right" w:leader="dot" w:pos="9360"/>
        </w:tabs>
        <w:keepLines/>
      </w:pPr>
      <w:hyperlink w:anchor="agents-are-loops-with-authority">
        <w:r>
          <w:rPr>
            <w:rStyle w:val="Hyperlink"/>
          </w:rPr>
          <w:t>33.4 Agents are loops with authority</w:t>
        </w:r>
      </w:hyperlink>
      <w:r>
        <w:tab/>
      </w:r>
      <w:fldSimple w:instr="PAGEREF agents-are-loops-with-authority \h" w:dirty="false">
        <w:r>
          <w:t>170</w:t>
        </w:r>
      </w:fldSimple>
    </w:p>
    <w:p>
      <w:pPr>
        <w:pStyle w:val="TOC2"/>
        <w:tabs>
          <w:tab w:val="right" w:leader="dot" w:pos="9360"/>
        </w:tabs>
        <w:keepLines/>
      </w:pPr>
      <w:hyperlink w:anchor="python-demonstrations-32">
        <w:r>
          <w:rPr>
            <w:rStyle w:val="Hyperlink"/>
          </w:rPr>
          <w:t>33.5 Python demonstrations</w:t>
        </w:r>
      </w:hyperlink>
      <w:r>
        <w:tab/>
      </w:r>
      <w:fldSimple w:instr="PAGEREF python-demonstrations-32 \h" w:dirty="false">
        <w:r>
          <w:t>171</w:t>
        </w:r>
      </w:fldSimple>
    </w:p>
    <w:p>
      <w:pPr>
        <w:pStyle w:val="TOC2"/>
        <w:tabs>
          <w:tab w:val="right" w:leader="dot" w:pos="9360"/>
        </w:tabs>
        <w:keepLines/>
      </w:pPr>
      <w:hyperlink w:anchor="guided-practice-32">
        <w:r>
          <w:rPr>
            <w:rStyle w:val="Hyperlink"/>
          </w:rPr>
          <w:t>33.8 Guided practice</w:t>
        </w:r>
      </w:hyperlink>
      <w:r>
        <w:tab/>
      </w:r>
      <w:fldSimple w:instr="PAGEREF guided-practice-32 \h" w:dirty="false">
        <w:r>
          <w:t>173</w:t>
        </w:r>
      </w:fldSimple>
    </w:p>
    <w:p>
      <w:pPr>
        <w:pStyle w:val="TOC2"/>
        <w:tabs>
          <w:tab w:val="right" w:leader="dot" w:pos="9360"/>
        </w:tabs>
        <w:keepLines/>
      </w:pPr>
      <w:hyperlink w:anchor="exercises-32">
        <w:r>
          <w:rPr>
            <w:rStyle w:val="Hyperlink"/>
          </w:rPr>
          <w:t>33.9 Exercises</w:t>
        </w:r>
      </w:hyperlink>
      <w:r>
        <w:tab/>
      </w:r>
      <w:fldSimple w:instr="PAGEREF exercises-32 \h" w:dirty="false">
        <w:r>
          <w:t>173</w:t>
        </w:r>
      </w:fldSimple>
    </w:p>
    <w:p>
      <w:pPr>
        <w:pStyle w:val="TOC2"/>
        <w:tabs>
          <w:tab w:val="right" w:leader="dot" w:pos="9360"/>
        </w:tabs>
        <w:keepLines/>
      </w:pPr>
      <w:hyperlink w:anchor="chapter-summary-32">
        <w:r>
          <w:rPr>
            <w:rStyle w:val="Hyperlink"/>
          </w:rPr>
          <w:t>33.10 Chapter summary</w:t>
        </w:r>
      </w:hyperlink>
      <w:r>
        <w:tab/>
      </w:r>
      <w:fldSimple w:instr="PAGEREF chapter-summary-32 \h" w:dirty="false">
        <w:r>
          <w:t>173</w:t>
        </w:r>
      </w:fldSimple>
    </w:p>
    <w:p>
      <w:pPr>
        <w:pStyle w:val="TOC1"/>
        <w:tabs>
          <w:tab w:val="right" w:leader="dot" w:pos="9360"/>
        </w:tabs>
        <w:keepLines/>
      </w:pPr>
      <w:hyperlink w:anchor="capstone-projects-and-student-portfolio">
        <w:r>
          <w:rPr>
            <w:rStyle w:val="Hyperlink"/>
          </w:rPr>
          <w:t>34 Capstone Projects and Student Portfolio</w:t>
        </w:r>
      </w:hyperlink>
      <w:r>
        <w:tab/>
      </w:r>
      <w:fldSimple w:instr="PAGEREF capstone-projects-and-student-portfolio \h" w:dirty="false">
        <w:r>
          <w:t>175</w:t>
        </w:r>
      </w:fldSimple>
    </w:p>
    <w:p>
      <w:pPr>
        <w:pStyle w:val="TOC2"/>
        <w:tabs>
          <w:tab w:val="right" w:leader="dot" w:pos="9360"/>
        </w:tabs>
        <w:keepLines/>
      </w:pPr>
      <w:hyperlink w:anchor="learning-objectives-33">
        <w:r>
          <w:rPr>
            <w:rStyle w:val="Hyperlink"/>
          </w:rPr>
          <w:t>34.1 Learning objectives</w:t>
        </w:r>
      </w:hyperlink>
      <w:r>
        <w:tab/>
      </w:r>
      <w:fldSimple w:instr="PAGEREF learning-objectives-33 \h" w:dirty="false">
        <w:r>
          <w:t>175</w:t>
        </w:r>
      </w:fldSimple>
    </w:p>
    <w:p>
      <w:pPr>
        <w:pStyle w:val="TOC2"/>
        <w:tabs>
          <w:tab w:val="right" w:leader="dot" w:pos="9360"/>
        </w:tabs>
        <w:keepLines/>
      </w:pPr>
      <w:hyperlink w:anchor="X4c430964a751ab48303bc59848bb102c0aa9ed2">
        <w:r>
          <w:rPr>
            <w:rStyle w:val="Hyperlink"/>
          </w:rPr>
          <w:t>34.2 Capstone A: Canadian exchange-rate forecasting</w:t>
        </w:r>
      </w:hyperlink>
      <w:r>
        <w:tab/>
      </w:r>
      <w:fldSimple w:instr="PAGEREF X4c430964a751ab48303bc59848bb102c0aa9ed2 \h" w:dirty="false">
        <w:r>
          <w:t>175</w:t>
        </w:r>
      </w:fldSimple>
    </w:p>
    <w:p>
      <w:pPr>
        <w:pStyle w:val="TOC2"/>
        <w:tabs>
          <w:tab w:val="right" w:leader="dot" w:pos="9360"/>
        </w:tabs>
        <w:keepLines/>
      </w:pPr>
      <w:hyperlink w:anchor="Xea2075c445d44e470902e85a206e085ef05e6cb">
        <w:r>
          <w:rPr>
            <w:rStyle w:val="Hyperlink"/>
          </w:rPr>
          <w:t>34.3 Capstone B: inflation and interest-rate dashboard</w:t>
        </w:r>
      </w:hyperlink>
      <w:r>
        <w:tab/>
      </w:r>
      <w:fldSimple w:instr="PAGEREF Xea2075c445d44e470902e85a206e085ef05e6cb \h" w:dirty="false">
        <w:r>
          <w:t>175</w:t>
        </w:r>
      </w:fldSimple>
    </w:p>
    <w:p>
      <w:pPr>
        <w:pStyle w:val="TOC2"/>
        <w:tabs>
          <w:tab w:val="right" w:leader="dot" w:pos="9360"/>
        </w:tabs>
        <w:keepLines/>
      </w:pPr>
      <w:hyperlink w:anchor="capstones-c-and-d-risk-and-ai">
        <w:r>
          <w:rPr>
            <w:rStyle w:val="Hyperlink"/>
          </w:rPr>
          <w:t>34.4 Capstones C and D: risk and AI</w:t>
        </w:r>
      </w:hyperlink>
      <w:r>
        <w:tab/>
      </w:r>
      <w:fldSimple w:instr="PAGEREF capstones-c-and-d-risk-and-ai \h" w:dirty="false">
        <w:r>
          <w:t>175</w:t>
        </w:r>
      </w:fldSimple>
    </w:p>
    <w:p>
      <w:pPr>
        <w:pStyle w:val="TOC2"/>
        <w:tabs>
          <w:tab w:val="right" w:leader="dot" w:pos="9360"/>
        </w:tabs>
        <w:keepLines/>
      </w:pPr>
      <w:hyperlink w:anchor="python-demonstrations-33">
        <w:r>
          <w:rPr>
            <w:rStyle w:val="Hyperlink"/>
          </w:rPr>
          <w:t>34.5 Python demonstrations</w:t>
        </w:r>
      </w:hyperlink>
      <w:r>
        <w:tab/>
      </w:r>
      <w:fldSimple w:instr="PAGEREF python-demonstrations-33 \h" w:dirty="false">
        <w:r>
          <w:t>176</w:t>
        </w:r>
      </w:fldSimple>
    </w:p>
    <w:p>
      <w:pPr>
        <w:pStyle w:val="TOC2"/>
        <w:tabs>
          <w:tab w:val="right" w:leader="dot" w:pos="9360"/>
        </w:tabs>
        <w:keepLines/>
      </w:pPr>
      <w:hyperlink w:anchor="guided-practice-33">
        <w:r>
          <w:rPr>
            <w:rStyle w:val="Hyperlink"/>
          </w:rPr>
          <w:t>34.8 Guided practice</w:t>
        </w:r>
      </w:hyperlink>
      <w:r>
        <w:tab/>
      </w:r>
      <w:fldSimple w:instr="PAGEREF guided-practice-33 \h" w:dirty="false">
        <w:r>
          <w:t>179</w:t>
        </w:r>
      </w:fldSimple>
    </w:p>
    <w:p>
      <w:pPr>
        <w:pStyle w:val="TOC2"/>
        <w:tabs>
          <w:tab w:val="right" w:leader="dot" w:pos="9360"/>
        </w:tabs>
        <w:keepLines/>
      </w:pPr>
      <w:hyperlink w:anchor="exercises-33">
        <w:r>
          <w:rPr>
            <w:rStyle w:val="Hyperlink"/>
          </w:rPr>
          <w:t>34.9 Exercises</w:t>
        </w:r>
      </w:hyperlink>
      <w:r>
        <w:tab/>
      </w:r>
      <w:fldSimple w:instr="PAGEREF exercises-33 \h" w:dirty="false">
        <w:r>
          <w:t>179</w:t>
        </w:r>
      </w:fldSimple>
    </w:p>
    <w:p>
      <w:pPr>
        <w:pStyle w:val="TOC2"/>
        <w:tabs>
          <w:tab w:val="right" w:leader="dot" w:pos="9360"/>
        </w:tabs>
        <w:keepLines/>
      </w:pPr>
      <w:hyperlink w:anchor="chapter-summary-33">
        <w:r>
          <w:rPr>
            <w:rStyle w:val="Hyperlink"/>
          </w:rPr>
          <w:t>34.10 Chapter summary</w:t>
        </w:r>
      </w:hyperlink>
      <w:r>
        <w:tab/>
      </w:r>
      <w:fldSimple w:instr="PAGEREF chapter-summary-33 \h" w:dirty="false">
        <w:r>
          <w:t>179</w:t>
        </w:r>
      </w:fldSimple>
    </w:p>
    <w:p>
      <w:pPr>
        <w:pStyle w:val="TOC1"/>
        <w:tabs>
          <w:tab w:val="right" w:leader="dot" w:pos="9360"/>
        </w:tabs>
        <w:keepLines/>
      </w:pPr>
      <w:hyperlink w:anchor="appendix-a.-python-quick-reference">
        <w:r>
          <w:rPr>
            <w:rStyle w:val="Hyperlink"/>
          </w:rPr>
          <w:t>35 Appendix A. Python Quick Reference</w:t>
        </w:r>
      </w:hyperlink>
      <w:r>
        <w:tab/>
      </w:r>
      <w:fldSimple w:instr="PAGEREF appendix-a.-python-quick-reference \h" w:dirty="false">
        <w:r>
          <w:t>181</w:t>
        </w:r>
      </w:fldSimple>
    </w:p>
    <w:p>
      <w:pPr>
        <w:pStyle w:val="TOC1"/>
        <w:tabs>
          <w:tab w:val="right" w:leader="dot" w:pos="9360"/>
        </w:tabs>
        <w:keepLines/>
      </w:pPr>
      <w:hyperlink w:anchor="Xb2cefef0c1159f12927f64e3a9ee800fa20e733">
        <w:r>
          <w:rPr>
            <w:rStyle w:val="Hyperlink"/>
          </w:rPr>
          <w:t>36 Appendix B. Installation and Troubleshooting</w:t>
        </w:r>
      </w:hyperlink>
      <w:r>
        <w:tab/>
      </w:r>
      <w:fldSimple w:instr="PAGEREF Xb2cefef0c1159f12927f64e3a9ee800fa20e733 \h" w:dirty="false">
        <w:r>
          <w:t>182</w:t>
        </w:r>
      </w:fldSimple>
    </w:p>
    <w:p>
      <w:pPr>
        <w:pStyle w:val="TOC1"/>
        <w:tabs>
          <w:tab w:val="right" w:leader="dot" w:pos="9360"/>
        </w:tabs>
        <w:keepLines/>
      </w:pPr>
      <w:hyperlink w:anchor="appendix-c.-r-to-python-crosswalk">
        <w:r>
          <w:rPr>
            <w:rStyle w:val="Hyperlink"/>
          </w:rPr>
          <w:t>37 Appendix C. R-to-Python Crosswalk</w:t>
        </w:r>
      </w:hyperlink>
      <w:r>
        <w:tab/>
      </w:r>
      <w:fldSimple w:instr="PAGEREF appendix-c.-r-to-python-crosswalk \h" w:dirty="false">
        <w:r>
          <w:t>183</w:t>
        </w:r>
      </w:fldSimple>
    </w:p>
    <w:p>
      <w:pPr>
        <w:pStyle w:val="TOC1"/>
        <w:tabs>
          <w:tab w:val="right" w:leader="dot" w:pos="9360"/>
        </w:tabs>
        <w:keepLines/>
      </w:pPr>
      <w:hyperlink w:anchor="appendix-d.-mathematical-notation">
        <w:r>
          <w:rPr>
            <w:rStyle w:val="Hyperlink"/>
          </w:rPr>
          <w:t>38 Appendix D. Mathematical Notation</w:t>
        </w:r>
      </w:hyperlink>
      <w:r>
        <w:tab/>
      </w:r>
      <w:fldSimple w:instr="PAGEREF appendix-d.-mathematical-notation \h" w:dirty="false">
        <w:r>
          <w:t>185</w:t>
        </w:r>
      </w:fldSimple>
    </w:p>
    <w:p>
      <w:pPr>
        <w:pStyle w:val="TOC1"/>
        <w:tabs>
          <w:tab w:val="right" w:leader="dot" w:pos="9360"/>
        </w:tabs>
        <w:keepLines/>
      </w:pPr>
      <w:hyperlink w:anchor="appendix-e.-glossary">
        <w:r>
          <w:rPr>
            <w:rStyle w:val="Hyperlink"/>
          </w:rPr>
          <w:t>39 Appendix E. Glossary</w:t>
        </w:r>
      </w:hyperlink>
      <w:r>
        <w:tab/>
      </w:r>
      <w:fldSimple w:instr="PAGEREF appendix-e.-glossary \h" w:dirty="false">
        <w:r>
          <w:t>186</w:t>
        </w:r>
      </w:fldSimple>
    </w:p>
    <w:p>
      <w:pPr>
        <w:pStyle w:val="TOC1"/>
        <w:tabs>
          <w:tab w:val="right" w:leader="dot" w:pos="9360"/>
        </w:tabs>
        <w:keepLines/>
      </w:pPr>
      <w:hyperlink w:anchor="appendix-f.-selected-exercise-guidance">
        <w:r>
          <w:rPr>
            <w:rStyle w:val="Hyperlink"/>
          </w:rPr>
          <w:t>40 Appendix F. Selected Exercise Guidance</w:t>
        </w:r>
      </w:hyperlink>
      <w:r>
        <w:tab/>
      </w:r>
      <w:fldSimple w:instr="PAGEREF appendix-f.-selected-exercise-guidance \h" w:dirty="false">
        <w:r>
          <w:t>189</w:t>
        </w:r>
      </w:fldSimple>
    </w:p>
    <w:p>
      <w:pPr>
        <w:pStyle w:val="TOC1"/>
        <w:tabs>
          <w:tab w:val="right" w:leader="dot" w:pos="9360"/>
        </w:tabs>
        <w:keepLines/>
      </w:pPr>
      <w:hyperlink w:anchor="Xfe9f3f1af4215b2117644f4ab1c4f6d654af906">
        <w:r>
          <w:rPr>
            <w:rStyle w:val="Hyperlink"/>
          </w:rPr>
          <w:t>41 Appendix G. Data Sources, Licences, and Attribution</w:t>
        </w:r>
      </w:hyperlink>
      <w:r>
        <w:tab/>
      </w:r>
      <w:fldSimple w:instr="PAGEREF Xfe9f3f1af4215b2117644f4ab1c4f6d654af906 \h" w:dirty="false">
        <w:r>
          <w:t>194</w:t>
        </w:r>
      </w:fldSimple>
    </w:p>
    <w:p>
      <w:pPr>
        <w:pStyle w:val="TOC1"/>
        <w:tabs>
          <w:tab w:val="right" w:leader="dot" w:pos="9360"/>
        </w:tabs>
        <w:keepLines/>
      </w:pPr>
      <w:hyperlink w:anchor="appendix-h.-software-and-reproducibility">
        <w:r>
          <w:rPr>
            <w:rStyle w:val="Hyperlink"/>
          </w:rPr>
          <w:t>42 Appendix H. Software and Reproducibility</w:t>
        </w:r>
      </w:hyperlink>
      <w:r>
        <w:tab/>
      </w:r>
      <w:fldSimple w:instr="PAGEREF appendix-h.-software-and-reproducibility \h" w:dirty="false">
        <w:r>
          <w:t>195</w:t>
        </w:r>
      </w:fldSimple>
    </w:p>
    <w:p>
      <w:pPr>
        <w:pStyle w:val="TOC1"/>
        <w:tabs>
          <w:tab w:val="right" w:leader="dot" w:pos="9360"/>
        </w:tabs>
        <w:keepLines/>
      </w:pPr>
      <w:hyperlink w:anchor="appendix-i.-accessibility-statement">
        <w:r>
          <w:rPr>
            <w:rStyle w:val="Hyperlink"/>
          </w:rPr>
          <w:t>43 Appendix I. Accessibility Statement</w:t>
        </w:r>
      </w:hyperlink>
      <w:r>
        <w:tab/>
      </w:r>
      <w:fldSimple w:instr="PAGEREF appendix-i.-accessibility-statement \h" w:dirty="false">
        <w:r>
          <w:t>196</w:t>
        </w:r>
      </w:fldSimple>
    </w:p>
    <w:p>
      <w:pPr>
        <w:pStyle w:val="TOC1"/>
        <w:tabs>
          <w:tab w:val="right" w:leader="dot" w:pos="9360"/>
        </w:tabs>
        <w:keepLines/>
      </w:pPr>
      <w:hyperlink w:anchor="appendix-j.-acknowledgments">
        <w:r>
          <w:rPr>
            <w:rStyle w:val="Hyperlink"/>
          </w:rPr>
          <w:t>44 Appendix J. Acknowledgments</w:t>
        </w:r>
      </w:hyperlink>
      <w:r>
        <w:tab/>
      </w:r>
      <w:fldSimple w:instr="PAGEREF appendix-j.-acknowledgments \h" w:dirty="false">
        <w:r>
          <w:t>197</w:t>
        </w:r>
      </w:fldSimple>
    </w:p>
    <w:p>
      <w:pPr>
        <w:pStyle w:val="TOC1"/>
        <w:tabs>
          <w:tab w:val="right" w:leader="dot" w:pos="9360"/>
        </w:tabs>
        <w:keepLines/>
      </w:pPr>
      <w:hyperlink w:anchor="references">
        <w:r>
          <w:rPr>
            <w:rStyle w:val="Hyperlink"/>
          </w:rPr>
          <w:t>References</w:t>
        </w:r>
      </w:hyperlink>
      <w:r>
        <w:tab/>
      </w:r>
      <w:fldSimple w:instr="PAGEREF references \h" w:dirty="false">
        <w:r>
          <w:t>198</w:t>
        </w:r>
      </w:fldSimple>
    </w:p>
    <w:p/>
    <w:p>
      <w:pPr>
        <w:keepNext/>
        <w:pageBreakBefore/>
        <w:spacing w:before="1360" w:after="240"/>
        <w:jc w:val="center"/>
      </w:pPr>
      <w:r>
        <w:drawing>
          <wp:inline>
            <wp:extent cx="4297680" cy="2418730"/>
            <wp:docPr id="735" name="Picture 735" descr="Image: rId20.png"/>
            <wp:cNvGraphicFramePr>
              <a:graphicFrameLocks noChangeAspect="1"/>
            </wp:cNvGraphicFramePr>
            <a:graphic>
              <a:graphicData uri="http://schemas.openxmlformats.org/drawingml/2006/picture">
                <pic:pic>
                  <pic:nvPicPr>
                    <pic:cNvPr id="0" name="image.png"/>
                    <pic:cNvPicPr/>
                  </pic:nvPicPr>
                  <pic:blipFill>
                    <a:blip r:embed="rId20"/>
                    <a:stretch>
                      <a:fillRect/>
                    </a:stretch>
                  </pic:blipFill>
                  <pic:spPr>
                    <a:xfrm>
                      <a:off x="0" y="0"/>
                      <a:ext cx="4297680" cy="2418730"/>
                    </a:xfrm>
                    <a:prstGeom prst="rect"/>
                  </pic:spPr>
                </pic:pic>
              </a:graphicData>
            </a:graphic>
          </wp:inline>
        </w:drawing>
      </w:r>
    </w:p>
    <w:p>
      <w:pPr>
        <w:pStyle w:val="PartTitle"/>
        <w:keepNext/>
        <w:pageBreakBefore w:val="0"/>
      </w:pPr>
      <w:r>
        <w:rPr>
          <w:rFonts w:ascii="Noto Sans" w:hAnsi="Noto Sans" w:eastAsia="Noto Sans" w:cs="Noto Sans"/>
          <w:b/>
          <w:color w:val="0A2342"/>
          <w:sz w:val="28"/>
        </w:rPr>
        <w:t>PART I</w:t>
        <w:br/>
      </w:r>
      <w:r>
        <w:rPr>
          <w:rFonts w:ascii="Noto Sans" w:hAnsi="Noto Sans" w:eastAsia="Noto Sans" w:cs="Noto Sans"/>
          <w:b/>
          <w:color w:val="008F87"/>
          <w:sz w:val="56"/>
        </w:rPr>
        <w:t>Python Foundations</w:t>
      </w:r>
    </w:p>
    <w:p>
      <w:pPr>
        <w:pStyle w:val="PartTagline"/>
      </w:pPr>
      <w:r>
        <w:t>LEARN  •  ANALYZE  •  UNDERSTAND</w:t>
      </w:r>
    </w:p>
    <w:p>
      <w:pPr>
        <w:pStyle w:val="PartTagline"/>
      </w:pPr>
      <w:r>
        <w:t>Ceteris LAB  |  econometrics.safavim.com</w:t>
      </w:r>
    </w:p>
    <w:bookmarkEnd w:id="30"/>
    <w:bookmarkStart w:id="50" w:name="welcome-to-python-and-ceteris-lab"/>
    <w:p>
      <w:pPr>
        <w:pStyle w:val="Heading1"/>
        <w:keepNext/>
        <w:pageBreakBefore/>
      </w:pPr>
      <w:r>
        <w:rPr>
          <w:rStyle w:val="SectionNumber"/>
          <w:rFonts w:ascii="Noto Sans" w:hAnsi="Noto Sans" w:eastAsia="Noto Sans" w:cs="Noto Sans"/>
          <w:b/>
          <w:color w:val="0A2342"/>
          <w:sz w:val="43"/>
        </w:rPr>
        <w:t xml:space="preserve">1</w:t>
      </w:r>
      <w:r>
        <w:rPr>
          <w:rFonts w:ascii="Noto Sans" w:hAnsi="Noto Sans" w:eastAsia="Noto Sans" w:cs="Noto Sans"/>
          <w:b/>
          <w:color w:val="0A2342"/>
          <w:sz w:val="43"/>
        </w:rPr>
        <w:tab/>
      </w:r>
      <w:r>
        <w:rPr>
          <w:rFonts w:ascii="Noto Sans" w:hAnsi="Noto Sans" w:eastAsia="Noto Sans" w:cs="Noto Sans"/>
          <w:b/>
          <w:color w:val="0A2342"/>
          <w:sz w:val="43"/>
        </w:rPr>
        <w:t xml:space="preserve">Welcome to Python and Ceteris LAB</w:t>
      </w:r>
    </w:p>
    <w:p>
      <w:pPr>
        <w:pStyle w:val="FirstParagraph"/>
      </w:pPr>
      <w:r>
        <w:rPr>
          <w:i/>
          <w:iCs/>
        </w:rPr>
        <w:t xml:space="preserve">Opening question:</w:t>
      </w:r>
      <w:r>
        <w:t xml:space="preserve"> </w:t>
      </w:r>
      <w:r>
        <w:rPr>
          <w:b/>
          <w:bCs/>
        </w:rPr>
        <w:t xml:space="preserve">How can one language carry an economic question from raw observations to a reproducible conclusion?</w:t>
      </w:r>
    </w:p>
    <w:bookmarkStart w:id="31" w:name="learning-objectives"/>
    <w:p>
      <w:pPr>
        <w:pStyle w:val="Heading2"/>
        <w:keepNext/>
      </w:pPr>
      <w:r>
        <w:rPr>
          <w:rStyle w:val="SectionNumber"/>
          <w:rFonts w:ascii="Noto Sans" w:hAnsi="Noto Sans" w:eastAsia="Noto Sans" w:cs="Noto Sans"/>
          <w:b/>
          <w:color w:val="008F87"/>
          <w:sz w:val="29"/>
        </w:rPr>
        <w:t xml:space="preserve">1.1</w:t>
      </w:r>
      <w:r>
        <w:rPr>
          <w:rFonts w:ascii="Noto Sans" w:hAnsi="Noto Sans" w:eastAsia="Noto Sans" w:cs="Noto Sans"/>
          <w:b/>
          <w:color w:val="008F87"/>
          <w:sz w:val="29"/>
        </w:rPr>
        <w:tab/>
      </w:r>
      <w:r>
        <w:rPr>
          <w:rFonts w:ascii="Noto Sans" w:hAnsi="Noto Sans" w:eastAsia="Noto Sans" w:cs="Noto Sans"/>
          <w:b/>
          <w:color w:val="008F87"/>
          <w:sz w:val="29"/>
        </w:rPr>
        <w:t xml:space="preserve">Learning objectives</w:t>
      </w:r>
    </w:p>
    <w:p>
      <w:pPr>
        <w:pStyle w:val="Compact"/>
        <w:numPr>
          <w:ilvl w:val="0"/>
          <w:numId w:val="1003"/>
        </w:numPr>
      </w:pPr>
      <w:r>
        <w:t xml:space="preserve">Explain why Python is useful in economics, finance, econometrics, and AI.</w:t>
      </w:r>
    </w:p>
    <w:p>
      <w:pPr>
        <w:pStyle w:val="Compact"/>
        <w:numPr>
          <w:ilvl w:val="0"/>
          <w:numId w:val="1003"/>
        </w:numPr>
      </w:pPr>
      <w:r>
        <w:t xml:space="preserve">Distinguish scripts, notebooks, packages, and environments.</w:t>
      </w:r>
    </w:p>
    <w:p>
      <w:pPr>
        <w:pStyle w:val="Compact"/>
        <w:numPr>
          <w:ilvl w:val="0"/>
          <w:numId w:val="1003"/>
        </w:numPr>
      </w:pPr>
      <w:r>
        <w:t xml:space="preserve">Run a small end-to-end analysis.</w:t>
      </w:r>
    </w:p>
    <w:p>
      <w:pPr>
        <w:pStyle w:val="Compact"/>
        <w:numPr>
          <w:ilvl w:val="0"/>
          <w:numId w:val="1003"/>
        </w:numPr>
      </w:pPr>
      <w:r>
        <w:t xml:space="preserve">Recognize the difference between computation and interpretation.</w:t>
      </w:r>
    </w:p>
    <w:p>
      <w:pPr>
        <w:pStyle w:val="FirstParagraph"/>
      </w:pPr>
      <w:r>
        <w:rPr>
          <w:b/>
          <w:bCs/>
        </w:rPr>
        <w:t xml:space="preserve">Prerequisites:</w:t>
      </w:r>
      <w:r>
        <w:t xml:space="preserve"> </w:t>
      </w:r>
      <w:r>
        <w:t xml:space="preserve">No programming experience is required.</w:t>
      </w:r>
    </w:p>
    <w:p>
      <w:pPr>
        <w:pStyle w:val="BodyText"/>
      </w:pPr>
      <w:r>
        <w:rPr>
          <w:b/>
          <w:bCs/>
        </w:rPr>
        <w:t xml:space="preserve">Key terms:</w:t>
      </w:r>
      <w:r>
        <w:t xml:space="preserve"> </w:t>
      </w:r>
      <w:r>
        <w:t xml:space="preserve">Python, open source, notebook, script, package, reproducibility.</w:t>
      </w:r>
    </w:p>
    <w:bookmarkEnd w:id="31"/>
    <w:bookmarkStart w:id="32" w:name="a-language-and-an-ecosystem"/>
    <w:p>
      <w:pPr>
        <w:pStyle w:val="Heading2"/>
        <w:keepNext/>
      </w:pPr>
      <w:r>
        <w:rPr>
          <w:rStyle w:val="SectionNumber"/>
          <w:rFonts w:ascii="Noto Sans" w:hAnsi="Noto Sans" w:eastAsia="Noto Sans" w:cs="Noto Sans"/>
          <w:b/>
          <w:color w:val="008F87"/>
          <w:sz w:val="29"/>
        </w:rPr>
        <w:t xml:space="preserve">1.2</w:t>
      </w:r>
      <w:r>
        <w:rPr>
          <w:rFonts w:ascii="Noto Sans" w:hAnsi="Noto Sans" w:eastAsia="Noto Sans" w:cs="Noto Sans"/>
          <w:b/>
          <w:color w:val="008F87"/>
          <w:sz w:val="29"/>
        </w:rPr>
        <w:tab/>
      </w:r>
      <w:r>
        <w:rPr>
          <w:rFonts w:ascii="Noto Sans" w:hAnsi="Noto Sans" w:eastAsia="Noto Sans" w:cs="Noto Sans"/>
          <w:b/>
          <w:color w:val="008F87"/>
          <w:sz w:val="29"/>
        </w:rPr>
        <w:t xml:space="preserve">A language and an ecosystem</w:t>
      </w:r>
    </w:p>
    <w:p>
      <w:pPr>
        <w:pStyle w:val="FirstParagraph"/>
      </w:pPr>
      <w:r>
        <w:t xml:space="preserve">Python is both a general-purpose programming language and the centre of a large scientific ecosystem. The language supplies readable syntax, functions, objects, and modules. Libraries such as NumPy, pandas, Matplotlib, statsmodels, scikit-learn, and PyTorch add numerical computing, data management, visualization, econometrics, machine learning, and deep learning. The result is a connected workshop rather than a single-purpose calculator. A student can clean a Statistics Canada table, estimate a regression, visualize uncertainty, and document the workflow without changing languages. Current Python documentation remains the authority for syntax and standard-library behaviour</w:t>
      </w:r>
      <w:r>
        <w:t xml:space="preserve"> </w:t>
      </w:r>
      <w:r>
        <w:t xml:space="preserve">(Python Software Foundation 2026)</w:t>
      </w:r>
      <w:r>
        <w:t xml:space="preserve">.</w:t>
      </w:r>
    </w:p>
    <w:bookmarkEnd w:id="32"/>
    <w:bookmarkStart w:id="33" w:name="from-question-to-evidence"/>
    <w:p>
      <w:pPr>
        <w:pStyle w:val="Heading2"/>
        <w:keepNext/>
      </w:pPr>
      <w:r>
        <w:rPr>
          <w:rStyle w:val="SectionNumber"/>
          <w:rFonts w:ascii="Noto Sans" w:hAnsi="Noto Sans" w:eastAsia="Noto Sans" w:cs="Noto Sans"/>
          <w:b/>
          <w:color w:val="008F87"/>
          <w:sz w:val="29"/>
        </w:rPr>
        <w:t xml:space="preserve">1.3</w:t>
      </w:r>
      <w:r>
        <w:rPr>
          <w:rFonts w:ascii="Noto Sans" w:hAnsi="Noto Sans" w:eastAsia="Noto Sans" w:cs="Noto Sans"/>
          <w:b/>
          <w:color w:val="008F87"/>
          <w:sz w:val="29"/>
        </w:rPr>
        <w:tab/>
      </w:r>
      <w:r>
        <w:rPr>
          <w:rFonts w:ascii="Noto Sans" w:hAnsi="Noto Sans" w:eastAsia="Noto Sans" w:cs="Noto Sans"/>
          <w:b/>
          <w:color w:val="008F87"/>
          <w:sz w:val="29"/>
        </w:rPr>
        <w:t xml:space="preserve">From question to evidence</w:t>
      </w:r>
    </w:p>
    <w:p>
      <w:pPr>
        <w:pStyle w:val="FirstParagraph"/>
      </w:pPr>
      <w:r>
        <w:t xml:space="preserve">A useful analysis begins with a question, not with a package. The Ceteris LAB workflow used throughout this book is: define the question, identify data, validate inputs, transform variables, estimate or simulate, diagnose the result, communicate the evidence, and preserve enough metadata for another person to repeat the work. Reproducibility does not mean that every future run will be numerically identical. It means that the code, data provenance, assumptions, software versions, and random seeds are visible rather than hidden in a maze of clicks.</w:t>
      </w:r>
    </w:p>
    <w:bookmarkEnd w:id="33"/>
    <w:bookmarkStart w:id="34" w:name="what-python-cannot-decide-for-you"/>
    <w:p>
      <w:pPr>
        <w:pStyle w:val="Heading2"/>
        <w:keepNext/>
      </w:pPr>
      <w:r>
        <w:rPr>
          <w:rStyle w:val="SectionNumber"/>
          <w:rFonts w:ascii="Noto Sans" w:hAnsi="Noto Sans" w:eastAsia="Noto Sans" w:cs="Noto Sans"/>
          <w:b/>
          <w:color w:val="008F87"/>
          <w:sz w:val="29"/>
        </w:rPr>
        <w:t xml:space="preserve">1.4</w:t>
      </w:r>
      <w:r>
        <w:rPr>
          <w:rFonts w:ascii="Noto Sans" w:hAnsi="Noto Sans" w:eastAsia="Noto Sans" w:cs="Noto Sans"/>
          <w:b/>
          <w:color w:val="008F87"/>
          <w:sz w:val="29"/>
        </w:rPr>
        <w:tab/>
      </w:r>
      <w:r>
        <w:rPr>
          <w:rFonts w:ascii="Noto Sans" w:hAnsi="Noto Sans" w:eastAsia="Noto Sans" w:cs="Noto Sans"/>
          <w:b/>
          <w:color w:val="008F87"/>
          <w:sz w:val="29"/>
        </w:rPr>
        <w:t xml:space="preserve">What Python cannot decide for you</w:t>
      </w:r>
    </w:p>
    <w:p>
      <w:pPr>
        <w:pStyle w:val="FirstParagraph"/>
      </w:pPr>
      <w:r>
        <w:t xml:space="preserve">Software can calculate quickly and still answer the wrong question. Python does not decide whether a variable measures the intended concept, whether a relationship is causal, whether a forecast is useful, or whether a financial result is suitable for a real decision. Those judgements remain analytical tasks. Throughout the book, each result is followed by interpretation and limitation. This separation is especially important when AI tools generate code: fluent syntax is not evidence that a model is correctly specified.</w:t>
      </w:r>
    </w:p>
    <w:bookmarkEnd w:id="34"/>
    <w:bookmarkStart w:id="37" w:name="python-demonstrations"/>
    <w:p>
      <w:pPr>
        <w:pStyle w:val="Heading2"/>
        <w:keepNext/>
      </w:pPr>
      <w:r>
        <w:rPr>
          <w:rStyle w:val="SectionNumber"/>
          <w:rFonts w:ascii="Noto Sans" w:hAnsi="Noto Sans" w:eastAsia="Noto Sans" w:cs="Noto Sans"/>
          <w:b/>
          <w:color w:val="008F87"/>
          <w:sz w:val="29"/>
        </w:rPr>
        <w:t xml:space="preserve">1.5</w:t>
      </w:r>
      <w:r>
        <w:rPr>
          <w:rFonts w:ascii="Noto Sans" w:hAnsi="Noto Sans" w:eastAsia="Noto Sans" w:cs="Noto Sans"/>
          <w:b/>
          <w:color w:val="008F87"/>
          <w:sz w:val="29"/>
        </w:rPr>
        <w:tab/>
      </w:r>
      <w:r>
        <w:rPr>
          <w:rFonts w:ascii="Noto Sans" w:hAnsi="Noto Sans" w:eastAsia="Noto Sans" w:cs="Noto Sans"/>
          <w:b/>
          <w:color w:val="008F87"/>
          <w:sz w:val="29"/>
        </w:rPr>
        <w:t xml:space="preserve">Python demonstrations</w:t>
      </w:r>
    </w:p>
    <w:bookmarkStart w:id="35" w:name="X2496ca64058d664ffb80f503972b0f733c70720"/>
    <w:p>
      <w:pPr>
        <w:pStyle w:val="Heading3"/>
        <w:keepNext/>
      </w:pPr>
      <w:r>
        <w:rPr>
          <w:rStyle w:val="SectionNumber"/>
          <w:rFonts w:ascii="Noto Sans" w:hAnsi="Noto Sans" w:eastAsia="Noto Sans" w:cs="Noto Sans"/>
          <w:b/>
          <w:color w:val="0A2342"/>
          <w:sz w:val="23"/>
        </w:rPr>
        <w:t xml:space="preserve">1.5.1</w:t>
      </w:r>
      <w:r>
        <w:rPr>
          <w:rFonts w:ascii="Noto Sans" w:hAnsi="Noto Sans" w:eastAsia="Noto Sans" w:cs="Noto Sans"/>
          <w:b/>
          <w:color w:val="0A2342"/>
          <w:sz w:val="23"/>
        </w:rPr>
        <w:tab/>
      </w:r>
      <w:r>
        <w:rPr>
          <w:rFonts w:ascii="Noto Sans" w:hAnsi="Noto Sans" w:eastAsia="Noto Sans" w:cs="Noto Sans"/>
          <w:b/>
          <w:color w:val="0A2342"/>
          <w:sz w:val="23"/>
        </w:rPr>
        <w:t xml:space="preserve">Demonstration 1.1: A first miniature analysis</w:t>
      </w:r>
    </w:p>
    <w:p>
      <w:pPr>
        <w:pStyle w:val="SourceCode"/>
        <w:keepLines/>
        <w:shd w:fill="F6F8FA" w:val="clear"/>
      </w:pPr>
      <w:r>
        <w:rPr>
          <w:rStyle w:val="ImportTok"/>
        </w:rPr>
        <w:t xml:space="preserve">import</w:t>
      </w:r>
      <w:r>
        <w:rPr>
          <w:rStyle w:val="NormalTok"/>
        </w:rPr>
        <w:t xml:space="preserve"> pandas </w:t>
      </w:r>
      <w:r>
        <w:rPr>
          <w:rStyle w:val="ImportTok"/>
        </w:rPr>
        <w:t xml:space="preserve">as</w:t>
      </w:r>
      <w:r>
        <w:rPr>
          <w:rStyle w:val="NormalTok"/>
        </w:rPr>
        <w:t xml:space="preserve"> pd</w:t>
      </w:r>
      <w:r>
        <w:br/>
      </w:r>
      <w:r>
        <w:br/>
      </w:r>
      <w:r>
        <w:rPr>
          <w:rStyle w:val="NormalTok"/>
        </w:rPr>
        <w:t xml:space="preserve">inflation </w:t>
      </w:r>
      <w:r>
        <w:rPr>
          <w:rStyle w:val="OperatorTok"/>
        </w:rPr>
        <w:t xml:space="preserve">=</w:t>
      </w:r>
      <w:r>
        <w:rPr>
          <w:rStyle w:val="NormalTok"/>
        </w:rPr>
        <w:t xml:space="preserve"> pd.DataFrame({</w:t>
      </w:r>
      <w:r>
        <w:br/>
      </w:r>
      <w:r>
        <w:rPr>
          <w:rStyle w:val="NormalTok"/>
        </w:rPr>
        <w:t xml:space="preserve">    </w:t>
      </w:r>
      <w:r>
        <w:rPr>
          <w:rStyle w:val="StringTok"/>
        </w:rPr>
        <w:t xml:space="preserve">"month"</w:t>
      </w:r>
      <w:r>
        <w:rPr>
          <w:rStyle w:val="NormalTok"/>
        </w:rPr>
        <w:t xml:space="preserve">: [</w:t>
      </w:r>
      <w:r>
        <w:rPr>
          <w:rStyle w:val="StringTok"/>
        </w:rPr>
        <w:t xml:space="preserve">"Jan"</w:t>
      </w:r>
      <w:r>
        <w:rPr>
          <w:rStyle w:val="NormalTok"/>
        </w:rPr>
        <w:t xml:space="preserve">, </w:t>
      </w:r>
      <w:r>
        <w:rPr>
          <w:rStyle w:val="StringTok"/>
        </w:rPr>
        <w:t xml:space="preserve">"Feb"</w:t>
      </w:r>
      <w:r>
        <w:rPr>
          <w:rStyle w:val="NormalTok"/>
        </w:rPr>
        <w:t xml:space="preserve">, </w:t>
      </w:r>
      <w:r>
        <w:rPr>
          <w:rStyle w:val="StringTok"/>
        </w:rPr>
        <w:t xml:space="preserve">"Mar"</w:t>
      </w:r>
      <w:r>
        <w:rPr>
          <w:rStyle w:val="NormalTok"/>
        </w:rPr>
        <w:t xml:space="preserve">, </w:t>
      </w:r>
      <w:r>
        <w:rPr>
          <w:rStyle w:val="StringTok"/>
        </w:rPr>
        <w:t xml:space="preserve">"Apr"</w:t>
      </w:r>
      <w:r>
        <w:rPr>
          <w:rStyle w:val="NormalTok"/>
        </w:rPr>
        <w:t xml:space="preserve">],</w:t>
      </w:r>
      <w:r>
        <w:br/>
      </w:r>
      <w:r>
        <w:rPr>
          <w:rStyle w:val="NormalTok"/>
        </w:rPr>
        <w:t xml:space="preserve">    </w:t>
      </w:r>
      <w:r>
        <w:rPr>
          <w:rStyle w:val="StringTok"/>
        </w:rPr>
        <w:t xml:space="preserve">"rate"</w:t>
      </w:r>
      <w:r>
        <w:rPr>
          <w:rStyle w:val="NormalTok"/>
        </w:rPr>
        <w:t xml:space="preserve">: [</w:t>
      </w:r>
      <w:r>
        <w:rPr>
          <w:rStyle w:val="FloatTok"/>
        </w:rPr>
        <w:t xml:space="preserve">2.9</w:t>
      </w:r>
      <w:r>
        <w:rPr>
          <w:rStyle w:val="NormalTok"/>
        </w:rPr>
        <w:t xml:space="preserve">, </w:t>
      </w:r>
      <w:r>
        <w:rPr>
          <w:rStyle w:val="FloatTok"/>
        </w:rPr>
        <w:t xml:space="preserve">2.8</w:t>
      </w:r>
      <w:r>
        <w:rPr>
          <w:rStyle w:val="NormalTok"/>
        </w:rPr>
        <w:t xml:space="preserve">, </w:t>
      </w:r>
      <w:r>
        <w:rPr>
          <w:rStyle w:val="FloatTok"/>
        </w:rPr>
        <w:t xml:space="preserve">2.7</w:t>
      </w:r>
      <w:r>
        <w:rPr>
          <w:rStyle w:val="NormalTok"/>
        </w:rPr>
        <w:t xml:space="preserve">, </w:t>
      </w:r>
      <w:r>
        <w:rPr>
          <w:rStyle w:val="FloatTok"/>
        </w:rPr>
        <w:t xml:space="preserve">2.6</w:t>
      </w:r>
      <w:r>
        <w:rPr>
          <w:rStyle w:val="NormalTok"/>
        </w:rPr>
        <w:t xml:space="preserve">],</w:t>
      </w:r>
      <w:r>
        <w:br/>
      </w:r>
      <w:r>
        <w:rPr>
          <w:rStyle w:val="NormalTok"/>
        </w:rPr>
        <w:t xml:space="preserve">})</w:t>
      </w:r>
      <w:r>
        <w:br/>
      </w:r>
      <w:r>
        <w:rPr>
          <w:rStyle w:val="BuiltInTok"/>
        </w:rPr>
        <w:t xml:space="preserve">print</w:t>
      </w:r>
      <w:r>
        <w:rPr>
          <w:rStyle w:val="NormalTok"/>
        </w:rPr>
        <w:t xml:space="preserve">(inflation[</w:t>
      </w:r>
      <w:r>
        <w:rPr>
          <w:rStyle w:val="StringTok"/>
        </w:rPr>
        <w:t xml:space="preserve">"rate"</w:t>
      </w:r>
      <w:r>
        <w:rPr>
          <w:rStyle w:val="NormalTok"/>
        </w:rPr>
        <w:t xml:space="preserve">].mean())</w:t>
      </w:r>
      <w:r>
        <w:br/>
      </w:r>
      <w:r>
        <w:rPr>
          <w:rStyle w:val="BuiltInTok"/>
        </w:rPr>
        <w:t xml:space="preserve">print</w:t>
      </w:r>
      <w:r>
        <w:rPr>
          <w:rStyle w:val="NormalTok"/>
        </w:rPr>
        <w:t xml:space="preserve">(inflation.tail(</w:t>
      </w:r>
      <w:r>
        <w:rPr>
          <w:rStyle w:val="DecValTok"/>
        </w:rPr>
        <w:t xml:space="preserve">2</w:t>
      </w:r>
      <w:r>
        <w:rPr>
          <w:rStyle w:val="NormalTok"/>
        </w:rPr>
        <w:t xml:space="preserve">))</w:t>
      </w:r>
    </w:p>
    <w:p>
      <w:pPr>
        <w:pStyle w:val="FirstParagraph"/>
      </w:pPr>
      <w:r>
        <w:rPr>
          <w:b/>
          <w:bCs/>
        </w:rPr>
        <w:t xml:space="preserve">Verified output</w:t>
      </w:r>
    </w:p>
    <w:p>
      <w:pPr>
        <w:pStyle w:val="SourceCode"/>
        <w:keepLines/>
        <w:shd w:fill="F6F8FA" w:val="clear"/>
      </w:pPr>
      <w:r>
        <w:rPr>
          <w:rStyle w:val="VerbatimChar"/>
        </w:rPr>
        <w:t xml:space="preserve">2.7499999999999996</w:t>
      </w:r>
      <w:r>
        <w:br/>
      </w:r>
      <w:r>
        <w:rPr>
          <w:rStyle w:val="VerbatimChar"/>
        </w:rPr>
        <w:t xml:space="preserve">  month  rate</w:t>
      </w:r>
      <w:r>
        <w:br/>
      </w:r>
      <w:r>
        <w:rPr>
          <w:rStyle w:val="VerbatimChar"/>
        </w:rPr>
        <w:t xml:space="preserve">2   Mar   2.7</w:t>
      </w:r>
      <w:r>
        <w:br/>
      </w:r>
      <w:r>
        <w:rPr>
          <w:rStyle w:val="VerbatimChar"/>
        </w:rPr>
        <w:t xml:space="preserve">3   Apr   2.6</w:t>
      </w:r>
    </w:p>
    <w:p>
      <w:pPr>
        <w:pStyle w:val="FirstParagraph"/>
      </w:pPr>
      <w:r>
        <w:rPr>
          <w:b/>
          <w:bCs/>
        </w:rPr>
        <w:t xml:space="preserve">Interpretation.</w:t>
      </w:r>
      <w:r>
        <w:t xml:space="preserve"> </w:t>
      </w:r>
      <w:r>
        <w:t xml:space="preserve">The mean summarizes the four observations, while the final rows preserve the temporal detail. A statistic and the underlying data answer different questions.</w:t>
      </w:r>
    </w:p>
    <w:bookmarkEnd w:id="35"/>
    <w:bookmarkStart w:id="36" w:name="demonstration-1.2-a-named-calculation"/>
    <w:p>
      <w:pPr>
        <w:pStyle w:val="Heading3"/>
        <w:keepNext/>
      </w:pPr>
      <w:r>
        <w:rPr>
          <w:rStyle w:val="SectionNumber"/>
          <w:rFonts w:ascii="Noto Sans" w:hAnsi="Noto Sans" w:eastAsia="Noto Sans" w:cs="Noto Sans"/>
          <w:b/>
          <w:color w:val="0A2342"/>
          <w:sz w:val="23"/>
        </w:rPr>
        <w:t xml:space="preserve">1.5.2</w:t>
      </w:r>
      <w:r>
        <w:rPr>
          <w:rFonts w:ascii="Noto Sans" w:hAnsi="Noto Sans" w:eastAsia="Noto Sans" w:cs="Noto Sans"/>
          <w:b/>
          <w:color w:val="0A2342"/>
          <w:sz w:val="23"/>
        </w:rPr>
        <w:tab/>
      </w:r>
      <w:r>
        <w:rPr>
          <w:rFonts w:ascii="Noto Sans" w:hAnsi="Noto Sans" w:eastAsia="Noto Sans" w:cs="Noto Sans"/>
          <w:b/>
          <w:color w:val="0A2342"/>
          <w:sz w:val="23"/>
        </w:rPr>
        <w:t xml:space="preserve">Demonstration 1.2: A named calculation</w:t>
      </w:r>
    </w:p>
    <w:p>
      <w:pPr>
        <w:pStyle w:val="SourceCode"/>
        <w:keepLines/>
        <w:shd w:fill="F6F8FA" w:val="clear"/>
      </w:pPr>
      <w:r>
        <w:rPr>
          <w:rStyle w:val="NormalTok"/>
        </w:rPr>
        <w:t xml:space="preserve">principal </w:t>
      </w:r>
      <w:r>
        <w:rPr>
          <w:rStyle w:val="OperatorTok"/>
        </w:rPr>
        <w:t xml:space="preserve">=</w:t>
      </w:r>
      <w:r>
        <w:rPr>
          <w:rStyle w:val="NormalTok"/>
        </w:rPr>
        <w:t xml:space="preserve"> </w:t>
      </w:r>
      <w:r>
        <w:rPr>
          <w:rStyle w:val="DecValTok"/>
        </w:rPr>
        <w:t xml:space="preserve">1_000</w:t>
      </w:r>
      <w:r>
        <w:br/>
      </w:r>
      <w:r>
        <w:rPr>
          <w:rStyle w:val="NormalTok"/>
        </w:rPr>
        <w:t xml:space="preserve">annual_rate </w:t>
      </w:r>
      <w:r>
        <w:rPr>
          <w:rStyle w:val="OperatorTok"/>
        </w:rPr>
        <w:t xml:space="preserve">=</w:t>
      </w:r>
      <w:r>
        <w:rPr>
          <w:rStyle w:val="NormalTok"/>
        </w:rPr>
        <w:t xml:space="preserve"> </w:t>
      </w:r>
      <w:r>
        <w:rPr>
          <w:rStyle w:val="FloatTok"/>
        </w:rPr>
        <w:t xml:space="preserve">0.045</w:t>
      </w:r>
      <w:r>
        <w:br/>
      </w:r>
      <w:r>
        <w:rPr>
          <w:rStyle w:val="NormalTok"/>
        </w:rPr>
        <w:t xml:space="preserve">years </w:t>
      </w:r>
      <w:r>
        <w:rPr>
          <w:rStyle w:val="OperatorTok"/>
        </w:rPr>
        <w:t xml:space="preserve">=</w:t>
      </w:r>
      <w:r>
        <w:rPr>
          <w:rStyle w:val="NormalTok"/>
        </w:rPr>
        <w:t xml:space="preserve"> </w:t>
      </w:r>
      <w:r>
        <w:rPr>
          <w:rStyle w:val="DecValTok"/>
        </w:rPr>
        <w:t xml:space="preserve">3</w:t>
      </w:r>
      <w:r>
        <w:br/>
      </w:r>
      <w:r>
        <w:rPr>
          <w:rStyle w:val="NormalTok"/>
        </w:rPr>
        <w:t xml:space="preserve">future_value </w:t>
      </w:r>
      <w:r>
        <w:rPr>
          <w:rStyle w:val="OperatorTok"/>
        </w:rPr>
        <w:t xml:space="preserve">=</w:t>
      </w:r>
      <w:r>
        <w:rPr>
          <w:rStyle w:val="NormalTok"/>
        </w:rPr>
        <w:t xml:space="preserve"> principal </w:t>
      </w:r>
      <w:r>
        <w:rPr>
          <w:rStyle w:val="OperatorTok"/>
        </w:rPr>
        <w:t xml:space="preserve">*</w:t>
      </w:r>
      <w:r>
        <w:rPr>
          <w:rStyle w:val="NormalTok"/>
        </w:rPr>
        <w:t xml:space="preserve"> (</w:t>
      </w:r>
      <w:r>
        <w:rPr>
          <w:rStyle w:val="DecValTok"/>
        </w:rPr>
        <w:t xml:space="preserve">1</w:t>
      </w:r>
      <w:r>
        <w:rPr>
          <w:rStyle w:val="NormalTok"/>
        </w:rPr>
        <w:t xml:space="preserve"> </w:t>
      </w:r>
      <w:r>
        <w:rPr>
          <w:rStyle w:val="OperatorTok"/>
        </w:rPr>
        <w:t xml:space="preserve">+</w:t>
      </w:r>
      <w:r>
        <w:rPr>
          <w:rStyle w:val="NormalTok"/>
        </w:rPr>
        <w:t xml:space="preserve"> annual_rate) </w:t>
      </w:r>
      <w:r>
        <w:rPr>
          <w:rStyle w:val="OperatorTok"/>
        </w:rPr>
        <w:t xml:space="preserve">**</w:t>
      </w:r>
      <w:r>
        <w:rPr>
          <w:rStyle w:val="NormalTok"/>
        </w:rPr>
        <w:t xml:space="preserve"> years</w:t>
      </w:r>
      <w:r>
        <w:br/>
      </w:r>
      <w:r>
        <w:rPr>
          <w:rStyle w:val="BuiltInTok"/>
        </w:rPr>
        <w:t xml:space="preserve">print</w:t>
      </w:r>
      <w:r>
        <w:rPr>
          <w:rStyle w:val="NormalTok"/>
        </w:rPr>
        <w:t xml:space="preserve">(</w:t>
      </w:r>
      <w:r>
        <w:rPr>
          <w:rStyle w:val="SpecialStringTok"/>
        </w:rPr>
        <w:t xml:space="preserve">f"Future value: $</w:t>
      </w:r>
      <w:r>
        <w:rPr>
          <w:rStyle w:val="SpecialCharTok"/>
        </w:rPr>
        <w:t xml:space="preserve">{</w:t>
      </w:r>
      <w:r>
        <w:rPr>
          <w:rStyle w:val="NormalTok"/>
        </w:rPr>
        <w:t xml:space="preserve">future_value</w:t>
      </w:r>
      <w:r>
        <w:rPr>
          <w:rStyle w:val="SpecialCharTok"/>
        </w:rPr>
        <w:t xml:space="preserve">:,.2f}</w:t>
      </w:r>
      <w:r>
        <w:rPr>
          <w:rStyle w:val="SpecialStringTok"/>
        </w:rPr>
        <w:t xml:space="preserve">"</w:t>
      </w:r>
      <w:r>
        <w:rPr>
          <w:rStyle w:val="NormalTok"/>
        </w:rPr>
        <w:t xml:space="preserve">)</w:t>
      </w:r>
    </w:p>
    <w:p>
      <w:pPr>
        <w:pStyle w:val="FirstParagraph"/>
      </w:pPr>
      <w:r>
        <w:rPr>
          <w:b/>
          <w:bCs/>
        </w:rPr>
        <w:t xml:space="preserve">Verified output</w:t>
      </w:r>
    </w:p>
    <w:p>
      <w:pPr>
        <w:pStyle w:val="SourceCode"/>
        <w:keepLines/>
        <w:shd w:fill="F6F8FA" w:val="clear"/>
      </w:pPr>
      <w:r>
        <w:rPr>
          <w:rStyle w:val="VerbatimChar"/>
        </w:rPr>
        <w:t xml:space="preserve">Future value: $1,141.17</w:t>
      </w:r>
    </w:p>
    <w:p>
      <w:pPr>
        <w:pStyle w:val="FirstParagraph"/>
      </w:pPr>
      <w:r>
        <w:rPr>
          <w:b/>
          <w:bCs/>
        </w:rPr>
        <w:t xml:space="preserve">Interpretation.</w:t>
      </w:r>
      <w:r>
        <w:t xml:space="preserve"> </w:t>
      </w:r>
      <w:r>
        <w:t xml:space="preserve">Clear names make the calculation readable as a small model rather than a string of unexplained numbers.</w:t>
      </w:r>
    </w:p>
    <w:bookmarkEnd w:id="36"/>
    <w:bookmarkEnd w:id="37"/>
    <w:bookmarkStart w:id="44" w:name="visual-evidence"/>
    <w:p>
      <w:pPr>
        <w:pStyle w:val="Heading2"/>
        <w:keepNext/>
      </w:pPr>
      <w:r>
        <w:rPr>
          <w:rStyle w:val="SectionNumber"/>
          <w:rFonts w:ascii="Noto Sans" w:hAnsi="Noto Sans" w:eastAsia="Noto Sans" w:cs="Noto Sans"/>
          <w:b/>
          <w:color w:val="008F87"/>
          <w:sz w:val="29"/>
        </w:rPr>
        <w:t xml:space="preserve">1.6</w:t>
      </w:r>
      <w:r>
        <w:rPr>
          <w:rFonts w:ascii="Noto Sans" w:hAnsi="Noto Sans" w:eastAsia="Noto Sans" w:cs="Noto Sans"/>
          <w:b/>
          <w:color w:val="008F87"/>
          <w:sz w:val="29"/>
        </w:rPr>
        <w:tab/>
      </w:r>
      <w:r>
        <w:rPr>
          <w:rFonts w:ascii="Noto Sans" w:hAnsi="Noto Sans" w:eastAsia="Noto Sans" w:cs="Noto Sans"/>
          <w:b/>
          <w:color w:val="008F87"/>
          <w:sz w:val="29"/>
        </w:rPr>
        <w:t xml:space="preserve">Visual evidence</w:t>
      </w:r>
    </w:p>
    <w:p>
      <w:pPr>
        <w:pStyle w:val="FirstParagraph"/>
      </w:pPr>
      <w:r>
        <w:drawing>
          <wp:inline>
            <wp:extent cx="4907280" cy="2705534"/>
            <wp:effectExtent b="0" l="0" r="0" t="0"/>
            <wp:docPr descr="Image: rId38.png" title="" id="39" name="Picture"/>
            <a:graphic>
              <a:graphicData uri="http://schemas.openxmlformats.org/drawingml/2006/picture">
                <pic:pic>
                  <pic:nvPicPr>
                    <pic:cNvPr descr="figures/fig_01_python_ecosystem.png" id="40" name="Picture"/>
                    <pic:cNvPicPr>
                      <a:picLocks noChangeArrowheads="1" noChangeAspect="1"/>
                    </pic:cNvPicPr>
                  </pic:nvPicPr>
                  <pic:blipFill>
                    <a:blip r:embed="rId38"/>
                    <a:stretch>
                      <a:fillRect/>
                    </a:stretch>
                  </pic:blipFill>
                  <pic:spPr bwMode="auto">
                    <a:xfrm>
                      <a:off x="0" y="0"/>
                      <a:ext cx="4907280" cy="2705534"/>
                    </a:xfrm>
                    <a:prstGeom prst="rect">
                      <a:avLst/>
                    </a:prstGeom>
                    <a:noFill/>
                    <a:ln w="9525">
                      <a:noFill/>
                      <a:headEnd/>
                      <a:tailEnd/>
                    </a:ln>
                  </pic:spPr>
                </pic:pic>
              </a:graphicData>
            </a:graphic>
          </wp:inline>
        </w:drawing>
      </w:r>
    </w:p>
    <w:p>
      <w:pPr>
        <w:pStyle w:val="Caption"/>
        <w:keepNext w:val="0"/>
        <w:jc w:val="center"/>
      </w:pPr>
      <w:r>
        <w:rPr>
          <w:b/>
          <w:bCs/>
        </w:rPr>
        <w:t xml:space="preserve">Figure 1.</w:t>
      </w:r>
      <w:r>
        <w:t xml:space="preserve"> </w:t>
      </w:r>
      <w:r>
        <w:t xml:space="preserve">Python connects numerical computing, data management, econometrics, visualization, and artificial intelligence.</w:t>
      </w:r>
    </w:p>
    <w:p>
      <w:pPr>
        <w:pStyle w:val="BodyText"/>
      </w:pPr>
      <w:r>
        <w:drawing>
          <wp:inline>
            <wp:extent cx="4907280" cy="1549667"/>
            <wp:effectExtent b="0" l="0" r="0" t="0"/>
            <wp:docPr descr="Image: rId41.png" title="" id="42" name="Picture"/>
            <a:graphic>
              <a:graphicData uri="http://schemas.openxmlformats.org/drawingml/2006/picture">
                <pic:pic>
                  <pic:nvPicPr>
                    <pic:cNvPr descr="figures/fig_02_analysis_workflow.png" id="43" name="Picture"/>
                    <pic:cNvPicPr>
                      <a:picLocks noChangeArrowheads="1" noChangeAspect="1"/>
                    </pic:cNvPicPr>
                  </pic:nvPicPr>
                  <pic:blipFill>
                    <a:blip r:embed="rId41"/>
                    <a:stretch>
                      <a:fillRect/>
                    </a:stretch>
                  </pic:blipFill>
                  <pic:spPr bwMode="auto">
                    <a:xfrm>
                      <a:off x="0" y="0"/>
                      <a:ext cx="4907280" cy="1549667"/>
                    </a:xfrm>
                    <a:prstGeom prst="rect">
                      <a:avLst/>
                    </a:prstGeom>
                    <a:noFill/>
                    <a:ln w="9525">
                      <a:noFill/>
                      <a:headEnd/>
                      <a:tailEnd/>
                    </a:ln>
                  </pic:spPr>
                </pic:pic>
              </a:graphicData>
            </a:graphic>
          </wp:inline>
        </w:drawing>
      </w:r>
    </w:p>
    <w:p>
      <w:pPr>
        <w:pStyle w:val="Caption"/>
        <w:keepNext w:val="0"/>
        <w:jc w:val="center"/>
      </w:pPr>
      <w:r>
        <w:rPr>
          <w:b/>
          <w:bCs/>
        </w:rPr>
        <w:t xml:space="preserve">Figure 2.</w:t>
      </w:r>
      <w:r>
        <w:t xml:space="preserve"> </w:t>
      </w:r>
      <w:r>
        <w:t xml:space="preserve">The reproducible analysis loop used throughout the book.</w:t>
      </w:r>
    </w:p>
    <w:bookmarkEnd w:id="44"/>
    <w:bookmarkStart w:id="45" w:name="reference-table"/>
    <w:p>
      <w:pPr>
        <w:pStyle w:val="Heading2"/>
        <w:keepNext/>
      </w:pPr>
      <w:r>
        <w:rPr>
          <w:rStyle w:val="SectionNumber"/>
          <w:rFonts w:ascii="Noto Sans" w:hAnsi="Noto Sans" w:eastAsia="Noto Sans" w:cs="Noto Sans"/>
          <w:b/>
          <w:color w:val="008F87"/>
          <w:sz w:val="29"/>
        </w:rPr>
        <w:t xml:space="preserve">1.7</w:t>
      </w:r>
      <w:r>
        <w:rPr>
          <w:rFonts w:ascii="Noto Sans" w:hAnsi="Noto Sans" w:eastAsia="Noto Sans" w:cs="Noto Sans"/>
          <w:b/>
          <w:color w:val="008F87"/>
          <w:sz w:val="29"/>
        </w:rPr>
        <w:tab/>
      </w:r>
      <w:r>
        <w:rPr>
          <w:rFonts w:ascii="Noto Sans" w:hAnsi="Noto Sans" w:eastAsia="Noto Sans" w:cs="Noto Sans"/>
          <w:b/>
          <w:color w:val="008F87"/>
          <w:sz w:val="29"/>
        </w:rPr>
        <w:t xml:space="preserve">Reference table</w:t>
      </w:r>
    </w:p>
    <w:p>
      <w:pPr>
        <w:pStyle w:val="Caption"/>
        <w:keepNext/>
        <w:jc w:val="center"/>
      </w:pPr>
      <w:r>
        <w:rPr>
          <w:b/>
          <w:bCs/>
        </w:rPr>
        <w:t xml:space="preserve">Table 1. Chapter reference.</w:t>
      </w:r>
    </w:p>
    <w:tbl>
      <w:tblPr>
        <w:tblStyle w:val="Table"/>
        <w:tblW w:type="pct" w:w="5000"/>
        <w:jc w:val="center"/>
        <w:tblLayout w:type="autofit"/>
        <w:tblLook w:firstRow="1" w:lastRow="0" w:firstColumn="0" w:lastColumn="0" w:noHBand="0" w:noVBand="0" w:val="0020"/>
      </w:tblPr>
      <w:tblGrid>
        <w:gridCol w:w="2640"/>
        <w:gridCol w:w="2640"/>
        <w:gridCol w:w="2640"/>
      </w:tblGrid>
      <w:tr>
        <w:trPr>
          <w:tblHeader w:val="on"/>
          <w:tblHeader w:val="true"/>
          <w:cantSplit/>
        </w:trPr>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0A2342" w:val="clear"/>
          </w:tcPr>
          <w:p>
            <w:pPr>
              <w:pStyle w:val="Compact"/>
              <w:spacing w:before="30" w:after="30" w:line="240" w:lineRule="auto"/>
              <w:jc w:val="left"/>
            </w:pPr>
            <w:r>
              <w:rPr>
                <w:rFonts w:ascii="Noto Sans" w:hAnsi="Noto Sans" w:eastAsia="Noto Sans" w:cs="Noto Sans"/>
                <w:b/>
                <w:color w:val="FFFFFF"/>
                <w:sz w:val="16"/>
              </w:rPr>
              <w:t xml:space="preserve">Tool</w:t>
            </w:r>
          </w:p>
        </w:tc>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0A2342" w:val="clear"/>
          </w:tcPr>
          <w:p>
            <w:pPr>
              <w:pStyle w:val="Compact"/>
              <w:spacing w:before="30" w:after="30" w:line="240" w:lineRule="auto"/>
              <w:jc w:val="left"/>
            </w:pPr>
            <w:r>
              <w:rPr>
                <w:rFonts w:ascii="Noto Sans" w:hAnsi="Noto Sans" w:eastAsia="Noto Sans" w:cs="Noto Sans"/>
                <w:b/>
                <w:color w:val="FFFFFF"/>
                <w:sz w:val="16"/>
              </w:rPr>
              <w:t xml:space="preserve">Primary role</w:t>
            </w:r>
          </w:p>
        </w:tc>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0A2342" w:val="clear"/>
          </w:tcPr>
          <w:p>
            <w:pPr>
              <w:pStyle w:val="Compact"/>
              <w:spacing w:before="30" w:after="30" w:line="240" w:lineRule="auto"/>
              <w:jc w:val="left"/>
            </w:pPr>
            <w:r>
              <w:rPr>
                <w:rFonts w:ascii="Noto Sans" w:hAnsi="Noto Sans" w:eastAsia="Noto Sans" w:cs="Noto Sans"/>
                <w:b/>
                <w:color w:val="FFFFFF"/>
                <w:sz w:val="16"/>
              </w:rPr>
              <w:t xml:space="preserve">Typical classroom use</w:t>
            </w:r>
          </w:p>
        </w:tc>
      </w:tr>
      <w:tr>
        <w:trPr>
          <w:cantSplit/>
        </w:trPr>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EEF4F8" w:val="clear"/>
          </w:tcPr>
          <w:p>
            <w:pPr>
              <w:pStyle w:val="Compact"/>
              <w:spacing w:before="30" w:after="30" w:line="240" w:lineRule="auto"/>
              <w:jc w:val="left"/>
            </w:pPr>
            <w:r>
              <w:rPr>
                <w:rFonts w:ascii="Noto Sans" w:hAnsi="Noto Sans" w:eastAsia="Noto Sans" w:cs="Noto Sans"/>
                <w:b w:val="0"/>
                <w:color w:val="18212B"/>
                <w:sz w:val="16"/>
              </w:rPr>
              <w:t xml:space="preserve">Python language</w:t>
            </w:r>
          </w:p>
        </w:tc>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EEF4F8" w:val="clear"/>
          </w:tcPr>
          <w:p>
            <w:pPr>
              <w:pStyle w:val="Compact"/>
              <w:spacing w:before="30" w:after="30" w:line="240" w:lineRule="auto"/>
              <w:jc w:val="left"/>
            </w:pPr>
            <w:r>
              <w:rPr>
                <w:rFonts w:ascii="Noto Sans" w:hAnsi="Noto Sans" w:eastAsia="Noto Sans" w:cs="Noto Sans"/>
                <w:b w:val="0"/>
                <w:color w:val="18212B"/>
                <w:sz w:val="16"/>
              </w:rPr>
              <w:t xml:space="preserve">Logic and reusable instructions</w:t>
            </w:r>
          </w:p>
        </w:tc>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EEF4F8" w:val="clear"/>
          </w:tcPr>
          <w:p>
            <w:pPr>
              <w:pStyle w:val="Compact"/>
              <w:spacing w:before="30" w:after="30" w:line="240" w:lineRule="auto"/>
              <w:jc w:val="left"/>
            </w:pPr>
            <w:r>
              <w:rPr>
                <w:rFonts w:ascii="Noto Sans" w:hAnsi="Noto Sans" w:eastAsia="Noto Sans" w:cs="Noto Sans"/>
                <w:b w:val="0"/>
                <w:color w:val="18212B"/>
                <w:sz w:val="16"/>
              </w:rPr>
              <w:t xml:space="preserve">Functions and simulations</w:t>
            </w:r>
          </w:p>
        </w:tc>
      </w:tr>
      <w:tr>
        <w:trPr>
          <w:cantSplit/>
        </w:trPr>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FFFFFF" w:val="clear"/>
          </w:tcPr>
          <w:p>
            <w:pPr>
              <w:pStyle w:val="Compact"/>
              <w:spacing w:before="30" w:after="30" w:line="240" w:lineRule="auto"/>
              <w:jc w:val="left"/>
            </w:pPr>
            <w:r>
              <w:rPr>
                <w:rFonts w:ascii="Noto Sans" w:hAnsi="Noto Sans" w:eastAsia="Noto Sans" w:cs="Noto Sans"/>
                <w:b w:val="0"/>
                <w:color w:val="18212B"/>
                <w:sz w:val="16"/>
              </w:rPr>
              <w:t xml:space="preserve">Jupyter notebook</w:t>
            </w:r>
          </w:p>
        </w:tc>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FFFFFF" w:val="clear"/>
          </w:tcPr>
          <w:p>
            <w:pPr>
              <w:pStyle w:val="Compact"/>
              <w:spacing w:before="30" w:after="30" w:line="240" w:lineRule="auto"/>
              <w:jc w:val="left"/>
            </w:pPr>
            <w:r>
              <w:rPr>
                <w:rFonts w:ascii="Noto Sans" w:hAnsi="Noto Sans" w:eastAsia="Noto Sans" w:cs="Noto Sans"/>
                <w:b w:val="0"/>
                <w:color w:val="18212B"/>
                <w:sz w:val="16"/>
              </w:rPr>
              <w:t xml:space="preserve">Narrative plus executable cells</w:t>
            </w:r>
          </w:p>
        </w:tc>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FFFFFF" w:val="clear"/>
          </w:tcPr>
          <w:p>
            <w:pPr>
              <w:pStyle w:val="Compact"/>
              <w:spacing w:before="30" w:after="30" w:line="240" w:lineRule="auto"/>
              <w:jc w:val="left"/>
            </w:pPr>
            <w:r>
              <w:rPr>
                <w:rFonts w:ascii="Noto Sans" w:hAnsi="Noto Sans" w:eastAsia="Noto Sans" w:cs="Noto Sans"/>
                <w:b w:val="0"/>
                <w:color w:val="18212B"/>
                <w:sz w:val="16"/>
              </w:rPr>
              <w:t xml:space="preserve">Labs and demonstrations</w:t>
            </w:r>
          </w:p>
        </w:tc>
      </w:tr>
      <w:tr>
        <w:trPr>
          <w:cantSplit/>
        </w:trPr>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EEF4F8" w:val="clear"/>
          </w:tcPr>
          <w:p>
            <w:pPr>
              <w:pStyle w:val="Compact"/>
              <w:spacing w:before="30" w:after="30" w:line="240" w:lineRule="auto"/>
              <w:jc w:val="left"/>
            </w:pPr>
            <w:r>
              <w:rPr>
                <w:rFonts w:ascii="Noto Sans" w:hAnsi="Noto Sans" w:eastAsia="Noto Sans" w:cs="Noto Sans"/>
                <w:b w:val="0"/>
                <w:color w:val="18212B"/>
                <w:sz w:val="16"/>
              </w:rPr>
              <w:t xml:space="preserve">Package</w:t>
            </w:r>
          </w:p>
        </w:tc>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EEF4F8" w:val="clear"/>
          </w:tcPr>
          <w:p>
            <w:pPr>
              <w:pStyle w:val="Compact"/>
              <w:spacing w:before="30" w:after="30" w:line="240" w:lineRule="auto"/>
              <w:jc w:val="left"/>
            </w:pPr>
            <w:r>
              <w:rPr>
                <w:rFonts w:ascii="Noto Sans" w:hAnsi="Noto Sans" w:eastAsia="Noto Sans" w:cs="Noto Sans"/>
                <w:b w:val="0"/>
                <w:color w:val="18212B"/>
                <w:sz w:val="16"/>
              </w:rPr>
              <w:t xml:space="preserve">Specialized functionality</w:t>
            </w:r>
          </w:p>
        </w:tc>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EEF4F8" w:val="clear"/>
          </w:tcPr>
          <w:p>
            <w:pPr>
              <w:pStyle w:val="Compact"/>
              <w:spacing w:before="30" w:after="30" w:line="240" w:lineRule="auto"/>
              <w:jc w:val="left"/>
            </w:pPr>
            <w:r>
              <w:rPr>
                <w:rFonts w:ascii="Noto Sans" w:hAnsi="Noto Sans" w:eastAsia="Noto Sans" w:cs="Noto Sans"/>
                <w:b w:val="0"/>
                <w:color w:val="18212B"/>
                <w:sz w:val="16"/>
              </w:rPr>
              <w:t xml:space="preserve">pandas, statsmodels, scikit-learn</w:t>
            </w:r>
          </w:p>
        </w:tc>
      </w:tr>
      <w:tr>
        <w:trPr>
          <w:cantSplit/>
        </w:trPr>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FFFFFF" w:val="clear"/>
          </w:tcPr>
          <w:p>
            <w:pPr>
              <w:pStyle w:val="Compact"/>
              <w:spacing w:before="30" w:after="30" w:line="240" w:lineRule="auto"/>
              <w:jc w:val="left"/>
            </w:pPr>
            <w:r>
              <w:rPr>
                <w:rFonts w:ascii="Noto Sans" w:hAnsi="Noto Sans" w:eastAsia="Noto Sans" w:cs="Noto Sans"/>
                <w:b w:val="0"/>
                <w:color w:val="18212B"/>
                <w:sz w:val="16"/>
              </w:rPr>
              <w:t xml:space="preserve">Environment</w:t>
            </w:r>
          </w:p>
        </w:tc>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FFFFFF" w:val="clear"/>
          </w:tcPr>
          <w:p>
            <w:pPr>
              <w:pStyle w:val="Compact"/>
              <w:spacing w:before="30" w:after="30" w:line="240" w:lineRule="auto"/>
              <w:jc w:val="left"/>
            </w:pPr>
            <w:r>
              <w:rPr>
                <w:rFonts w:ascii="Noto Sans" w:hAnsi="Noto Sans" w:eastAsia="Noto Sans" w:cs="Noto Sans"/>
                <w:b w:val="0"/>
                <w:color w:val="18212B"/>
                <w:sz w:val="16"/>
              </w:rPr>
              <w:t xml:space="preserve">Controlled package versions</w:t>
            </w:r>
          </w:p>
        </w:tc>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FFFFFF" w:val="clear"/>
          </w:tcPr>
          <w:p>
            <w:pPr>
              <w:pStyle w:val="Compact"/>
              <w:spacing w:before="30" w:after="30" w:line="240" w:lineRule="auto"/>
              <w:jc w:val="left"/>
            </w:pPr>
            <w:r>
              <w:rPr>
                <w:rFonts w:ascii="Noto Sans" w:hAnsi="Noto Sans" w:eastAsia="Noto Sans" w:cs="Noto Sans"/>
                <w:b w:val="0"/>
                <w:color w:val="18212B"/>
                <w:sz w:val="16"/>
              </w:rPr>
              <w:t xml:space="preserve">Rebuilding the book</w:t>
            </w:r>
          </w:p>
        </w:tc>
      </w:tr>
    </w:tbl>
    <w:p>
      <w:pPr>
        <w:pStyle w:val="BlockText"/>
        <w:shd w:fill="EAF7F5" w:val="clear"/>
        <w:pBdr>
          <w:left w:val="single" w:sz="18" w:space="8" w:color="008F87"/>
        </w:pBdr>
      </w:pPr>
      <w:r>
        <w:rPr>
          <w:b/>
          <w:bCs/>
        </w:rPr>
        <w:t xml:space="preserve">Why This Matters</w:t>
      </w:r>
    </w:p>
    <w:p>
      <w:pPr>
        <w:pStyle w:val="BlockText"/>
        <w:shd w:fill="EAF7F5" w:val="clear"/>
        <w:pBdr>
          <w:left w:val="single" w:sz="18" w:space="8" w:color="008F87"/>
        </w:pBdr>
      </w:pPr>
      <w:r>
        <w:t xml:space="preserve">Python makes the complete chain of evidence visible. That visibility is the foundation of auditability, collaboration, and careful learning.</w:t>
      </w:r>
    </w:p>
    <w:p>
      <w:pPr>
        <w:pStyle w:val="BlockText"/>
        <w:shd w:fill="EAF7F5" w:val="clear"/>
        <w:pBdr>
          <w:left w:val="single" w:sz="18" w:space="8" w:color="008F87"/>
        </w:pBdr>
      </w:pPr>
      <w:r>
        <w:rPr>
          <w:b/>
          <w:bCs/>
        </w:rPr>
        <w:t xml:space="preserve">Common Mistake</w:t>
      </w:r>
    </w:p>
    <w:p>
      <w:pPr>
        <w:pStyle w:val="BlockText"/>
        <w:shd w:fill="EAF7F5" w:val="clear"/>
        <w:pBdr>
          <w:left w:val="single" w:sz="18" w:space="8" w:color="008F87"/>
        </w:pBdr>
      </w:pPr>
      <w:r>
        <w:t xml:space="preserve">Treating a successful run as proof that the analysis is correct. Code execution checks syntax and computation, not research design.</w:t>
      </w:r>
    </w:p>
    <w:p>
      <w:pPr>
        <w:pStyle w:val="BlockText"/>
        <w:shd w:fill="EAF7F5" w:val="clear"/>
        <w:pBdr>
          <w:left w:val="single" w:sz="18" w:space="8" w:color="008F87"/>
        </w:pBdr>
      </w:pPr>
      <w:r>
        <w:rPr>
          <w:b/>
          <w:bCs/>
        </w:rPr>
        <w:t xml:space="preserve">Ceteris LAB Tip</w:t>
      </w:r>
    </w:p>
    <w:p>
      <w:pPr>
        <w:pStyle w:val="BlockText"/>
        <w:shd w:fill="EAF7F5" w:val="clear"/>
        <w:pBdr>
          <w:left w:val="single" w:sz="18" w:space="8" w:color="008F87"/>
        </w:pBdr>
      </w:pPr>
      <w:r>
        <w:t xml:space="preserve">Before importing a package, write the question in one sentence and name the output that would answer it.</w:t>
      </w:r>
    </w:p>
    <w:p>
      <w:pPr>
        <w:pStyle w:val="BlockText"/>
        <w:shd w:fill="EAF7F5" w:val="clear"/>
        <w:pBdr>
          <w:left w:val="single" w:sz="18" w:space="8" w:color="008F87"/>
        </w:pBdr>
      </w:pPr>
      <w:r>
        <w:rPr>
          <w:b/>
          <w:bCs/>
        </w:rPr>
        <w:t xml:space="preserve">R-to-Python / Source Bridge</w:t>
      </w:r>
    </w:p>
    <w:p>
      <w:pPr>
        <w:pStyle w:val="BlockText"/>
        <w:shd w:fill="EAF7F5" w:val="clear"/>
        <w:pBdr>
          <w:left w:val="single" w:sz="18" w:space="8" w:color="008F87"/>
        </w:pBdr>
      </w:pPr>
      <w:r>
        <w:t xml:space="preserve">The opening financial time-series lecture emphasized obtaining, processing, and interpreting data. This chapter preserves that objective while replacing the 2013 R-first workflow with a modern Python-first path</w:t>
      </w:r>
      <w:r>
        <w:t xml:space="preserve"> </w:t>
      </w:r>
      <w:r>
        <w:t xml:space="preserve">(Tsay 2013)</w:t>
      </w:r>
      <w:r>
        <w:t xml:space="preserve">.</w:t>
      </w:r>
    </w:p>
    <w:bookmarkEnd w:id="45"/>
    <w:bookmarkStart w:id="46" w:name="guided-practice"/>
    <w:p>
      <w:pPr>
        <w:pStyle w:val="Heading2"/>
        <w:keepNext/>
      </w:pPr>
      <w:r>
        <w:rPr>
          <w:rStyle w:val="SectionNumber"/>
          <w:rFonts w:ascii="Noto Sans" w:hAnsi="Noto Sans" w:eastAsia="Noto Sans" w:cs="Noto Sans"/>
          <w:b/>
          <w:color w:val="008F87"/>
          <w:sz w:val="29"/>
        </w:rPr>
        <w:t xml:space="preserve">1.8</w:t>
      </w:r>
      <w:r>
        <w:rPr>
          <w:rFonts w:ascii="Noto Sans" w:hAnsi="Noto Sans" w:eastAsia="Noto Sans" w:cs="Noto Sans"/>
          <w:b/>
          <w:color w:val="008F87"/>
          <w:sz w:val="29"/>
        </w:rPr>
        <w:tab/>
      </w:r>
      <w:r>
        <w:rPr>
          <w:rFonts w:ascii="Noto Sans" w:hAnsi="Noto Sans" w:eastAsia="Noto Sans" w:cs="Noto Sans"/>
          <w:b/>
          <w:color w:val="008F87"/>
          <w:sz w:val="29"/>
        </w:rPr>
        <w:t xml:space="preserve">Guided practice</w:t>
      </w:r>
    </w:p>
    <w:p>
      <w:pPr>
        <w:pStyle w:val="Compact"/>
        <w:numPr>
          <w:ilvl w:val="0"/>
          <w:numId w:val="1004"/>
        </w:numPr>
      </w:pPr>
      <w:r>
        <w:t xml:space="preserve">Re-run Demonstration 1.1 and change one input while keeping the analytical question fixed.</w:t>
      </w:r>
    </w:p>
    <w:p>
      <w:pPr>
        <w:pStyle w:val="Compact"/>
        <w:numPr>
          <w:ilvl w:val="0"/>
          <w:numId w:val="1004"/>
        </w:numPr>
      </w:pPr>
      <w:r>
        <w:t xml:space="preserve">Explain in two sentences how the output supports, or fails to support, the chapter opening question.</w:t>
      </w:r>
    </w:p>
    <w:p>
      <w:pPr>
        <w:pStyle w:val="Compact"/>
        <w:numPr>
          <w:ilvl w:val="0"/>
          <w:numId w:val="1004"/>
        </w:numPr>
      </w:pPr>
      <w:r>
        <w:t xml:space="preserve">Add one validation check that would prevent a plausible error.</w:t>
      </w:r>
    </w:p>
    <w:bookmarkEnd w:id="46"/>
    <w:bookmarkStart w:id="47" w:name="exercises"/>
    <w:p>
      <w:pPr>
        <w:pStyle w:val="Heading2"/>
        <w:keepNext/>
      </w:pPr>
      <w:r>
        <w:rPr>
          <w:rStyle w:val="SectionNumber"/>
          <w:rFonts w:ascii="Noto Sans" w:hAnsi="Noto Sans" w:eastAsia="Noto Sans" w:cs="Noto Sans"/>
          <w:b/>
          <w:color w:val="008F87"/>
          <w:sz w:val="29"/>
        </w:rPr>
        <w:t xml:space="preserve">1.9</w:t>
      </w:r>
      <w:r>
        <w:rPr>
          <w:rFonts w:ascii="Noto Sans" w:hAnsi="Noto Sans" w:eastAsia="Noto Sans" w:cs="Noto Sans"/>
          <w:b/>
          <w:color w:val="008F87"/>
          <w:sz w:val="29"/>
        </w:rPr>
        <w:tab/>
      </w:r>
      <w:r>
        <w:rPr>
          <w:rFonts w:ascii="Noto Sans" w:hAnsi="Noto Sans" w:eastAsia="Noto Sans" w:cs="Noto Sans"/>
          <w:b/>
          <w:color w:val="008F87"/>
          <w:sz w:val="29"/>
        </w:rPr>
        <w:t xml:space="preserve">Exercises</w:t>
      </w:r>
    </w:p>
    <w:p>
      <w:pPr>
        <w:pStyle w:val="Compact"/>
        <w:numPr>
          <w:ilvl w:val="0"/>
          <w:numId w:val="1005"/>
        </w:numPr>
      </w:pPr>
      <w:r>
        <w:t xml:space="preserve">Change the four inflation rates and recompute the mean.</w:t>
      </w:r>
    </w:p>
    <w:p>
      <w:pPr>
        <w:pStyle w:val="Compact"/>
        <w:numPr>
          <w:ilvl w:val="0"/>
          <w:numId w:val="1005"/>
        </w:numPr>
      </w:pPr>
      <w:r>
        <w:t xml:space="preserve">Add a fifth month and calculate the minimum and maximum.</w:t>
      </w:r>
    </w:p>
    <w:p>
      <w:pPr>
        <w:pStyle w:val="Compact"/>
        <w:numPr>
          <w:ilvl w:val="0"/>
          <w:numId w:val="1005"/>
        </w:numPr>
      </w:pPr>
      <w:r>
        <w:t xml:space="preserve">Write one sentence explaining why the mean alone may hide important variation.</w:t>
      </w:r>
    </w:p>
    <w:p>
      <w:pPr>
        <w:pStyle w:val="Compact"/>
        <w:numPr>
          <w:ilvl w:val="0"/>
          <w:numId w:val="1005"/>
        </w:numPr>
      </w:pPr>
      <w:r>
        <w:t xml:space="preserve">Create a compound-growth example using your own values.</w:t>
      </w:r>
    </w:p>
    <w:bookmarkEnd w:id="47"/>
    <w:bookmarkStart w:id="48" w:name="chapter-summary"/>
    <w:p>
      <w:pPr>
        <w:pStyle w:val="Heading2"/>
        <w:keepNext/>
      </w:pPr>
      <w:r>
        <w:rPr>
          <w:rStyle w:val="SectionNumber"/>
          <w:rFonts w:ascii="Noto Sans" w:hAnsi="Noto Sans" w:eastAsia="Noto Sans" w:cs="Noto Sans"/>
          <w:b/>
          <w:color w:val="008F87"/>
          <w:sz w:val="29"/>
        </w:rPr>
        <w:t xml:space="preserve">1.10</w:t>
      </w:r>
      <w:r>
        <w:rPr>
          <w:rFonts w:ascii="Noto Sans" w:hAnsi="Noto Sans" w:eastAsia="Noto Sans" w:cs="Noto Sans"/>
          <w:b/>
          <w:color w:val="008F87"/>
          <w:sz w:val="29"/>
        </w:rPr>
        <w:tab/>
      </w:r>
      <w:r>
        <w:rPr>
          <w:rFonts w:ascii="Noto Sans" w:hAnsi="Noto Sans" w:eastAsia="Noto Sans" w:cs="Noto Sans"/>
          <w:b/>
          <w:color w:val="008F87"/>
          <w:sz w:val="29"/>
        </w:rPr>
        <w:t xml:space="preserve">Chapter summary</w:t>
      </w:r>
    </w:p>
    <w:p>
      <w:pPr>
        <w:pStyle w:val="Compact"/>
        <w:numPr>
          <w:ilvl w:val="0"/>
          <w:numId w:val="1006"/>
        </w:numPr>
      </w:pPr>
      <w:r>
        <w:t xml:space="preserve">Python combines a readable language with specialized scientific libraries.</w:t>
      </w:r>
    </w:p>
    <w:p>
      <w:pPr>
        <w:pStyle w:val="Compact"/>
        <w:numPr>
          <w:ilvl w:val="0"/>
          <w:numId w:val="1006"/>
        </w:numPr>
      </w:pPr>
      <w:r>
        <w:t xml:space="preserve">A reproducible workflow connects question, data, computation, interpretation, and documentation.</w:t>
      </w:r>
    </w:p>
    <w:p>
      <w:pPr>
        <w:pStyle w:val="Compact"/>
        <w:numPr>
          <w:ilvl w:val="0"/>
          <w:numId w:val="1006"/>
        </w:numPr>
      </w:pPr>
      <w:r>
        <w:t xml:space="preserve">Analytical judgement cannot be delegated to software.</w:t>
      </w:r>
    </w:p>
    <w:bookmarkEnd w:id="48"/>
    <w:bookmarkStart w:id="49" w:name="key-python-commands"/>
    <w:p>
      <w:pPr>
        <w:pStyle w:val="Heading2"/>
        <w:keepNext/>
      </w:pPr>
      <w:r>
        <w:rPr>
          <w:rStyle w:val="SectionNumber"/>
          <w:rFonts w:ascii="Noto Sans" w:hAnsi="Noto Sans" w:eastAsia="Noto Sans" w:cs="Noto Sans"/>
          <w:b/>
          <w:color w:val="008F87"/>
          <w:sz w:val="29"/>
        </w:rPr>
        <w:t xml:space="preserve">1.11</w:t>
      </w:r>
      <w:r>
        <w:rPr>
          <w:rFonts w:ascii="Noto Sans" w:hAnsi="Noto Sans" w:eastAsia="Noto Sans" w:cs="Noto Sans"/>
          <w:b/>
          <w:color w:val="008F87"/>
          <w:sz w:val="29"/>
        </w:rPr>
        <w:tab/>
      </w:r>
      <w:r>
        <w:rPr>
          <w:rFonts w:ascii="Noto Sans" w:hAnsi="Noto Sans" w:eastAsia="Noto Sans" w:cs="Noto Sans"/>
          <w:b/>
          <w:color w:val="008F87"/>
          <w:sz w:val="29"/>
        </w:rPr>
        <w:t xml:space="preserve">Key Python commands</w:t>
      </w:r>
    </w:p>
    <w:p>
      <w:pPr>
        <w:pStyle w:val="SourceCode"/>
        <w:keepLines/>
        <w:shd w:fill="F6F8FA" w:val="clear"/>
      </w:pPr>
      <w:r>
        <w:rPr>
          <w:rStyle w:val="ImportTok"/>
        </w:rPr>
        <w:t xml:space="preserve">import</w:t>
      </w:r>
      <w:r>
        <w:rPr>
          <w:rStyle w:val="NormalTok"/>
        </w:rPr>
        <w:t xml:space="preserve"> pandas </w:t>
      </w:r>
      <w:r>
        <w:rPr>
          <w:rStyle w:val="ImportTok"/>
        </w:rPr>
        <w:t xml:space="preserve">as</w:t>
      </w:r>
      <w:r>
        <w:rPr>
          <w:rStyle w:val="NormalTok"/>
        </w:rPr>
        <w:t xml:space="preserve"> pd</w:t>
      </w:r>
      <w:r>
        <w:br/>
      </w:r>
      <w:r>
        <w:rPr>
          <w:rStyle w:val="NormalTok"/>
        </w:rPr>
        <w:t xml:space="preserve">inflation </w:t>
      </w:r>
      <w:r>
        <w:rPr>
          <w:rStyle w:val="OperatorTok"/>
        </w:rPr>
        <w:t xml:space="preserve">=</w:t>
      </w:r>
      <w:r>
        <w:rPr>
          <w:rStyle w:val="NormalTok"/>
        </w:rPr>
        <w:t xml:space="preserve"> pd.DataFrame({</w:t>
      </w:r>
      <w:r>
        <w:br/>
      </w:r>
      <w:r>
        <w:rPr>
          <w:rStyle w:val="BuiltInTok"/>
        </w:rPr>
        <w:t xml:space="preserve">print</w:t>
      </w:r>
      <w:r>
        <w:rPr>
          <w:rStyle w:val="NormalTok"/>
        </w:rPr>
        <w:t xml:space="preserve">(inflation[</w:t>
      </w:r>
      <w:r>
        <w:rPr>
          <w:rStyle w:val="StringTok"/>
        </w:rPr>
        <w:t xml:space="preserve">"rate"</w:t>
      </w:r>
      <w:r>
        <w:rPr>
          <w:rStyle w:val="NormalTok"/>
        </w:rPr>
        <w:t xml:space="preserve">].mean())</w:t>
      </w:r>
      <w:r>
        <w:br/>
      </w:r>
      <w:r>
        <w:rPr>
          <w:rStyle w:val="BuiltInTok"/>
        </w:rPr>
        <w:t xml:space="preserve">print</w:t>
      </w:r>
      <w:r>
        <w:rPr>
          <w:rStyle w:val="NormalTok"/>
        </w:rPr>
        <w:t xml:space="preserve">(inflation.tail(</w:t>
      </w:r>
      <w:r>
        <w:rPr>
          <w:rStyle w:val="DecValTok"/>
        </w:rPr>
        <w:t xml:space="preserve">2</w:t>
      </w:r>
      <w:r>
        <w:rPr>
          <w:rStyle w:val="NormalTok"/>
        </w:rPr>
        <w:t xml:space="preserve">))</w:t>
      </w:r>
      <w:r>
        <w:br/>
      </w:r>
      <w:r>
        <w:rPr>
          <w:rStyle w:val="NormalTok"/>
        </w:rPr>
        <w:t xml:space="preserve">future_value </w:t>
      </w:r>
      <w:r>
        <w:rPr>
          <w:rStyle w:val="OperatorTok"/>
        </w:rPr>
        <w:t xml:space="preserve">=</w:t>
      </w:r>
      <w:r>
        <w:rPr>
          <w:rStyle w:val="NormalTok"/>
        </w:rPr>
        <w:t xml:space="preserve"> principal </w:t>
      </w:r>
      <w:r>
        <w:rPr>
          <w:rStyle w:val="OperatorTok"/>
        </w:rPr>
        <w:t xml:space="preserve">*</w:t>
      </w:r>
      <w:r>
        <w:rPr>
          <w:rStyle w:val="NormalTok"/>
        </w:rPr>
        <w:t xml:space="preserve"> (</w:t>
      </w:r>
      <w:r>
        <w:rPr>
          <w:rStyle w:val="DecValTok"/>
        </w:rPr>
        <w:t xml:space="preserve">1</w:t>
      </w:r>
      <w:r>
        <w:rPr>
          <w:rStyle w:val="NormalTok"/>
        </w:rPr>
        <w:t xml:space="preserve"> </w:t>
      </w:r>
      <w:r>
        <w:rPr>
          <w:rStyle w:val="OperatorTok"/>
        </w:rPr>
        <w:t xml:space="preserve">+</w:t>
      </w:r>
      <w:r>
        <w:rPr>
          <w:rStyle w:val="NormalTok"/>
        </w:rPr>
        <w:t xml:space="preserve"> annual_rate) </w:t>
      </w:r>
      <w:r>
        <w:rPr>
          <w:rStyle w:val="OperatorTok"/>
        </w:rPr>
        <w:t xml:space="preserve">**</w:t>
      </w:r>
      <w:r>
        <w:rPr>
          <w:rStyle w:val="NormalTok"/>
        </w:rPr>
        <w:t xml:space="preserve"> years</w:t>
      </w:r>
      <w:r>
        <w:br/>
      </w:r>
      <w:r>
        <w:rPr>
          <w:rStyle w:val="BuiltInTok"/>
        </w:rPr>
        <w:t xml:space="preserve">print</w:t>
      </w:r>
      <w:r>
        <w:rPr>
          <w:rStyle w:val="NormalTok"/>
        </w:rPr>
        <w:t xml:space="preserve">(</w:t>
      </w:r>
      <w:r>
        <w:rPr>
          <w:rStyle w:val="SpecialStringTok"/>
        </w:rPr>
        <w:t xml:space="preserve">f"Future value: $</w:t>
      </w:r>
      <w:r>
        <w:rPr>
          <w:rStyle w:val="SpecialCharTok"/>
        </w:rPr>
        <w:t xml:space="preserve">{</w:t>
      </w:r>
      <w:r>
        <w:rPr>
          <w:rStyle w:val="NormalTok"/>
        </w:rPr>
        <w:t xml:space="preserve">future_value</w:t>
      </w:r>
      <w:r>
        <w:rPr>
          <w:rStyle w:val="SpecialCharTok"/>
        </w:rPr>
        <w:t xml:space="preserve">:,.2f}</w:t>
      </w:r>
      <w:r>
        <w:rPr>
          <w:rStyle w:val="SpecialStringTok"/>
        </w:rPr>
        <w:t xml:space="preserve">"</w:t>
      </w:r>
      <w:r>
        <w:rPr>
          <w:rStyle w:val="NormalTok"/>
        </w:rPr>
        <w:t xml:space="preserve">)</w:t>
      </w:r>
    </w:p>
    <w:bookmarkEnd w:id="49"/>
    <w:bookmarkEnd w:id="50"/>
    <w:bookmarkStart w:id="69" w:name="installing-and-running-python"/>
    <w:p>
      <w:pPr>
        <w:pStyle w:val="Heading1"/>
        <w:keepNext/>
        <w:pageBreakBefore/>
      </w:pPr>
      <w:r>
        <w:rPr>
          <w:rStyle w:val="SectionNumber"/>
          <w:rFonts w:ascii="Noto Sans" w:hAnsi="Noto Sans" w:eastAsia="Noto Sans" w:cs="Noto Sans"/>
          <w:b/>
          <w:color w:val="0A2342"/>
          <w:sz w:val="43"/>
        </w:rPr>
        <w:t xml:space="preserve">2</w:t>
      </w:r>
      <w:r>
        <w:rPr>
          <w:rFonts w:ascii="Noto Sans" w:hAnsi="Noto Sans" w:eastAsia="Noto Sans" w:cs="Noto Sans"/>
          <w:b/>
          <w:color w:val="0A2342"/>
          <w:sz w:val="43"/>
        </w:rPr>
        <w:tab/>
      </w:r>
      <w:r>
        <w:rPr>
          <w:rFonts w:ascii="Noto Sans" w:hAnsi="Noto Sans" w:eastAsia="Noto Sans" w:cs="Noto Sans"/>
          <w:b/>
          <w:color w:val="0A2342"/>
          <w:sz w:val="43"/>
        </w:rPr>
        <w:t xml:space="preserve">Installing and Running Python</w:t>
      </w:r>
    </w:p>
    <w:p>
      <w:pPr>
        <w:pStyle w:val="FirstParagraph"/>
      </w:pPr>
      <w:r>
        <w:rPr>
          <w:i/>
          <w:iCs/>
        </w:rPr>
        <w:t xml:space="preserve">Opening question:</w:t>
      </w:r>
      <w:r>
        <w:t xml:space="preserve"> </w:t>
      </w:r>
      <w:r>
        <w:rPr>
          <w:b/>
          <w:bCs/>
        </w:rPr>
        <w:t xml:space="preserve">What is the least fragile way to move from</w:t>
      </w:r>
      <w:r>
        <w:rPr>
          <w:b/>
          <w:bCs/>
        </w:rPr>
        <w:t xml:space="preserve"> </w:t>
      </w:r>
      <w:r>
        <w:rPr>
          <w:b/>
          <w:bCs/>
        </w:rPr>
        <w:t xml:space="preserve">“</w:t>
      </w:r>
      <w:r>
        <w:rPr>
          <w:b/>
          <w:bCs/>
        </w:rPr>
        <w:t xml:space="preserve">I have a computer</w:t>
      </w:r>
      <w:r>
        <w:rPr>
          <w:b/>
          <w:bCs/>
        </w:rPr>
        <w:t xml:space="preserve">”</w:t>
      </w:r>
      <w:r>
        <w:rPr>
          <w:b/>
          <w:bCs/>
        </w:rPr>
        <w:t xml:space="preserve"> </w:t>
      </w:r>
      <w:r>
        <w:rPr>
          <w:b/>
          <w:bCs/>
        </w:rPr>
        <w:t xml:space="preserve">to a working, reproducible Python environment?</w:t>
      </w:r>
    </w:p>
    <w:bookmarkStart w:id="51" w:name="learning-objectives-1"/>
    <w:p>
      <w:pPr>
        <w:pStyle w:val="Heading2"/>
        <w:keepNext/>
      </w:pPr>
      <w:r>
        <w:rPr>
          <w:rStyle w:val="SectionNumber"/>
          <w:rFonts w:ascii="Noto Sans" w:hAnsi="Noto Sans" w:eastAsia="Noto Sans" w:cs="Noto Sans"/>
          <w:b/>
          <w:color w:val="008F87"/>
          <w:sz w:val="29"/>
        </w:rPr>
        <w:t xml:space="preserve">2.1</w:t>
      </w:r>
      <w:r>
        <w:rPr>
          <w:rFonts w:ascii="Noto Sans" w:hAnsi="Noto Sans" w:eastAsia="Noto Sans" w:cs="Noto Sans"/>
          <w:b/>
          <w:color w:val="008F87"/>
          <w:sz w:val="29"/>
        </w:rPr>
        <w:tab/>
      </w:r>
      <w:r>
        <w:rPr>
          <w:rFonts w:ascii="Noto Sans" w:hAnsi="Noto Sans" w:eastAsia="Noto Sans" w:cs="Noto Sans"/>
          <w:b/>
          <w:color w:val="008F87"/>
          <w:sz w:val="29"/>
        </w:rPr>
        <w:t xml:space="preserve">Learning objectives</w:t>
      </w:r>
    </w:p>
    <w:p>
      <w:pPr>
        <w:pStyle w:val="Compact"/>
        <w:numPr>
          <w:ilvl w:val="0"/>
          <w:numId w:val="1007"/>
        </w:numPr>
      </w:pPr>
      <w:r>
        <w:t xml:space="preserve">Choose between local Python, JupyterLab, VS Code, and Google Colab.</w:t>
      </w:r>
    </w:p>
    <w:p>
      <w:pPr>
        <w:pStyle w:val="Compact"/>
        <w:numPr>
          <w:ilvl w:val="0"/>
          <w:numId w:val="1007"/>
        </w:numPr>
      </w:pPr>
      <w:r>
        <w:t xml:space="preserve">Create and activate a virtual environment.</w:t>
      </w:r>
    </w:p>
    <w:p>
      <w:pPr>
        <w:pStyle w:val="Compact"/>
        <w:numPr>
          <w:ilvl w:val="0"/>
          <w:numId w:val="1007"/>
        </w:numPr>
      </w:pPr>
      <w:r>
        <w:t xml:space="preserve">Install packages once in a controlled setup.</w:t>
      </w:r>
    </w:p>
    <w:p>
      <w:pPr>
        <w:pStyle w:val="Compact"/>
        <w:numPr>
          <w:ilvl w:val="0"/>
          <w:numId w:val="1007"/>
        </w:numPr>
      </w:pPr>
      <w:r>
        <w:t xml:space="preserve">Diagnose common kernel and path problems.</w:t>
      </w:r>
    </w:p>
    <w:p>
      <w:pPr>
        <w:pStyle w:val="FirstParagraph"/>
      </w:pPr>
      <w:r>
        <w:rPr>
          <w:b/>
          <w:bCs/>
        </w:rPr>
        <w:t xml:space="preserve">Prerequisites:</w:t>
      </w:r>
      <w:r>
        <w:t xml:space="preserve"> </w:t>
      </w:r>
      <w:r>
        <w:t xml:space="preserve">Chapter 1.</w:t>
      </w:r>
    </w:p>
    <w:p>
      <w:pPr>
        <w:pStyle w:val="BodyText"/>
      </w:pPr>
      <w:r>
        <w:rPr>
          <w:b/>
          <w:bCs/>
        </w:rPr>
        <w:t xml:space="preserve">Key terms:</w:t>
      </w:r>
      <w:r>
        <w:t xml:space="preserve"> </w:t>
      </w:r>
      <w:r>
        <w:t xml:space="preserve">interpreter, virtual environment, kernel, package manager, terminal, Colab.</w:t>
      </w:r>
    </w:p>
    <w:bookmarkEnd w:id="51"/>
    <w:bookmarkStart w:id="52" w:name="choose-a-path-that-matches-the-learner"/>
    <w:p>
      <w:pPr>
        <w:pStyle w:val="Heading2"/>
        <w:keepNext/>
      </w:pPr>
      <w:r>
        <w:rPr>
          <w:rStyle w:val="SectionNumber"/>
          <w:rFonts w:ascii="Noto Sans" w:hAnsi="Noto Sans" w:eastAsia="Noto Sans" w:cs="Noto Sans"/>
          <w:b/>
          <w:color w:val="008F87"/>
          <w:sz w:val="29"/>
        </w:rPr>
        <w:t xml:space="preserve">2.2</w:t>
      </w:r>
      <w:r>
        <w:rPr>
          <w:rFonts w:ascii="Noto Sans" w:hAnsi="Noto Sans" w:eastAsia="Noto Sans" w:cs="Noto Sans"/>
          <w:b/>
          <w:color w:val="008F87"/>
          <w:sz w:val="29"/>
        </w:rPr>
        <w:tab/>
      </w:r>
      <w:r>
        <w:rPr>
          <w:rFonts w:ascii="Noto Sans" w:hAnsi="Noto Sans" w:eastAsia="Noto Sans" w:cs="Noto Sans"/>
          <w:b/>
          <w:color w:val="008F87"/>
          <w:sz w:val="29"/>
        </w:rPr>
        <w:t xml:space="preserve">Choose a path that matches the learner</w:t>
      </w:r>
    </w:p>
    <w:p>
      <w:pPr>
        <w:pStyle w:val="FirstParagraph"/>
      </w:pPr>
      <w:r>
        <w:t xml:space="preserve">Students need more than one entry door. Google Colab is the lowest-friction route when installation rights are limited. A local environment is preferable when students need files, privacy, larger datasets, or repeatable package versions. JupyterLab supports exploratory notebooks; VS Code combines notebooks, scripts, testing, and version control. The book is written so that core examples run in either Colab or a local environment. As of August 2026, Python 3.14 is the current feature series, but the reproducibility files record the exact tested environment rather than assuming that</w:t>
      </w:r>
      <w:r>
        <w:t xml:space="preserve"> </w:t>
      </w:r>
      <w:r>
        <w:t xml:space="preserve">“</w:t>
      </w:r>
      <w:r>
        <w:t xml:space="preserve">latest</w:t>
      </w:r>
      <w:r>
        <w:t xml:space="preserve">”</w:t>
      </w:r>
      <w:r>
        <w:t xml:space="preserve"> </w:t>
      </w:r>
      <w:r>
        <w:t xml:space="preserve">always means</w:t>
      </w:r>
      <w:r>
        <w:t xml:space="preserve"> </w:t>
      </w:r>
      <w:r>
        <w:t xml:space="preserve">“</w:t>
      </w:r>
      <w:r>
        <w:t xml:space="preserve">compatible</w:t>
      </w:r>
      <w:r>
        <w:t xml:space="preserve">”</w:t>
      </w:r>
      <w:r>
        <w:t xml:space="preserve"> </w:t>
      </w:r>
      <w:r>
        <w:t xml:space="preserve">(Python Software Foundation 2026)</w:t>
      </w:r>
      <w:r>
        <w:t xml:space="preserve">.</w:t>
      </w:r>
    </w:p>
    <w:bookmarkEnd w:id="52"/>
    <w:bookmarkStart w:id="53" w:name="virtual-environments-are-small-fences"/>
    <w:p>
      <w:pPr>
        <w:pStyle w:val="Heading2"/>
        <w:keepNext/>
      </w:pPr>
      <w:r>
        <w:rPr>
          <w:rStyle w:val="SectionNumber"/>
          <w:rFonts w:ascii="Noto Sans" w:hAnsi="Noto Sans" w:eastAsia="Noto Sans" w:cs="Noto Sans"/>
          <w:b/>
          <w:color w:val="008F87"/>
          <w:sz w:val="29"/>
        </w:rPr>
        <w:t xml:space="preserve">2.3</w:t>
      </w:r>
      <w:r>
        <w:rPr>
          <w:rFonts w:ascii="Noto Sans" w:hAnsi="Noto Sans" w:eastAsia="Noto Sans" w:cs="Noto Sans"/>
          <w:b/>
          <w:color w:val="008F87"/>
          <w:sz w:val="29"/>
        </w:rPr>
        <w:tab/>
      </w:r>
      <w:r>
        <w:rPr>
          <w:rFonts w:ascii="Noto Sans" w:hAnsi="Noto Sans" w:eastAsia="Noto Sans" w:cs="Noto Sans"/>
          <w:b/>
          <w:color w:val="008F87"/>
          <w:sz w:val="29"/>
        </w:rPr>
        <w:t xml:space="preserve">Virtual environments are small fences</w:t>
      </w:r>
    </w:p>
    <w:p>
      <w:pPr>
        <w:pStyle w:val="FirstParagraph"/>
      </w:pPr>
      <w:r>
        <w:t xml:space="preserve">A virtual environment gives one project its own package directory. This prevents a course update from silently breaking another project and makes it possible to state which versions produced the published results. The environment does not isolate the operating system or guarantee security; it simply separates Python dependencies. The recommended sequence is create, activate, install from a requirements file, register the environment as a Jupyter kernel, and test a short import script.</w:t>
      </w:r>
    </w:p>
    <w:bookmarkEnd w:id="53"/>
    <w:bookmarkStart w:id="54" w:name="troubleshooting-by-layers"/>
    <w:p>
      <w:pPr>
        <w:pStyle w:val="Heading2"/>
        <w:keepNext/>
      </w:pPr>
      <w:r>
        <w:rPr>
          <w:rStyle w:val="SectionNumber"/>
          <w:rFonts w:ascii="Noto Sans" w:hAnsi="Noto Sans" w:eastAsia="Noto Sans" w:cs="Noto Sans"/>
          <w:b/>
          <w:color w:val="008F87"/>
          <w:sz w:val="29"/>
        </w:rPr>
        <w:t xml:space="preserve">2.4</w:t>
      </w:r>
      <w:r>
        <w:rPr>
          <w:rFonts w:ascii="Noto Sans" w:hAnsi="Noto Sans" w:eastAsia="Noto Sans" w:cs="Noto Sans"/>
          <w:b/>
          <w:color w:val="008F87"/>
          <w:sz w:val="29"/>
        </w:rPr>
        <w:tab/>
      </w:r>
      <w:r>
        <w:rPr>
          <w:rFonts w:ascii="Noto Sans" w:hAnsi="Noto Sans" w:eastAsia="Noto Sans" w:cs="Noto Sans"/>
          <w:b/>
          <w:color w:val="008F87"/>
          <w:sz w:val="29"/>
        </w:rPr>
        <w:t xml:space="preserve">Troubleshooting by layers</w:t>
      </w:r>
    </w:p>
    <w:p>
      <w:pPr>
        <w:pStyle w:val="FirstParagraph"/>
      </w:pPr>
      <w:r>
        <w:t xml:space="preserve">Installation problems become easier when separated into layers. First verify that the terminal can locate Python. Next verify that the intended environment is active. Then confirm that Jupyter is using the same interpreter. Finally import packages one at a time. A common problem is installing pandas into one Python and launching a notebook with another. Printing</w:t>
      </w:r>
      <w:r>
        <w:t xml:space="preserve"> </w:t>
      </w:r>
      <w:r>
        <w:rPr>
          <w:rStyle w:val="VerbatimChar"/>
        </w:rPr>
        <w:t xml:space="preserve">sys.executable</w:t>
      </w:r>
      <w:r>
        <w:t xml:space="preserve"> </w:t>
      </w:r>
      <w:r>
        <w:t xml:space="preserve">reveals the interpreter behind the current kernel and often turns a foggy problem into a precise path mismatch.</w:t>
      </w:r>
    </w:p>
    <w:bookmarkEnd w:id="54"/>
    <w:bookmarkStart w:id="57" w:name="python-demonstrations-1"/>
    <w:p>
      <w:pPr>
        <w:pStyle w:val="Heading2"/>
        <w:keepNext/>
      </w:pPr>
      <w:r>
        <w:rPr>
          <w:rStyle w:val="SectionNumber"/>
          <w:rFonts w:ascii="Noto Sans" w:hAnsi="Noto Sans" w:eastAsia="Noto Sans" w:cs="Noto Sans"/>
          <w:b/>
          <w:color w:val="008F87"/>
          <w:sz w:val="29"/>
        </w:rPr>
        <w:t xml:space="preserve">2.5</w:t>
      </w:r>
      <w:r>
        <w:rPr>
          <w:rFonts w:ascii="Noto Sans" w:hAnsi="Noto Sans" w:eastAsia="Noto Sans" w:cs="Noto Sans"/>
          <w:b/>
          <w:color w:val="008F87"/>
          <w:sz w:val="29"/>
        </w:rPr>
        <w:tab/>
      </w:r>
      <w:r>
        <w:rPr>
          <w:rFonts w:ascii="Noto Sans" w:hAnsi="Noto Sans" w:eastAsia="Noto Sans" w:cs="Noto Sans"/>
          <w:b/>
          <w:color w:val="008F87"/>
          <w:sz w:val="29"/>
        </w:rPr>
        <w:t xml:space="preserve">Python demonstrations</w:t>
      </w:r>
    </w:p>
    <w:bookmarkStart w:id="55" w:name="Xd10545ed9fedad4e3b4771cf667fcc0a9263faf"/>
    <w:p>
      <w:pPr>
        <w:pStyle w:val="Heading3"/>
        <w:keepNext/>
      </w:pPr>
      <w:r>
        <w:rPr>
          <w:rStyle w:val="SectionNumber"/>
          <w:rFonts w:ascii="Noto Sans" w:hAnsi="Noto Sans" w:eastAsia="Noto Sans" w:cs="Noto Sans"/>
          <w:b/>
          <w:color w:val="0A2342"/>
          <w:sz w:val="23"/>
        </w:rPr>
        <w:t xml:space="preserve">2.5.1</w:t>
      </w:r>
      <w:r>
        <w:rPr>
          <w:rFonts w:ascii="Noto Sans" w:hAnsi="Noto Sans" w:eastAsia="Noto Sans" w:cs="Noto Sans"/>
          <w:b/>
          <w:color w:val="0A2342"/>
          <w:sz w:val="23"/>
        </w:rPr>
        <w:tab/>
      </w:r>
      <w:r>
        <w:rPr>
          <w:rFonts w:ascii="Noto Sans" w:hAnsi="Noto Sans" w:eastAsia="Noto Sans" w:cs="Noto Sans"/>
          <w:b/>
          <w:color w:val="0A2342"/>
          <w:sz w:val="23"/>
        </w:rPr>
        <w:t xml:space="preserve">Demonstration 2.1: Inspect the running interpreter</w:t>
      </w:r>
    </w:p>
    <w:p>
      <w:pPr>
        <w:pStyle w:val="SourceCode"/>
        <w:keepLines/>
        <w:shd w:fill="F6F8FA" w:val="clear"/>
      </w:pPr>
      <w:r>
        <w:rPr>
          <w:rStyle w:val="ImportTok"/>
        </w:rPr>
        <w:t xml:space="preserve">import</w:t>
      </w:r>
      <w:r>
        <w:rPr>
          <w:rStyle w:val="NormalTok"/>
        </w:rPr>
        <w:t xml:space="preserve"> platform</w:t>
      </w:r>
      <w:r>
        <w:br/>
      </w:r>
      <w:r>
        <w:rPr>
          <w:rStyle w:val="ImportTok"/>
        </w:rPr>
        <w:t xml:space="preserve">import</w:t>
      </w:r>
      <w:r>
        <w:rPr>
          <w:rStyle w:val="NormalTok"/>
        </w:rPr>
        <w:t xml:space="preserve"> sys</w:t>
      </w:r>
      <w:r>
        <w:br/>
      </w:r>
      <w:r>
        <w:br/>
      </w:r>
      <w:r>
        <w:rPr>
          <w:rStyle w:val="BuiltInTok"/>
        </w:rPr>
        <w:t xml:space="preserve">print</w:t>
      </w:r>
      <w:r>
        <w:rPr>
          <w:rStyle w:val="NormalTok"/>
        </w:rPr>
        <w:t xml:space="preserve">(sys.version.split()[</w:t>
      </w:r>
      <w:r>
        <w:rPr>
          <w:rStyle w:val="DecValTok"/>
        </w:rPr>
        <w:t xml:space="preserve">0</w:t>
      </w:r>
      <w:r>
        <w:rPr>
          <w:rStyle w:val="NormalTok"/>
        </w:rPr>
        <w:t xml:space="preserve">])</w:t>
      </w:r>
      <w:r>
        <w:br/>
      </w:r>
      <w:r>
        <w:rPr>
          <w:rStyle w:val="BuiltInTok"/>
        </w:rPr>
        <w:t xml:space="preserve">print</w:t>
      </w:r>
      <w:r>
        <w:rPr>
          <w:rStyle w:val="NormalTok"/>
        </w:rPr>
        <w:t xml:space="preserve">(sys.executable)</w:t>
      </w:r>
      <w:r>
        <w:br/>
      </w:r>
      <w:r>
        <w:rPr>
          <w:rStyle w:val="BuiltInTok"/>
        </w:rPr>
        <w:t xml:space="preserve">print</w:t>
      </w:r>
      <w:r>
        <w:rPr>
          <w:rStyle w:val="NormalTok"/>
        </w:rPr>
        <w:t xml:space="preserve">(platform.system())</w:t>
      </w:r>
    </w:p>
    <w:p>
      <w:pPr>
        <w:pStyle w:val="FirstParagraph"/>
      </w:pPr>
      <w:r>
        <w:rPr>
          <w:b/>
          <w:bCs/>
        </w:rPr>
        <w:t xml:space="preserve">Verified output</w:t>
      </w:r>
    </w:p>
    <w:p>
      <w:pPr>
        <w:pStyle w:val="SourceCode"/>
        <w:keepLines/>
        <w:shd w:fill="F6F8FA" w:val="clear"/>
      </w:pPr>
      <w:r>
        <w:rPr>
          <w:rStyle w:val="VerbatimChar"/>
        </w:rPr>
        <w:t xml:space="preserve">3.13.5</w:t>
      </w:r>
      <w:r>
        <w:br/>
      </w:r>
      <w:r>
        <w:rPr>
          <w:rStyle w:val="VerbatimChar"/>
        </w:rPr>
        <w:t xml:space="preserve">/opt/pyvenv/bin/python</w:t>
      </w:r>
      <w:r>
        <w:br/>
      </w:r>
      <w:r>
        <w:rPr>
          <w:rStyle w:val="VerbatimChar"/>
        </w:rPr>
        <w:t xml:space="preserve">Linux</w:t>
      </w:r>
    </w:p>
    <w:p>
      <w:pPr>
        <w:pStyle w:val="FirstParagraph"/>
      </w:pPr>
      <w:r>
        <w:rPr>
          <w:b/>
          <w:bCs/>
        </w:rPr>
        <w:t xml:space="preserve">Interpretation.</w:t>
      </w:r>
      <w:r>
        <w:t xml:space="preserve"> </w:t>
      </w:r>
      <w:r>
        <w:t xml:space="preserve">Your path will differ. The important point is that the notebook and the environment should refer to the same interpreter.</w:t>
      </w:r>
    </w:p>
    <w:bookmarkEnd w:id="55"/>
    <w:bookmarkStart w:id="56" w:name="Xfddcb8bda1ef115d1ebb8b7dcafdb3a909e5285"/>
    <w:p>
      <w:pPr>
        <w:pStyle w:val="Heading3"/>
        <w:keepNext/>
      </w:pPr>
      <w:r>
        <w:rPr>
          <w:rStyle w:val="SectionNumber"/>
          <w:rFonts w:ascii="Noto Sans" w:hAnsi="Noto Sans" w:eastAsia="Noto Sans" w:cs="Noto Sans"/>
          <w:b/>
          <w:color w:val="0A2342"/>
          <w:sz w:val="23"/>
        </w:rPr>
        <w:t xml:space="preserve">2.5.2</w:t>
      </w:r>
      <w:r>
        <w:rPr>
          <w:rFonts w:ascii="Noto Sans" w:hAnsi="Noto Sans" w:eastAsia="Noto Sans" w:cs="Noto Sans"/>
          <w:b/>
          <w:color w:val="0A2342"/>
          <w:sz w:val="23"/>
        </w:rPr>
        <w:tab/>
      </w:r>
      <w:r>
        <w:rPr>
          <w:rFonts w:ascii="Noto Sans" w:hAnsi="Noto Sans" w:eastAsia="Noto Sans" w:cs="Noto Sans"/>
          <w:b/>
          <w:color w:val="0A2342"/>
          <w:sz w:val="23"/>
        </w:rPr>
        <w:t xml:space="preserve">Demonstration 2.2: Create a cross-platform project path</w:t>
      </w:r>
    </w:p>
    <w:p>
      <w:pPr>
        <w:pStyle w:val="SourceCode"/>
        <w:keepLines/>
        <w:shd w:fill="F6F8FA" w:val="clear"/>
      </w:pPr>
      <w:r>
        <w:rPr>
          <w:rStyle w:val="ImportTok"/>
        </w:rPr>
        <w:t xml:space="preserve">from</w:t>
      </w:r>
      <w:r>
        <w:rPr>
          <w:rStyle w:val="NormalTok"/>
        </w:rPr>
        <w:t xml:space="preserve"> pathlib </w:t>
      </w:r>
      <w:r>
        <w:rPr>
          <w:rStyle w:val="ImportTok"/>
        </w:rPr>
        <w:t xml:space="preserve">import</w:t>
      </w:r>
      <w:r>
        <w:rPr>
          <w:rStyle w:val="NormalTok"/>
        </w:rPr>
        <w:t xml:space="preserve"> Path</w:t>
      </w:r>
      <w:r>
        <w:br/>
      </w:r>
      <w:r>
        <w:br/>
      </w:r>
      <w:r>
        <w:rPr>
          <w:rStyle w:val="NormalTok"/>
        </w:rPr>
        <w:t xml:space="preserve">project </w:t>
      </w:r>
      <w:r>
        <w:rPr>
          <w:rStyle w:val="OperatorTok"/>
        </w:rPr>
        <w:t xml:space="preserve">=</w:t>
      </w:r>
      <w:r>
        <w:rPr>
          <w:rStyle w:val="NormalTok"/>
        </w:rPr>
        <w:t xml:space="preserve"> Path.cwd()</w:t>
      </w:r>
      <w:r>
        <w:br/>
      </w:r>
      <w:r>
        <w:rPr>
          <w:rStyle w:val="NormalTok"/>
        </w:rPr>
        <w:t xml:space="preserve">data_dir </w:t>
      </w:r>
      <w:r>
        <w:rPr>
          <w:rStyle w:val="OperatorTok"/>
        </w:rPr>
        <w:t xml:space="preserve">=</w:t>
      </w:r>
      <w:r>
        <w:rPr>
          <w:rStyle w:val="NormalTok"/>
        </w:rPr>
        <w:t xml:space="preserve"> project </w:t>
      </w:r>
      <w:r>
        <w:rPr>
          <w:rStyle w:val="OperatorTok"/>
        </w:rPr>
        <w:t xml:space="preserve">/</w:t>
      </w:r>
      <w:r>
        <w:rPr>
          <w:rStyle w:val="NormalTok"/>
        </w:rPr>
        <w:t xml:space="preserve"> </w:t>
      </w:r>
      <w:r>
        <w:rPr>
          <w:rStyle w:val="StringTok"/>
        </w:rPr>
        <w:t xml:space="preserve">"data"</w:t>
      </w:r>
      <w:r>
        <w:rPr>
          <w:rStyle w:val="NormalTok"/>
        </w:rPr>
        <w:t xml:space="preserve"> </w:t>
      </w:r>
      <w:r>
        <w:rPr>
          <w:rStyle w:val="OperatorTok"/>
        </w:rPr>
        <w:t xml:space="preserve">/</w:t>
      </w:r>
      <w:r>
        <w:rPr>
          <w:rStyle w:val="NormalTok"/>
        </w:rPr>
        <w:t xml:space="preserve"> </w:t>
      </w:r>
      <w:r>
        <w:rPr>
          <w:rStyle w:val="StringTok"/>
        </w:rPr>
        <w:t xml:space="preserve">"frozen"</w:t>
      </w:r>
      <w:r>
        <w:br/>
      </w:r>
      <w:r>
        <w:rPr>
          <w:rStyle w:val="BuiltInTok"/>
        </w:rPr>
        <w:t xml:space="preserve">print</w:t>
      </w:r>
      <w:r>
        <w:rPr>
          <w:rStyle w:val="NormalTok"/>
        </w:rPr>
        <w:t xml:space="preserve">(data_dir.relative_to(project).as_posix())</w:t>
      </w:r>
      <w:r>
        <w:br/>
      </w:r>
      <w:r>
        <w:rPr>
          <w:rStyle w:val="BuiltInTok"/>
        </w:rPr>
        <w:t xml:space="preserve">print</w:t>
      </w:r>
      <w:r>
        <w:rPr>
          <w:rStyle w:val="NormalTok"/>
        </w:rPr>
        <w:t xml:space="preserve">(data_dir.exists())</w:t>
      </w:r>
    </w:p>
    <w:p>
      <w:pPr>
        <w:pStyle w:val="FirstParagraph"/>
      </w:pPr>
      <w:r>
        <w:rPr>
          <w:b/>
          <w:bCs/>
        </w:rPr>
        <w:t xml:space="preserve">Verified output</w:t>
      </w:r>
    </w:p>
    <w:p>
      <w:pPr>
        <w:pStyle w:val="SourceCode"/>
        <w:keepLines/>
        <w:shd w:fill="F6F8FA" w:val="clear"/>
      </w:pPr>
      <w:r>
        <w:rPr>
          <w:rStyle w:val="VerbatimChar"/>
        </w:rPr>
        <w:t xml:space="preserve">data/frozen</w:t>
      </w:r>
      <w:r>
        <w:br/>
      </w:r>
      <w:r>
        <w:rPr>
          <w:rStyle w:val="VerbatimChar"/>
        </w:rPr>
        <w:t xml:space="preserve">True</w:t>
      </w:r>
    </w:p>
    <w:p>
      <w:pPr>
        <w:pStyle w:val="FirstParagraph"/>
      </w:pPr>
      <w:r>
        <w:rPr>
          <w:b/>
          <w:bCs/>
        </w:rPr>
        <w:t xml:space="preserve">Interpretation.</w:t>
      </w:r>
      <w:r>
        <w:t xml:space="preserve"> </w:t>
      </w:r>
      <w:r>
        <w:rPr>
          <w:rStyle w:val="VerbatimChar"/>
        </w:rPr>
        <w:t xml:space="preserve">pathlib</w:t>
      </w:r>
      <w:r>
        <w:t xml:space="preserve"> </w:t>
      </w:r>
      <w:r>
        <w:t xml:space="preserve">joins folders without hard-coded slashes and makes the intended location explicit.</w:t>
      </w:r>
    </w:p>
    <w:bookmarkEnd w:id="56"/>
    <w:bookmarkEnd w:id="57"/>
    <w:bookmarkStart w:id="63" w:name="visual-evidence-1"/>
    <w:p>
      <w:pPr>
        <w:pStyle w:val="Heading2"/>
        <w:keepNext/>
      </w:pPr>
      <w:r>
        <w:rPr>
          <w:rStyle w:val="SectionNumber"/>
          <w:rFonts w:ascii="Noto Sans" w:hAnsi="Noto Sans" w:eastAsia="Noto Sans" w:cs="Noto Sans"/>
          <w:b/>
          <w:color w:val="008F87"/>
          <w:sz w:val="29"/>
        </w:rPr>
        <w:t xml:space="preserve">2.6</w:t>
      </w:r>
      <w:r>
        <w:rPr>
          <w:rFonts w:ascii="Noto Sans" w:hAnsi="Noto Sans" w:eastAsia="Noto Sans" w:cs="Noto Sans"/>
          <w:b/>
          <w:color w:val="008F87"/>
          <w:sz w:val="29"/>
        </w:rPr>
        <w:tab/>
      </w:r>
      <w:r>
        <w:rPr>
          <w:rFonts w:ascii="Noto Sans" w:hAnsi="Noto Sans" w:eastAsia="Noto Sans" w:cs="Noto Sans"/>
          <w:b/>
          <w:color w:val="008F87"/>
          <w:sz w:val="29"/>
        </w:rPr>
        <w:t xml:space="preserve">Visual evidence</w:t>
      </w:r>
    </w:p>
    <w:p>
      <w:pPr>
        <w:pStyle w:val="FirstParagraph"/>
      </w:pPr>
      <w:r>
        <w:drawing>
          <wp:inline>
            <wp:extent cx="4907280" cy="1549667"/>
            <wp:effectExtent b="0" l="0" r="0" t="0"/>
            <wp:docPr descr="Image: rId41.png" title="" id="58" name="Picture"/>
            <a:graphic>
              <a:graphicData uri="http://schemas.openxmlformats.org/drawingml/2006/picture">
                <pic:pic>
                  <pic:nvPicPr>
                    <pic:cNvPr descr="figures/fig_02_analysis_workflow.png" id="59" name="Picture"/>
                    <pic:cNvPicPr>
                      <a:picLocks noChangeArrowheads="1" noChangeAspect="1"/>
                    </pic:cNvPicPr>
                  </pic:nvPicPr>
                  <pic:blipFill>
                    <a:blip r:embed="rId41"/>
                    <a:stretch>
                      <a:fillRect/>
                    </a:stretch>
                  </pic:blipFill>
                  <pic:spPr bwMode="auto">
                    <a:xfrm>
                      <a:off x="0" y="0"/>
                      <a:ext cx="4907280" cy="1549667"/>
                    </a:xfrm>
                    <a:prstGeom prst="rect">
                      <a:avLst/>
                    </a:prstGeom>
                    <a:noFill/>
                    <a:ln w="9525">
                      <a:noFill/>
                      <a:headEnd/>
                      <a:tailEnd/>
                    </a:ln>
                  </pic:spPr>
                </pic:pic>
              </a:graphicData>
            </a:graphic>
          </wp:inline>
        </w:drawing>
      </w:r>
    </w:p>
    <w:p>
      <w:pPr>
        <w:pStyle w:val="Caption"/>
        <w:keepNext w:val="0"/>
        <w:jc w:val="center"/>
      </w:pPr>
      <w:r>
        <w:rPr>
          <w:b/>
          <w:bCs/>
        </w:rPr>
        <w:t xml:space="preserve">Figure 2.</w:t>
      </w:r>
      <w:r>
        <w:t xml:space="preserve"> </w:t>
      </w:r>
      <w:r>
        <w:t xml:space="preserve">The reproducible analysis loop used throughout the book.</w:t>
      </w:r>
    </w:p>
    <w:p>
      <w:pPr>
        <w:pStyle w:val="BodyText"/>
      </w:pPr>
      <w:r>
        <w:drawing>
          <wp:inline>
            <wp:extent cx="4907280" cy="3054431"/>
            <wp:effectExtent b="0" l="0" r="0" t="0"/>
            <wp:docPr descr="Image: rId60.png" title="" id="61" name="Picture"/>
            <a:graphic>
              <a:graphicData uri="http://schemas.openxmlformats.org/drawingml/2006/picture">
                <pic:pic>
                  <pic:nvPicPr>
                    <pic:cNvPr descr="figures/fig_07_project_tree.png" id="62" name="Picture"/>
                    <pic:cNvPicPr>
                      <a:picLocks noChangeArrowheads="1" noChangeAspect="1"/>
                    </pic:cNvPicPr>
                  </pic:nvPicPr>
                  <pic:blipFill>
                    <a:blip r:embed="rId60"/>
                    <a:stretch>
                      <a:fillRect/>
                    </a:stretch>
                  </pic:blipFill>
                  <pic:spPr bwMode="auto">
                    <a:xfrm>
                      <a:off x="0" y="0"/>
                      <a:ext cx="4907280" cy="3054431"/>
                    </a:xfrm>
                    <a:prstGeom prst="rect">
                      <a:avLst/>
                    </a:prstGeom>
                    <a:noFill/>
                    <a:ln w="9525">
                      <a:noFill/>
                      <a:headEnd/>
                      <a:tailEnd/>
                    </a:ln>
                  </pic:spPr>
                </pic:pic>
              </a:graphicData>
            </a:graphic>
          </wp:inline>
        </w:drawing>
      </w:r>
    </w:p>
    <w:p>
      <w:pPr>
        <w:pStyle w:val="Caption"/>
        <w:keepNext w:val="0"/>
        <w:jc w:val="center"/>
      </w:pPr>
      <w:r>
        <w:rPr>
          <w:b/>
          <w:bCs/>
        </w:rPr>
        <w:t xml:space="preserve">Figure 7.</w:t>
      </w:r>
      <w:r>
        <w:t xml:space="preserve"> </w:t>
      </w:r>
      <w:r>
        <w:t xml:space="preserve">Recommended project layout using relative paths rather than personal working directories.</w:t>
      </w:r>
    </w:p>
    <w:bookmarkEnd w:id="63"/>
    <w:bookmarkStart w:id="64" w:name="reference-table-1"/>
    <w:p>
      <w:pPr>
        <w:pStyle w:val="Heading2"/>
        <w:keepNext/>
      </w:pPr>
      <w:r>
        <w:rPr>
          <w:rStyle w:val="SectionNumber"/>
          <w:rFonts w:ascii="Noto Sans" w:hAnsi="Noto Sans" w:eastAsia="Noto Sans" w:cs="Noto Sans"/>
          <w:b/>
          <w:color w:val="008F87"/>
          <w:sz w:val="29"/>
        </w:rPr>
        <w:t xml:space="preserve">2.7</w:t>
      </w:r>
      <w:r>
        <w:rPr>
          <w:rFonts w:ascii="Noto Sans" w:hAnsi="Noto Sans" w:eastAsia="Noto Sans" w:cs="Noto Sans"/>
          <w:b/>
          <w:color w:val="008F87"/>
          <w:sz w:val="29"/>
        </w:rPr>
        <w:tab/>
      </w:r>
      <w:r>
        <w:rPr>
          <w:rFonts w:ascii="Noto Sans" w:hAnsi="Noto Sans" w:eastAsia="Noto Sans" w:cs="Noto Sans"/>
          <w:b/>
          <w:color w:val="008F87"/>
          <w:sz w:val="29"/>
        </w:rPr>
        <w:t xml:space="preserve">Reference table</w:t>
      </w:r>
    </w:p>
    <w:p>
      <w:pPr>
        <w:pStyle w:val="Caption"/>
        <w:keepNext/>
        <w:jc w:val="center"/>
      </w:pPr>
      <w:r>
        <w:rPr>
          <w:b/>
          <w:bCs/>
        </w:rPr>
        <w:t xml:space="preserve">Table 2. Chapter reference.</w:t>
      </w:r>
    </w:p>
    <w:tbl>
      <w:tblPr>
        <w:tblStyle w:val="Table"/>
        <w:tblW w:type="pct" w:w="5000"/>
        <w:jc w:val="center"/>
        <w:tblLayout w:type="autofit"/>
        <w:tblLook w:firstRow="1" w:lastRow="0" w:firstColumn="0" w:lastColumn="0" w:noHBand="0" w:noVBand="0" w:val="0020"/>
      </w:tblPr>
      <w:tblGrid>
        <w:gridCol w:w="2640"/>
        <w:gridCol w:w="2640"/>
        <w:gridCol w:w="2640"/>
      </w:tblGrid>
      <w:tr>
        <w:trPr>
          <w:tblHeader w:val="on"/>
          <w:tblHeader w:val="true"/>
          <w:cantSplit/>
        </w:trPr>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0A2342" w:val="clear"/>
          </w:tcPr>
          <w:p>
            <w:pPr>
              <w:pStyle w:val="Compact"/>
              <w:spacing w:before="30" w:after="30" w:line="240" w:lineRule="auto"/>
              <w:jc w:val="left"/>
            </w:pPr>
            <w:r>
              <w:rPr>
                <w:rFonts w:ascii="Noto Sans" w:hAnsi="Noto Sans" w:eastAsia="Noto Sans" w:cs="Noto Sans"/>
                <w:b/>
                <w:color w:val="FFFFFF"/>
                <w:sz w:val="16"/>
              </w:rPr>
              <w:t xml:space="preserve">Symptom</w:t>
            </w:r>
          </w:p>
        </w:tc>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0A2342" w:val="clear"/>
          </w:tcPr>
          <w:p>
            <w:pPr>
              <w:pStyle w:val="Compact"/>
              <w:spacing w:before="30" w:after="30" w:line="240" w:lineRule="auto"/>
              <w:jc w:val="left"/>
            </w:pPr>
            <w:r>
              <w:rPr>
                <w:rFonts w:ascii="Noto Sans" w:hAnsi="Noto Sans" w:eastAsia="Noto Sans" w:cs="Noto Sans"/>
                <w:b/>
                <w:color w:val="FFFFFF"/>
                <w:sz w:val="16"/>
              </w:rPr>
              <w:t xml:space="preserve">Likely cause</w:t>
            </w:r>
          </w:p>
        </w:tc>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0A2342" w:val="clear"/>
          </w:tcPr>
          <w:p>
            <w:pPr>
              <w:pStyle w:val="Compact"/>
              <w:spacing w:before="30" w:after="30" w:line="240" w:lineRule="auto"/>
              <w:jc w:val="left"/>
            </w:pPr>
            <w:r>
              <w:rPr>
                <w:rFonts w:ascii="Noto Sans" w:hAnsi="Noto Sans" w:eastAsia="Noto Sans" w:cs="Noto Sans"/>
                <w:b/>
                <w:color w:val="FFFFFF"/>
                <w:sz w:val="16"/>
              </w:rPr>
              <w:t xml:space="preserve">First check</w:t>
            </w:r>
          </w:p>
        </w:tc>
      </w:tr>
      <w:tr>
        <w:trPr>
          <w:cantSplit/>
        </w:trPr>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EEF4F8" w:val="clear"/>
          </w:tcPr>
          <w:p>
            <w:pPr>
              <w:pStyle w:val="Compact"/>
              <w:spacing w:before="30" w:after="30" w:line="240" w:lineRule="auto"/>
              <w:jc w:val="left"/>
            </w:pPr>
            <w:r>
              <w:rPr>
                <w:rFonts w:ascii="Noto Sans" w:hAnsi="Noto Sans" w:eastAsia="Noto Sans" w:cs="Noto Sans"/>
                <w:b w:val="0"/>
                <w:color w:val="18212B"/>
                <w:sz w:val="16"/>
              </w:rPr>
              <w:t xml:space="preserve">ModuleNotFoundError</w:t>
            </w:r>
          </w:p>
        </w:tc>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EEF4F8" w:val="clear"/>
          </w:tcPr>
          <w:p>
            <w:pPr>
              <w:pStyle w:val="Compact"/>
              <w:spacing w:before="30" w:after="30" w:line="240" w:lineRule="auto"/>
              <w:jc w:val="left"/>
            </w:pPr>
            <w:r>
              <w:rPr>
                <w:rFonts w:ascii="Noto Sans" w:hAnsi="Noto Sans" w:eastAsia="Noto Sans" w:cs="Noto Sans"/>
                <w:b w:val="0"/>
                <w:color w:val="18212B"/>
                <w:sz w:val="16"/>
              </w:rPr>
              <w:t xml:space="preserve">Package absent from active environment</w:t>
            </w:r>
          </w:p>
        </w:tc>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EEF4F8" w:val="clear"/>
          </w:tcPr>
          <w:p>
            <w:pPr>
              <w:pStyle w:val="Compact"/>
              <w:spacing w:before="30" w:after="30" w:line="240" w:lineRule="auto"/>
              <w:jc w:val="left"/>
            </w:pPr>
            <w:r>
              <w:rPr>
                <w:rFonts w:ascii="Noto Sans" w:hAnsi="Noto Sans" w:eastAsia="Noto Sans" w:cs="Noto Sans"/>
                <w:b w:val="0"/>
                <w:color w:val="18212B"/>
                <w:sz w:val="16"/>
              </w:rPr>
              <w:t xml:space="preserve">Print sys.executable</w:t>
            </w:r>
          </w:p>
        </w:tc>
      </w:tr>
      <w:tr>
        <w:trPr>
          <w:cantSplit/>
        </w:trPr>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FFFFFF" w:val="clear"/>
          </w:tcPr>
          <w:p>
            <w:pPr>
              <w:pStyle w:val="Compact"/>
              <w:spacing w:before="30" w:after="30" w:line="240" w:lineRule="auto"/>
              <w:jc w:val="left"/>
            </w:pPr>
            <w:r>
              <w:rPr>
                <w:rFonts w:ascii="Noto Sans" w:hAnsi="Noto Sans" w:eastAsia="Noto Sans" w:cs="Noto Sans"/>
                <w:b w:val="0"/>
                <w:color w:val="18212B"/>
                <w:sz w:val="16"/>
              </w:rPr>
              <w:t xml:space="preserve">Notebook uses old package</w:t>
            </w:r>
          </w:p>
        </w:tc>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FFFFFF" w:val="clear"/>
          </w:tcPr>
          <w:p>
            <w:pPr>
              <w:pStyle w:val="Compact"/>
              <w:spacing w:before="30" w:after="30" w:line="240" w:lineRule="auto"/>
              <w:jc w:val="left"/>
            </w:pPr>
            <w:r>
              <w:rPr>
                <w:rFonts w:ascii="Noto Sans" w:hAnsi="Noto Sans" w:eastAsia="Noto Sans" w:cs="Noto Sans"/>
                <w:b w:val="0"/>
                <w:color w:val="18212B"/>
                <w:sz w:val="16"/>
              </w:rPr>
              <w:t xml:space="preserve">Wrong kernel selected</w:t>
            </w:r>
          </w:p>
        </w:tc>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FFFFFF" w:val="clear"/>
          </w:tcPr>
          <w:p>
            <w:pPr>
              <w:pStyle w:val="Compact"/>
              <w:spacing w:before="30" w:after="30" w:line="240" w:lineRule="auto"/>
              <w:jc w:val="left"/>
            </w:pPr>
            <w:r>
              <w:rPr>
                <w:rFonts w:ascii="Noto Sans" w:hAnsi="Noto Sans" w:eastAsia="Noto Sans" w:cs="Noto Sans"/>
                <w:b w:val="0"/>
                <w:color w:val="18212B"/>
                <w:sz w:val="16"/>
              </w:rPr>
              <w:t xml:space="preserve">Kernel menu and executable path</w:t>
            </w:r>
          </w:p>
        </w:tc>
      </w:tr>
      <w:tr>
        <w:trPr>
          <w:cantSplit/>
        </w:trPr>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EEF4F8" w:val="clear"/>
          </w:tcPr>
          <w:p>
            <w:pPr>
              <w:pStyle w:val="Compact"/>
              <w:spacing w:before="30" w:after="30" w:line="240" w:lineRule="auto"/>
              <w:jc w:val="left"/>
            </w:pPr>
            <w:r>
              <w:rPr>
                <w:rFonts w:ascii="Noto Sans" w:hAnsi="Noto Sans" w:eastAsia="Noto Sans" w:cs="Noto Sans"/>
                <w:b w:val="0"/>
                <w:color w:val="18212B"/>
                <w:sz w:val="16"/>
              </w:rPr>
              <w:t xml:space="preserve">Command not found</w:t>
            </w:r>
          </w:p>
        </w:tc>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EEF4F8" w:val="clear"/>
          </w:tcPr>
          <w:p>
            <w:pPr>
              <w:pStyle w:val="Compact"/>
              <w:spacing w:before="30" w:after="30" w:line="240" w:lineRule="auto"/>
              <w:jc w:val="left"/>
            </w:pPr>
            <w:r>
              <w:rPr>
                <w:rFonts w:ascii="Noto Sans" w:hAnsi="Noto Sans" w:eastAsia="Noto Sans" w:cs="Noto Sans"/>
                <w:b w:val="0"/>
                <w:color w:val="18212B"/>
                <w:sz w:val="16"/>
              </w:rPr>
              <w:t xml:space="preserve">Python not on PATH</w:t>
            </w:r>
          </w:p>
        </w:tc>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EEF4F8" w:val="clear"/>
          </w:tcPr>
          <w:p>
            <w:pPr>
              <w:pStyle w:val="Compact"/>
              <w:spacing w:before="30" w:after="30" w:line="240" w:lineRule="auto"/>
              <w:jc w:val="left"/>
            </w:pPr>
            <w:r>
              <w:rPr>
                <w:rFonts w:ascii="Noto Sans" w:hAnsi="Noto Sans" w:eastAsia="Noto Sans" w:cs="Noto Sans"/>
                <w:b w:val="0"/>
                <w:color w:val="18212B"/>
                <w:sz w:val="16"/>
              </w:rPr>
              <w:t xml:space="preserve">python –version or py –version</w:t>
            </w:r>
          </w:p>
        </w:tc>
      </w:tr>
      <w:tr>
        <w:trPr>
          <w:cantSplit/>
        </w:trPr>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FFFFFF" w:val="clear"/>
          </w:tcPr>
          <w:p>
            <w:pPr>
              <w:pStyle w:val="Compact"/>
              <w:spacing w:before="30" w:after="30" w:line="240" w:lineRule="auto"/>
              <w:jc w:val="left"/>
            </w:pPr>
            <w:r>
              <w:rPr>
                <w:rFonts w:ascii="Noto Sans" w:hAnsi="Noto Sans" w:eastAsia="Noto Sans" w:cs="Noto Sans"/>
                <w:b w:val="0"/>
                <w:color w:val="18212B"/>
                <w:sz w:val="16"/>
              </w:rPr>
              <w:t xml:space="preserve">Permission error</w:t>
            </w:r>
          </w:p>
        </w:tc>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FFFFFF" w:val="clear"/>
          </w:tcPr>
          <w:p>
            <w:pPr>
              <w:pStyle w:val="Compact"/>
              <w:spacing w:before="30" w:after="30" w:line="240" w:lineRule="auto"/>
              <w:jc w:val="left"/>
            </w:pPr>
            <w:r>
              <w:rPr>
                <w:rFonts w:ascii="Noto Sans" w:hAnsi="Noto Sans" w:eastAsia="Noto Sans" w:cs="Noto Sans"/>
                <w:b w:val="0"/>
                <w:color w:val="18212B"/>
                <w:sz w:val="16"/>
              </w:rPr>
              <w:t xml:space="preserve">Restricted installation location</w:t>
            </w:r>
          </w:p>
        </w:tc>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FFFFFF" w:val="clear"/>
          </w:tcPr>
          <w:p>
            <w:pPr>
              <w:pStyle w:val="Compact"/>
              <w:spacing w:before="30" w:after="30" w:line="240" w:lineRule="auto"/>
              <w:jc w:val="left"/>
            </w:pPr>
            <w:r>
              <w:rPr>
                <w:rFonts w:ascii="Noto Sans" w:hAnsi="Noto Sans" w:eastAsia="Noto Sans" w:cs="Noto Sans"/>
                <w:b w:val="0"/>
                <w:color w:val="18212B"/>
                <w:sz w:val="16"/>
              </w:rPr>
              <w:t xml:space="preserve">Use venv or Colab</w:t>
            </w:r>
          </w:p>
        </w:tc>
      </w:tr>
    </w:tbl>
    <w:p>
      <w:pPr>
        <w:pStyle w:val="BlockText"/>
        <w:shd w:fill="EAF7F5" w:val="clear"/>
        <w:pBdr>
          <w:left w:val="single" w:sz="18" w:space="8" w:color="008F87"/>
        </w:pBdr>
      </w:pPr>
      <w:r>
        <w:rPr>
          <w:b/>
          <w:bCs/>
        </w:rPr>
        <w:t xml:space="preserve">Why This Matters</w:t>
      </w:r>
    </w:p>
    <w:p>
      <w:pPr>
        <w:pStyle w:val="BlockText"/>
        <w:shd w:fill="EAF7F5" w:val="clear"/>
        <w:pBdr>
          <w:left w:val="single" w:sz="18" w:space="8" w:color="008F87"/>
        </w:pBdr>
      </w:pPr>
      <w:r>
        <w:t xml:space="preserve">A clean environment converts</w:t>
      </w:r>
      <w:r>
        <w:t xml:space="preserve"> </w:t>
      </w:r>
      <w:r>
        <w:t xml:space="preserve">“</w:t>
      </w:r>
      <w:r>
        <w:t xml:space="preserve">it worked on my laptop</w:t>
      </w:r>
      <w:r>
        <w:t xml:space="preserve">”</w:t>
      </w:r>
      <w:r>
        <w:t xml:space="preserve"> </w:t>
      </w:r>
      <w:r>
        <w:t xml:space="preserve">into a documented computational setting that another learner can reconstruct.</w:t>
      </w:r>
    </w:p>
    <w:p>
      <w:pPr>
        <w:pStyle w:val="BlockText"/>
        <w:shd w:fill="EAF7F5" w:val="clear"/>
        <w:pBdr>
          <w:left w:val="single" w:sz="18" w:space="8" w:color="008F87"/>
        </w:pBdr>
      </w:pPr>
      <w:r>
        <w:rPr>
          <w:b/>
          <w:bCs/>
        </w:rPr>
        <w:t xml:space="preserve">Common Mistake</w:t>
      </w:r>
    </w:p>
    <w:p>
      <w:pPr>
        <w:pStyle w:val="BlockText"/>
        <w:shd w:fill="EAF7F5" w:val="clear"/>
        <w:pBdr>
          <w:left w:val="single" w:sz="18" w:space="8" w:color="008F87"/>
        </w:pBdr>
      </w:pPr>
      <w:r>
        <w:t xml:space="preserve">Running</w:t>
      </w:r>
      <w:r>
        <w:t xml:space="preserve"> </w:t>
      </w:r>
      <w:r>
        <w:rPr>
          <w:rStyle w:val="VerbatimChar"/>
        </w:rPr>
        <w:t xml:space="preserve">pip install</w:t>
      </w:r>
      <w:r>
        <w:t xml:space="preserve"> </w:t>
      </w:r>
      <w:r>
        <w:t xml:space="preserve">inside random notebook cells. It creates hidden differences between runs and makes the notebook dependent on cell order.</w:t>
      </w:r>
    </w:p>
    <w:p>
      <w:pPr>
        <w:pStyle w:val="BlockText"/>
        <w:shd w:fill="EAF7F5" w:val="clear"/>
        <w:pBdr>
          <w:left w:val="single" w:sz="18" w:space="8" w:color="008F87"/>
        </w:pBdr>
      </w:pPr>
      <w:r>
        <w:rPr>
          <w:b/>
          <w:bCs/>
        </w:rPr>
        <w:t xml:space="preserve">Ceteris LAB Tip</w:t>
      </w:r>
    </w:p>
    <w:p>
      <w:pPr>
        <w:pStyle w:val="BlockText"/>
        <w:shd w:fill="EAF7F5" w:val="clear"/>
        <w:pBdr>
          <w:left w:val="single" w:sz="18" w:space="8" w:color="008F87"/>
        </w:pBdr>
      </w:pPr>
      <w:r>
        <w:t xml:space="preserve">Keep installation commands in one setup file and analysis commands in notebooks or scripts.</w:t>
      </w:r>
    </w:p>
    <w:p>
      <w:pPr>
        <w:pStyle w:val="BlockText"/>
        <w:shd w:fill="EAF7F5" w:val="clear"/>
        <w:pBdr>
          <w:left w:val="single" w:sz="18" w:space="8" w:color="008F87"/>
        </w:pBdr>
      </w:pPr>
      <w:r>
        <w:rPr>
          <w:b/>
          <w:bCs/>
        </w:rPr>
        <w:t xml:space="preserve">R-to-Python / Source Bridge</w:t>
      </w:r>
    </w:p>
    <w:p>
      <w:pPr>
        <w:pStyle w:val="BlockText"/>
        <w:shd w:fill="EAF7F5" w:val="clear"/>
        <w:pBdr>
          <w:left w:val="single" w:sz="18" w:space="8" w:color="008F87"/>
        </w:pBdr>
      </w:pPr>
      <w:r>
        <w:t xml:space="preserve">The source notes taught graphical installation of R packages and manual working-directory changes. The modernized workflow centralizes dependencies and uses project-relative paths rather than personal directories</w:t>
      </w:r>
      <w:r>
        <w:t xml:space="preserve"> </w:t>
      </w:r>
      <w:r>
        <w:t xml:space="preserve">(Tsay 2013)</w:t>
      </w:r>
      <w:r>
        <w:t xml:space="preserve">.</w:t>
      </w:r>
    </w:p>
    <w:bookmarkEnd w:id="64"/>
    <w:bookmarkStart w:id="65" w:name="guided-practice-1"/>
    <w:p>
      <w:pPr>
        <w:pStyle w:val="Heading2"/>
        <w:keepNext/>
      </w:pPr>
      <w:r>
        <w:rPr>
          <w:rStyle w:val="SectionNumber"/>
          <w:rFonts w:ascii="Noto Sans" w:hAnsi="Noto Sans" w:eastAsia="Noto Sans" w:cs="Noto Sans"/>
          <w:b/>
          <w:color w:val="008F87"/>
          <w:sz w:val="29"/>
        </w:rPr>
        <w:t xml:space="preserve">2.8</w:t>
      </w:r>
      <w:r>
        <w:rPr>
          <w:rFonts w:ascii="Noto Sans" w:hAnsi="Noto Sans" w:eastAsia="Noto Sans" w:cs="Noto Sans"/>
          <w:b/>
          <w:color w:val="008F87"/>
          <w:sz w:val="29"/>
        </w:rPr>
        <w:tab/>
      </w:r>
      <w:r>
        <w:rPr>
          <w:rFonts w:ascii="Noto Sans" w:hAnsi="Noto Sans" w:eastAsia="Noto Sans" w:cs="Noto Sans"/>
          <w:b/>
          <w:color w:val="008F87"/>
          <w:sz w:val="29"/>
        </w:rPr>
        <w:t xml:space="preserve">Guided practice</w:t>
      </w:r>
    </w:p>
    <w:p>
      <w:pPr>
        <w:pStyle w:val="Compact"/>
        <w:numPr>
          <w:ilvl w:val="0"/>
          <w:numId w:val="1008"/>
        </w:numPr>
      </w:pPr>
      <w:r>
        <w:t xml:space="preserve">Re-run Demonstration 2.1 and change one input while keeping the analytical question fixed.</w:t>
      </w:r>
    </w:p>
    <w:p>
      <w:pPr>
        <w:pStyle w:val="Compact"/>
        <w:numPr>
          <w:ilvl w:val="0"/>
          <w:numId w:val="1008"/>
        </w:numPr>
      </w:pPr>
      <w:r>
        <w:t xml:space="preserve">Explain in two sentences how the output supports, or fails to support, the chapter opening question.</w:t>
      </w:r>
    </w:p>
    <w:p>
      <w:pPr>
        <w:pStyle w:val="Compact"/>
        <w:numPr>
          <w:ilvl w:val="0"/>
          <w:numId w:val="1008"/>
        </w:numPr>
      </w:pPr>
      <w:r>
        <w:t xml:space="preserve">Add one validation check that would prevent a plausible error.</w:t>
      </w:r>
    </w:p>
    <w:bookmarkEnd w:id="65"/>
    <w:bookmarkStart w:id="66" w:name="exercises-1"/>
    <w:p>
      <w:pPr>
        <w:pStyle w:val="Heading2"/>
        <w:keepNext/>
      </w:pPr>
      <w:r>
        <w:rPr>
          <w:rStyle w:val="SectionNumber"/>
          <w:rFonts w:ascii="Noto Sans" w:hAnsi="Noto Sans" w:eastAsia="Noto Sans" w:cs="Noto Sans"/>
          <w:b/>
          <w:color w:val="008F87"/>
          <w:sz w:val="29"/>
        </w:rPr>
        <w:t xml:space="preserve">2.9</w:t>
      </w:r>
      <w:r>
        <w:rPr>
          <w:rFonts w:ascii="Noto Sans" w:hAnsi="Noto Sans" w:eastAsia="Noto Sans" w:cs="Noto Sans"/>
          <w:b/>
          <w:color w:val="008F87"/>
          <w:sz w:val="29"/>
        </w:rPr>
        <w:tab/>
      </w:r>
      <w:r>
        <w:rPr>
          <w:rFonts w:ascii="Noto Sans" w:hAnsi="Noto Sans" w:eastAsia="Noto Sans" w:cs="Noto Sans"/>
          <w:b/>
          <w:color w:val="008F87"/>
          <w:sz w:val="29"/>
        </w:rPr>
        <w:t xml:space="preserve">Exercises</w:t>
      </w:r>
    </w:p>
    <w:p>
      <w:pPr>
        <w:pStyle w:val="Compact"/>
        <w:numPr>
          <w:ilvl w:val="0"/>
          <w:numId w:val="1009"/>
        </w:numPr>
      </w:pPr>
      <w:r>
        <w:t xml:space="preserve">Identify which Python interpreter your notebook uses.</w:t>
      </w:r>
    </w:p>
    <w:p>
      <w:pPr>
        <w:pStyle w:val="Compact"/>
        <w:numPr>
          <w:ilvl w:val="0"/>
          <w:numId w:val="1009"/>
        </w:numPr>
      </w:pPr>
      <w:r>
        <w:t xml:space="preserve">Create a new virtual environment and install NumPy and pandas.</w:t>
      </w:r>
    </w:p>
    <w:p>
      <w:pPr>
        <w:pStyle w:val="Compact"/>
        <w:numPr>
          <w:ilvl w:val="0"/>
          <w:numId w:val="1009"/>
        </w:numPr>
      </w:pPr>
      <w:r>
        <w:t xml:space="preserve">Explain the difference between an environment and a Jupyter kernel.</w:t>
      </w:r>
    </w:p>
    <w:p>
      <w:pPr>
        <w:pStyle w:val="Compact"/>
        <w:numPr>
          <w:ilvl w:val="0"/>
          <w:numId w:val="1009"/>
        </w:numPr>
      </w:pPr>
      <w:r>
        <w:t xml:space="preserve">Write a two-step troubleshooting checklist for ModuleNotFoundError.</w:t>
      </w:r>
    </w:p>
    <w:bookmarkEnd w:id="66"/>
    <w:bookmarkStart w:id="67" w:name="chapter-summary-1"/>
    <w:p>
      <w:pPr>
        <w:pStyle w:val="Heading2"/>
        <w:keepNext/>
      </w:pPr>
      <w:r>
        <w:rPr>
          <w:rStyle w:val="SectionNumber"/>
          <w:rFonts w:ascii="Noto Sans" w:hAnsi="Noto Sans" w:eastAsia="Noto Sans" w:cs="Noto Sans"/>
          <w:b/>
          <w:color w:val="008F87"/>
          <w:sz w:val="29"/>
        </w:rPr>
        <w:t xml:space="preserve">2.10</w:t>
      </w:r>
      <w:r>
        <w:rPr>
          <w:rFonts w:ascii="Noto Sans" w:hAnsi="Noto Sans" w:eastAsia="Noto Sans" w:cs="Noto Sans"/>
          <w:b/>
          <w:color w:val="008F87"/>
          <w:sz w:val="29"/>
        </w:rPr>
        <w:tab/>
      </w:r>
      <w:r>
        <w:rPr>
          <w:rFonts w:ascii="Noto Sans" w:hAnsi="Noto Sans" w:eastAsia="Noto Sans" w:cs="Noto Sans"/>
          <w:b/>
          <w:color w:val="008F87"/>
          <w:sz w:val="29"/>
        </w:rPr>
        <w:t xml:space="preserve">Chapter summary</w:t>
      </w:r>
    </w:p>
    <w:p>
      <w:pPr>
        <w:pStyle w:val="Compact"/>
        <w:numPr>
          <w:ilvl w:val="0"/>
          <w:numId w:val="1010"/>
        </w:numPr>
      </w:pPr>
      <w:r>
        <w:t xml:space="preserve">Colab provides a no-install route; local environments provide more control.</w:t>
      </w:r>
    </w:p>
    <w:p>
      <w:pPr>
        <w:pStyle w:val="Compact"/>
        <w:numPr>
          <w:ilvl w:val="0"/>
          <w:numId w:val="1010"/>
        </w:numPr>
      </w:pPr>
      <w:r>
        <w:t xml:space="preserve">Virtual environments separate project dependencies.</w:t>
      </w:r>
    </w:p>
    <w:p>
      <w:pPr>
        <w:pStyle w:val="Compact"/>
        <w:numPr>
          <w:ilvl w:val="0"/>
          <w:numId w:val="1010"/>
        </w:numPr>
      </w:pPr>
      <w:r>
        <w:t xml:space="preserve">Interpreter and kernel mismatches are a frequent source of confusion.</w:t>
      </w:r>
    </w:p>
    <w:bookmarkEnd w:id="67"/>
    <w:bookmarkStart w:id="68" w:name="key-python-commands-1"/>
    <w:p>
      <w:pPr>
        <w:pStyle w:val="Heading2"/>
        <w:keepNext/>
      </w:pPr>
      <w:r>
        <w:rPr>
          <w:rStyle w:val="SectionNumber"/>
          <w:rFonts w:ascii="Noto Sans" w:hAnsi="Noto Sans" w:eastAsia="Noto Sans" w:cs="Noto Sans"/>
          <w:b/>
          <w:color w:val="008F87"/>
          <w:sz w:val="29"/>
        </w:rPr>
        <w:t xml:space="preserve">2.11</w:t>
      </w:r>
      <w:r>
        <w:rPr>
          <w:rFonts w:ascii="Noto Sans" w:hAnsi="Noto Sans" w:eastAsia="Noto Sans" w:cs="Noto Sans"/>
          <w:b/>
          <w:color w:val="008F87"/>
          <w:sz w:val="29"/>
        </w:rPr>
        <w:tab/>
      </w:r>
      <w:r>
        <w:rPr>
          <w:rFonts w:ascii="Noto Sans" w:hAnsi="Noto Sans" w:eastAsia="Noto Sans" w:cs="Noto Sans"/>
          <w:b/>
          <w:color w:val="008F87"/>
          <w:sz w:val="29"/>
        </w:rPr>
        <w:t xml:space="preserve">Key Python commands</w:t>
      </w:r>
    </w:p>
    <w:p>
      <w:pPr>
        <w:pStyle w:val="SourceCode"/>
        <w:keepLines/>
        <w:shd w:fill="F6F8FA" w:val="clear"/>
      </w:pPr>
      <w:r>
        <w:rPr>
          <w:rStyle w:val="ImportTok"/>
        </w:rPr>
        <w:t xml:space="preserve">import</w:t>
      </w:r>
      <w:r>
        <w:rPr>
          <w:rStyle w:val="NormalTok"/>
        </w:rPr>
        <w:t xml:space="preserve"> platform</w:t>
      </w:r>
      <w:r>
        <w:br/>
      </w:r>
      <w:r>
        <w:rPr>
          <w:rStyle w:val="ImportTok"/>
        </w:rPr>
        <w:t xml:space="preserve">import</w:t>
      </w:r>
      <w:r>
        <w:rPr>
          <w:rStyle w:val="NormalTok"/>
        </w:rPr>
        <w:t xml:space="preserve"> sys</w:t>
      </w:r>
      <w:r>
        <w:br/>
      </w:r>
      <w:r>
        <w:rPr>
          <w:rStyle w:val="BuiltInTok"/>
        </w:rPr>
        <w:t xml:space="preserve">print</w:t>
      </w:r>
      <w:r>
        <w:rPr>
          <w:rStyle w:val="NormalTok"/>
        </w:rPr>
        <w:t xml:space="preserve">(sys.version.split()[</w:t>
      </w:r>
      <w:r>
        <w:rPr>
          <w:rStyle w:val="DecValTok"/>
        </w:rPr>
        <w:t xml:space="preserve">0</w:t>
      </w:r>
      <w:r>
        <w:rPr>
          <w:rStyle w:val="NormalTok"/>
        </w:rPr>
        <w:t xml:space="preserve">])</w:t>
      </w:r>
      <w:r>
        <w:br/>
      </w:r>
      <w:r>
        <w:rPr>
          <w:rStyle w:val="BuiltInTok"/>
        </w:rPr>
        <w:t xml:space="preserve">print</w:t>
      </w:r>
      <w:r>
        <w:rPr>
          <w:rStyle w:val="NormalTok"/>
        </w:rPr>
        <w:t xml:space="preserve">(sys.executable)</w:t>
      </w:r>
      <w:r>
        <w:br/>
      </w:r>
      <w:r>
        <w:rPr>
          <w:rStyle w:val="BuiltInTok"/>
        </w:rPr>
        <w:t xml:space="preserve">print</w:t>
      </w:r>
      <w:r>
        <w:rPr>
          <w:rStyle w:val="NormalTok"/>
        </w:rPr>
        <w:t xml:space="preserve">(platform.system())</w:t>
      </w:r>
      <w:r>
        <w:br/>
      </w:r>
      <w:r>
        <w:rPr>
          <w:rStyle w:val="ImportTok"/>
        </w:rPr>
        <w:t xml:space="preserve">from</w:t>
      </w:r>
      <w:r>
        <w:rPr>
          <w:rStyle w:val="NormalTok"/>
        </w:rPr>
        <w:t xml:space="preserve"> pathlib </w:t>
      </w:r>
      <w:r>
        <w:rPr>
          <w:rStyle w:val="ImportTok"/>
        </w:rPr>
        <w:t xml:space="preserve">import</w:t>
      </w:r>
      <w:r>
        <w:rPr>
          <w:rStyle w:val="NormalTok"/>
        </w:rPr>
        <w:t xml:space="preserve"> Path</w:t>
      </w:r>
    </w:p>
    <w:bookmarkEnd w:id="68"/>
    <w:bookmarkEnd w:id="69"/>
    <w:bookmarkStart w:id="86" w:name="variables-values-types-strings-and-dates"/>
    <w:p>
      <w:pPr>
        <w:pStyle w:val="Heading1"/>
        <w:keepNext/>
        <w:pageBreakBefore/>
      </w:pPr>
      <w:r>
        <w:rPr>
          <w:rStyle w:val="SectionNumber"/>
          <w:rFonts w:ascii="Noto Sans" w:hAnsi="Noto Sans" w:eastAsia="Noto Sans" w:cs="Noto Sans"/>
          <w:b/>
          <w:color w:val="0A2342"/>
          <w:sz w:val="43"/>
        </w:rPr>
        <w:t xml:space="preserve">3</w:t>
      </w:r>
      <w:r>
        <w:rPr>
          <w:rFonts w:ascii="Noto Sans" w:hAnsi="Noto Sans" w:eastAsia="Noto Sans" w:cs="Noto Sans"/>
          <w:b/>
          <w:color w:val="0A2342"/>
          <w:sz w:val="43"/>
        </w:rPr>
        <w:tab/>
      </w:r>
      <w:r>
        <w:rPr>
          <w:rFonts w:ascii="Noto Sans" w:hAnsi="Noto Sans" w:eastAsia="Noto Sans" w:cs="Noto Sans"/>
          <w:b/>
          <w:color w:val="0A2342"/>
          <w:sz w:val="43"/>
        </w:rPr>
        <w:t xml:space="preserve">Variables, Values, Types, Strings, and Dates</w:t>
      </w:r>
    </w:p>
    <w:p>
      <w:pPr>
        <w:pStyle w:val="FirstParagraph"/>
      </w:pPr>
      <w:r>
        <w:rPr>
          <w:i/>
          <w:iCs/>
        </w:rPr>
        <w:t xml:space="preserve">Opening question:</w:t>
      </w:r>
      <w:r>
        <w:t xml:space="preserve"> </w:t>
      </w:r>
      <w:r>
        <w:rPr>
          <w:b/>
          <w:bCs/>
        </w:rPr>
        <w:t xml:space="preserve">How does Python know whether a value is a price, a label, a date, or a logical condition?</w:t>
      </w:r>
    </w:p>
    <w:bookmarkStart w:id="70" w:name="learning-objectives-2"/>
    <w:p>
      <w:pPr>
        <w:pStyle w:val="Heading2"/>
        <w:keepNext/>
      </w:pPr>
      <w:r>
        <w:rPr>
          <w:rStyle w:val="SectionNumber"/>
          <w:rFonts w:ascii="Noto Sans" w:hAnsi="Noto Sans" w:eastAsia="Noto Sans" w:cs="Noto Sans"/>
          <w:b/>
          <w:color w:val="008F87"/>
          <w:sz w:val="29"/>
        </w:rPr>
        <w:t xml:space="preserve">3.1</w:t>
      </w:r>
      <w:r>
        <w:rPr>
          <w:rFonts w:ascii="Noto Sans" w:hAnsi="Noto Sans" w:eastAsia="Noto Sans" w:cs="Noto Sans"/>
          <w:b/>
          <w:color w:val="008F87"/>
          <w:sz w:val="29"/>
        </w:rPr>
        <w:tab/>
      </w:r>
      <w:r>
        <w:rPr>
          <w:rFonts w:ascii="Noto Sans" w:hAnsi="Noto Sans" w:eastAsia="Noto Sans" w:cs="Noto Sans"/>
          <w:b/>
          <w:color w:val="008F87"/>
          <w:sz w:val="29"/>
        </w:rPr>
        <w:t xml:space="preserve">Learning objectives</w:t>
      </w:r>
    </w:p>
    <w:p>
      <w:pPr>
        <w:pStyle w:val="Compact"/>
        <w:numPr>
          <w:ilvl w:val="0"/>
          <w:numId w:val="1011"/>
        </w:numPr>
      </w:pPr>
      <w:r>
        <w:t xml:space="preserve">Create variables with meaningful names.</w:t>
      </w:r>
    </w:p>
    <w:p>
      <w:pPr>
        <w:pStyle w:val="Compact"/>
        <w:numPr>
          <w:ilvl w:val="0"/>
          <w:numId w:val="1011"/>
        </w:numPr>
      </w:pPr>
      <w:r>
        <w:t xml:space="preserve">Work with integers, floats, strings, booleans, and None.</w:t>
      </w:r>
    </w:p>
    <w:p>
      <w:pPr>
        <w:pStyle w:val="Compact"/>
        <w:numPr>
          <w:ilvl w:val="0"/>
          <w:numId w:val="1011"/>
        </w:numPr>
      </w:pPr>
      <w:r>
        <w:t xml:space="preserve">Format text and numeric results.</w:t>
      </w:r>
    </w:p>
    <w:p>
      <w:pPr>
        <w:pStyle w:val="Compact"/>
        <w:numPr>
          <w:ilvl w:val="0"/>
          <w:numId w:val="1011"/>
        </w:numPr>
      </w:pPr>
      <w:r>
        <w:t xml:space="preserve">Parse and compare dates safely.</w:t>
      </w:r>
    </w:p>
    <w:p>
      <w:pPr>
        <w:pStyle w:val="FirstParagraph"/>
      </w:pPr>
      <w:r>
        <w:rPr>
          <w:b/>
          <w:bCs/>
        </w:rPr>
        <w:t xml:space="preserve">Prerequisites:</w:t>
      </w:r>
      <w:r>
        <w:t xml:space="preserve"> </w:t>
      </w:r>
      <w:r>
        <w:t xml:space="preserve">Chapter 2.</w:t>
      </w:r>
    </w:p>
    <w:p>
      <w:pPr>
        <w:pStyle w:val="BodyText"/>
      </w:pPr>
      <w:r>
        <w:rPr>
          <w:b/>
          <w:bCs/>
        </w:rPr>
        <w:t xml:space="preserve">Key terms:</w:t>
      </w:r>
      <w:r>
        <w:t xml:space="preserve"> </w:t>
      </w:r>
      <w:r>
        <w:t xml:space="preserve">variable, object, type, boolean, None, datetime.</w:t>
      </w:r>
    </w:p>
    <w:bookmarkEnd w:id="70"/>
    <w:bookmarkStart w:id="71" w:name="names-point-to-objects"/>
    <w:p>
      <w:pPr>
        <w:pStyle w:val="Heading2"/>
        <w:keepNext/>
      </w:pPr>
      <w:r>
        <w:rPr>
          <w:rStyle w:val="SectionNumber"/>
          <w:rFonts w:ascii="Noto Sans" w:hAnsi="Noto Sans" w:eastAsia="Noto Sans" w:cs="Noto Sans"/>
          <w:b/>
          <w:color w:val="008F87"/>
          <w:sz w:val="29"/>
        </w:rPr>
        <w:t xml:space="preserve">3.2</w:t>
      </w:r>
      <w:r>
        <w:rPr>
          <w:rFonts w:ascii="Noto Sans" w:hAnsi="Noto Sans" w:eastAsia="Noto Sans" w:cs="Noto Sans"/>
          <w:b/>
          <w:color w:val="008F87"/>
          <w:sz w:val="29"/>
        </w:rPr>
        <w:tab/>
      </w:r>
      <w:r>
        <w:rPr>
          <w:rFonts w:ascii="Noto Sans" w:hAnsi="Noto Sans" w:eastAsia="Noto Sans" w:cs="Noto Sans"/>
          <w:b/>
          <w:color w:val="008F87"/>
          <w:sz w:val="29"/>
        </w:rPr>
        <w:t xml:space="preserve">Names point to objects</w:t>
      </w:r>
    </w:p>
    <w:p>
      <w:pPr>
        <w:pStyle w:val="FirstParagraph"/>
      </w:pPr>
      <w:r>
        <w:t xml:space="preserve">Assignment binds a name to an object. The statement</w:t>
      </w:r>
      <w:r>
        <w:t xml:space="preserve"> </w:t>
      </w:r>
      <w:r>
        <w:rPr>
          <w:rStyle w:val="VerbatimChar"/>
        </w:rPr>
        <w:t xml:space="preserve">rate = 0.045</w:t>
      </w:r>
      <w:r>
        <w:t xml:space="preserve"> </w:t>
      </w:r>
      <w:r>
        <w:t xml:space="preserve">does not put a value into a permanent box called rate; it creates a floating-point object and lets the name refer to it. This matters when objects are mutable, but the beginner rule is simpler: choose names that carry economic meaning, avoid spaces and punctuation, and reserve uppercase names for constants only when that convention genuinely helps. Python is dynamically typed, so the value determines the type at runtime.</w:t>
      </w:r>
    </w:p>
    <w:bookmarkEnd w:id="71"/>
    <w:bookmarkStart w:id="72" w:name="types-are-analytical-constraints"/>
    <w:p>
      <w:pPr>
        <w:pStyle w:val="Heading2"/>
        <w:keepNext/>
      </w:pPr>
      <w:r>
        <w:rPr>
          <w:rStyle w:val="SectionNumber"/>
          <w:rFonts w:ascii="Noto Sans" w:hAnsi="Noto Sans" w:eastAsia="Noto Sans" w:cs="Noto Sans"/>
          <w:b/>
          <w:color w:val="008F87"/>
          <w:sz w:val="29"/>
        </w:rPr>
        <w:t xml:space="preserve">3.3</w:t>
      </w:r>
      <w:r>
        <w:rPr>
          <w:rFonts w:ascii="Noto Sans" w:hAnsi="Noto Sans" w:eastAsia="Noto Sans" w:cs="Noto Sans"/>
          <w:b/>
          <w:color w:val="008F87"/>
          <w:sz w:val="29"/>
        </w:rPr>
        <w:tab/>
      </w:r>
      <w:r>
        <w:rPr>
          <w:rFonts w:ascii="Noto Sans" w:hAnsi="Noto Sans" w:eastAsia="Noto Sans" w:cs="Noto Sans"/>
          <w:b/>
          <w:color w:val="008F87"/>
          <w:sz w:val="29"/>
        </w:rPr>
        <w:t xml:space="preserve">Types are analytical constraints</w:t>
      </w:r>
    </w:p>
    <w:p>
      <w:pPr>
        <w:pStyle w:val="FirstParagraph"/>
      </w:pPr>
      <w:r>
        <w:t xml:space="preserve">A string such as</w:t>
      </w:r>
      <w:r>
        <w:t xml:space="preserve"> </w:t>
      </w:r>
      <w:r>
        <w:rPr>
          <w:rStyle w:val="VerbatimChar"/>
        </w:rPr>
        <w:t xml:space="preserve">"2.5"</w:t>
      </w:r>
      <w:r>
        <w:t xml:space="preserve"> </w:t>
      </w:r>
      <w:r>
        <w:t xml:space="preserve">looks like a number to a human but cannot be averaged until it is converted. A date stored as plain text does not automatically understand calendar order. Type conversion is therefore part of data validation. Floating-point numbers also have finite binary precision, so exact equality can be unreliable for some decimal calculations. Financial accounting may require</w:t>
      </w:r>
      <w:r>
        <w:t xml:space="preserve"> </w:t>
      </w:r>
      <w:r>
        <w:rPr>
          <w:rStyle w:val="VerbatimChar"/>
        </w:rPr>
        <w:t xml:space="preserve">Decimal</w:t>
      </w:r>
      <w:r>
        <w:t xml:space="preserve">; most econometric work uses floating point and numerical tolerances.</w:t>
      </w:r>
    </w:p>
    <w:bookmarkEnd w:id="72"/>
    <w:bookmarkStart w:id="73" w:name="dates-carry-frequency-and-meaning"/>
    <w:p>
      <w:pPr>
        <w:pStyle w:val="Heading2"/>
        <w:keepNext/>
      </w:pPr>
      <w:r>
        <w:rPr>
          <w:rStyle w:val="SectionNumber"/>
          <w:rFonts w:ascii="Noto Sans" w:hAnsi="Noto Sans" w:eastAsia="Noto Sans" w:cs="Noto Sans"/>
          <w:b/>
          <w:color w:val="008F87"/>
          <w:sz w:val="29"/>
        </w:rPr>
        <w:t xml:space="preserve">3.4</w:t>
      </w:r>
      <w:r>
        <w:rPr>
          <w:rFonts w:ascii="Noto Sans" w:hAnsi="Noto Sans" w:eastAsia="Noto Sans" w:cs="Noto Sans"/>
          <w:b/>
          <w:color w:val="008F87"/>
          <w:sz w:val="29"/>
        </w:rPr>
        <w:tab/>
      </w:r>
      <w:r>
        <w:rPr>
          <w:rFonts w:ascii="Noto Sans" w:hAnsi="Noto Sans" w:eastAsia="Noto Sans" w:cs="Noto Sans"/>
          <w:b/>
          <w:color w:val="008F87"/>
          <w:sz w:val="29"/>
        </w:rPr>
        <w:t xml:space="preserve">Dates carry frequency and meaning</w:t>
      </w:r>
    </w:p>
    <w:p>
      <w:pPr>
        <w:pStyle w:val="FirstParagraph"/>
      </w:pPr>
      <w:r>
        <w:t xml:space="preserve">Calendar data require explicit parsing. The same text can be interpreted differently across countries, and a monthly observation may represent an average, a period end, or a reference month. Python’s</w:t>
      </w:r>
      <w:r>
        <w:t xml:space="preserve"> </w:t>
      </w:r>
      <w:r>
        <w:rPr>
          <w:rStyle w:val="VerbatimChar"/>
        </w:rPr>
        <w:t xml:space="preserve">datetime</w:t>
      </w:r>
      <w:r>
        <w:t xml:space="preserve"> </w:t>
      </w:r>
      <w:r>
        <w:t xml:space="preserve">and pandas date tools support arithmetic, sorting, and resampling, but the analyst must still document the observation convention. A timestamp is not merely a label: it determines ordering, lags, trading-day alignment, and forecast origin.</w:t>
      </w:r>
    </w:p>
    <w:bookmarkEnd w:id="73"/>
    <w:bookmarkStart w:id="76" w:name="python-demonstrations-2"/>
    <w:p>
      <w:pPr>
        <w:pStyle w:val="Heading2"/>
        <w:keepNext/>
      </w:pPr>
      <w:r>
        <w:rPr>
          <w:rStyle w:val="SectionNumber"/>
          <w:rFonts w:ascii="Noto Sans" w:hAnsi="Noto Sans" w:eastAsia="Noto Sans" w:cs="Noto Sans"/>
          <w:b/>
          <w:color w:val="008F87"/>
          <w:sz w:val="29"/>
        </w:rPr>
        <w:t xml:space="preserve">3.5</w:t>
      </w:r>
      <w:r>
        <w:rPr>
          <w:rFonts w:ascii="Noto Sans" w:hAnsi="Noto Sans" w:eastAsia="Noto Sans" w:cs="Noto Sans"/>
          <w:b/>
          <w:color w:val="008F87"/>
          <w:sz w:val="29"/>
        </w:rPr>
        <w:tab/>
      </w:r>
      <w:r>
        <w:rPr>
          <w:rFonts w:ascii="Noto Sans" w:hAnsi="Noto Sans" w:eastAsia="Noto Sans" w:cs="Noto Sans"/>
          <w:b/>
          <w:color w:val="008F87"/>
          <w:sz w:val="29"/>
        </w:rPr>
        <w:t xml:space="preserve">Python demonstrations</w:t>
      </w:r>
    </w:p>
    <w:bookmarkStart w:id="74" w:name="Xa3132509afb5d40cdcc3656b8abe25165fbecf5"/>
    <w:p>
      <w:pPr>
        <w:pStyle w:val="Heading3"/>
        <w:keepNext/>
      </w:pPr>
      <w:r>
        <w:rPr>
          <w:rStyle w:val="SectionNumber"/>
          <w:rFonts w:ascii="Noto Sans" w:hAnsi="Noto Sans" w:eastAsia="Noto Sans" w:cs="Noto Sans"/>
          <w:b/>
          <w:color w:val="0A2342"/>
          <w:sz w:val="23"/>
        </w:rPr>
        <w:t xml:space="preserve">3.5.1</w:t>
      </w:r>
      <w:r>
        <w:rPr>
          <w:rFonts w:ascii="Noto Sans" w:hAnsi="Noto Sans" w:eastAsia="Noto Sans" w:cs="Noto Sans"/>
          <w:b/>
          <w:color w:val="0A2342"/>
          <w:sz w:val="23"/>
        </w:rPr>
        <w:tab/>
      </w:r>
      <w:r>
        <w:rPr>
          <w:rFonts w:ascii="Noto Sans" w:hAnsi="Noto Sans" w:eastAsia="Noto Sans" w:cs="Noto Sans"/>
          <w:b/>
          <w:color w:val="0A2342"/>
          <w:sz w:val="23"/>
        </w:rPr>
        <w:t xml:space="preserve">Demonstration 3.1: Types and formatted output</w:t>
      </w:r>
    </w:p>
    <w:p>
      <w:pPr>
        <w:pStyle w:val="SourceCode"/>
        <w:keepLines/>
        <w:shd w:fill="F6F8FA" w:val="clear"/>
      </w:pPr>
      <w:r>
        <w:rPr>
          <w:rStyle w:val="NormalTok"/>
        </w:rPr>
        <w:t xml:space="preserve">country </w:t>
      </w:r>
      <w:r>
        <w:rPr>
          <w:rStyle w:val="OperatorTok"/>
        </w:rPr>
        <w:t xml:space="preserve">=</w:t>
      </w:r>
      <w:r>
        <w:rPr>
          <w:rStyle w:val="NormalTok"/>
        </w:rPr>
        <w:t xml:space="preserve"> </w:t>
      </w:r>
      <w:r>
        <w:rPr>
          <w:rStyle w:val="StringTok"/>
        </w:rPr>
        <w:t xml:space="preserve">"Canada"</w:t>
      </w:r>
      <w:r>
        <w:br/>
      </w:r>
      <w:r>
        <w:rPr>
          <w:rStyle w:val="NormalTok"/>
        </w:rPr>
        <w:t xml:space="preserve">policy_rate </w:t>
      </w:r>
      <w:r>
        <w:rPr>
          <w:rStyle w:val="OperatorTok"/>
        </w:rPr>
        <w:t xml:space="preserve">=</w:t>
      </w:r>
      <w:r>
        <w:rPr>
          <w:rStyle w:val="NormalTok"/>
        </w:rPr>
        <w:t xml:space="preserve"> </w:t>
      </w:r>
      <w:r>
        <w:rPr>
          <w:rStyle w:val="FloatTok"/>
        </w:rPr>
        <w:t xml:space="preserve">0.0275</w:t>
      </w:r>
      <w:r>
        <w:br/>
      </w:r>
      <w:r>
        <w:rPr>
          <w:rStyle w:val="NormalTok"/>
        </w:rPr>
        <w:t xml:space="preserve">observations </w:t>
      </w:r>
      <w:r>
        <w:rPr>
          <w:rStyle w:val="OperatorTok"/>
        </w:rPr>
        <w:t xml:space="preserve">=</w:t>
      </w:r>
      <w:r>
        <w:rPr>
          <w:rStyle w:val="NormalTok"/>
        </w:rPr>
        <w:t xml:space="preserve"> </w:t>
      </w:r>
      <w:r>
        <w:rPr>
          <w:rStyle w:val="DecValTok"/>
        </w:rPr>
        <w:t xml:space="preserve">120</w:t>
      </w:r>
      <w:r>
        <w:br/>
      </w:r>
      <w:r>
        <w:rPr>
          <w:rStyle w:val="NormalTok"/>
        </w:rPr>
        <w:t xml:space="preserve">is_monthly </w:t>
      </w:r>
      <w:r>
        <w:rPr>
          <w:rStyle w:val="OperatorTok"/>
        </w:rPr>
        <w:t xml:space="preserve">=</w:t>
      </w:r>
      <w:r>
        <w:rPr>
          <w:rStyle w:val="NormalTok"/>
        </w:rPr>
        <w:t xml:space="preserve"> </w:t>
      </w:r>
      <w:r>
        <w:rPr>
          <w:rStyle w:val="VariableTok"/>
        </w:rPr>
        <w:t xml:space="preserve">True</w:t>
      </w:r>
      <w:r>
        <w:br/>
      </w:r>
      <w:r>
        <w:br/>
      </w:r>
      <w:r>
        <w:rPr>
          <w:rStyle w:val="BuiltInTok"/>
        </w:rPr>
        <w:t xml:space="preserve">print</w:t>
      </w:r>
      <w:r>
        <w:rPr>
          <w:rStyle w:val="NormalTok"/>
        </w:rPr>
        <w:t xml:space="preserve">(</w:t>
      </w:r>
      <w:r>
        <w:rPr>
          <w:rStyle w:val="BuiltInTok"/>
        </w:rPr>
        <w:t xml:space="preserve">type</w:t>
      </w:r>
      <w:r>
        <w:rPr>
          <w:rStyle w:val="NormalTok"/>
        </w:rPr>
        <w:t xml:space="preserve">(policy_rate).</w:t>
      </w:r>
      <w:r>
        <w:rPr>
          <w:rStyle w:val="VariableTok"/>
        </w:rPr>
        <w:t xml:space="preserve">__name__</w:t>
      </w:r>
      <w:r>
        <w:rPr>
          <w:rStyle w:val="NormalTok"/>
        </w:rPr>
        <w:t xml:space="preserve">)</w:t>
      </w:r>
      <w:r>
        <w:br/>
      </w:r>
      <w:r>
        <w:rPr>
          <w:rStyle w:val="BuiltInTok"/>
        </w:rPr>
        <w:t xml:space="preserve">print</w:t>
      </w:r>
      <w:r>
        <w:rPr>
          <w:rStyle w:val="NormalTok"/>
        </w:rPr>
        <w:t xml:space="preserve">(</w:t>
      </w:r>
      <w:r>
        <w:rPr>
          <w:rStyle w:val="SpecialStringTok"/>
        </w:rPr>
        <w:t xml:space="preserve">f"</w:t>
      </w:r>
      <w:r>
        <w:rPr>
          <w:rStyle w:val="SpecialCharTok"/>
        </w:rPr>
        <w:t xml:space="preserve">{</w:t>
      </w:r>
      <w:r>
        <w:rPr>
          <w:rStyle w:val="NormalTok"/>
        </w:rPr>
        <w:t xml:space="preserve">country</w:t>
      </w:r>
      <w:r>
        <w:rPr>
          <w:rStyle w:val="SpecialCharTok"/>
        </w:rPr>
        <w:t xml:space="preserve">}</w:t>
      </w:r>
      <w:r>
        <w:rPr>
          <w:rStyle w:val="SpecialStringTok"/>
        </w:rPr>
        <w:t xml:space="preserve">: </w:t>
      </w:r>
      <w:r>
        <w:rPr>
          <w:rStyle w:val="SpecialCharTok"/>
        </w:rPr>
        <w:t xml:space="preserve">{</w:t>
      </w:r>
      <w:r>
        <w:rPr>
          <w:rStyle w:val="NormalTok"/>
        </w:rPr>
        <w:t xml:space="preserve">policy_rate</w:t>
      </w:r>
      <w:r>
        <w:rPr>
          <w:rStyle w:val="SpecialCharTok"/>
        </w:rPr>
        <w:t xml:space="preserve">:.2%}</w:t>
      </w:r>
      <w:r>
        <w:rPr>
          <w:rStyle w:val="SpecialStringTok"/>
        </w:rPr>
        <w:t xml:space="preserve">, n=</w:t>
      </w:r>
      <w:r>
        <w:rPr>
          <w:rStyle w:val="SpecialCharTok"/>
        </w:rPr>
        <w:t xml:space="preserve">{</w:t>
      </w:r>
      <w:r>
        <w:rPr>
          <w:rStyle w:val="NormalTok"/>
        </w:rPr>
        <w:t xml:space="preserve">observations</w:t>
      </w:r>
      <w:r>
        <w:rPr>
          <w:rStyle w:val="SpecialCharTok"/>
        </w:rPr>
        <w:t xml:space="preserve">}</w:t>
      </w:r>
      <w:r>
        <w:rPr>
          <w:rStyle w:val="SpecialStringTok"/>
        </w:rPr>
        <w:t xml:space="preserve">, monthly=</w:t>
      </w:r>
      <w:r>
        <w:rPr>
          <w:rStyle w:val="SpecialCharTok"/>
        </w:rPr>
        <w:t xml:space="preserve">{</w:t>
      </w:r>
      <w:r>
        <w:rPr>
          <w:rStyle w:val="NormalTok"/>
        </w:rPr>
        <w:t xml:space="preserve">is_monthly</w:t>
      </w:r>
      <w:r>
        <w:rPr>
          <w:rStyle w:val="SpecialCharTok"/>
        </w:rPr>
        <w:t xml:space="preserve">}</w:t>
      </w:r>
      <w:r>
        <w:rPr>
          <w:rStyle w:val="SpecialStringTok"/>
        </w:rPr>
        <w:t xml:space="preserve">"</w:t>
      </w:r>
      <w:r>
        <w:rPr>
          <w:rStyle w:val="NormalTok"/>
        </w:rPr>
        <w:t xml:space="preserve">)</w:t>
      </w:r>
    </w:p>
    <w:p>
      <w:pPr>
        <w:pStyle w:val="FirstParagraph"/>
      </w:pPr>
      <w:r>
        <w:rPr>
          <w:b/>
          <w:bCs/>
        </w:rPr>
        <w:t xml:space="preserve">Verified output</w:t>
      </w:r>
    </w:p>
    <w:p>
      <w:pPr>
        <w:pStyle w:val="SourceCode"/>
        <w:keepLines/>
        <w:shd w:fill="F6F8FA" w:val="clear"/>
      </w:pPr>
      <w:r>
        <w:rPr>
          <w:rStyle w:val="VerbatimChar"/>
        </w:rPr>
        <w:t xml:space="preserve">float</w:t>
      </w:r>
      <w:r>
        <w:br/>
      </w:r>
      <w:r>
        <w:rPr>
          <w:rStyle w:val="VerbatimChar"/>
        </w:rPr>
        <w:t xml:space="preserve">Canada: 2.75%, n=120, monthly=True</w:t>
      </w:r>
    </w:p>
    <w:p>
      <w:pPr>
        <w:pStyle w:val="FirstParagraph"/>
      </w:pPr>
      <w:r>
        <w:rPr>
          <w:b/>
          <w:bCs/>
        </w:rPr>
        <w:t xml:space="preserve">Interpretation.</w:t>
      </w:r>
      <w:r>
        <w:t xml:space="preserve"> </w:t>
      </w:r>
      <w:r>
        <w:t xml:space="preserve">The format specification changes presentation, not the stored value.</w:t>
      </w:r>
    </w:p>
    <w:bookmarkEnd w:id="74"/>
    <w:bookmarkStart w:id="75" w:name="Xb3525cba5956f13c98bbd355fef99aface0f785"/>
    <w:p>
      <w:pPr>
        <w:pStyle w:val="Heading3"/>
        <w:keepNext/>
      </w:pPr>
      <w:r>
        <w:rPr>
          <w:rStyle w:val="SectionNumber"/>
          <w:rFonts w:ascii="Noto Sans" w:hAnsi="Noto Sans" w:eastAsia="Noto Sans" w:cs="Noto Sans"/>
          <w:b/>
          <w:color w:val="0A2342"/>
          <w:sz w:val="23"/>
        </w:rPr>
        <w:t xml:space="preserve">3.5.2</w:t>
      </w:r>
      <w:r>
        <w:rPr>
          <w:rFonts w:ascii="Noto Sans" w:hAnsi="Noto Sans" w:eastAsia="Noto Sans" w:cs="Noto Sans"/>
          <w:b/>
          <w:color w:val="0A2342"/>
          <w:sz w:val="23"/>
        </w:rPr>
        <w:tab/>
      </w:r>
      <w:r>
        <w:rPr>
          <w:rFonts w:ascii="Noto Sans" w:hAnsi="Noto Sans" w:eastAsia="Noto Sans" w:cs="Noto Sans"/>
          <w:b/>
          <w:color w:val="0A2342"/>
          <w:sz w:val="23"/>
        </w:rPr>
        <w:t xml:space="preserve">Demonstration 3.2: Parse and compare dates</w:t>
      </w:r>
    </w:p>
    <w:p>
      <w:pPr>
        <w:pStyle w:val="SourceCode"/>
        <w:keepLines/>
        <w:shd w:fill="F6F8FA" w:val="clear"/>
      </w:pPr>
      <w:r>
        <w:rPr>
          <w:rStyle w:val="ImportTok"/>
        </w:rPr>
        <w:t xml:space="preserve">from</w:t>
      </w:r>
      <w:r>
        <w:rPr>
          <w:rStyle w:val="NormalTok"/>
        </w:rPr>
        <w:t xml:space="preserve"> datetime </w:t>
      </w:r>
      <w:r>
        <w:rPr>
          <w:rStyle w:val="ImportTok"/>
        </w:rPr>
        <w:t xml:space="preserve">import</w:t>
      </w:r>
      <w:r>
        <w:rPr>
          <w:rStyle w:val="NormalTok"/>
        </w:rPr>
        <w:t xml:space="preserve"> date</w:t>
      </w:r>
      <w:r>
        <w:br/>
      </w:r>
      <w:r>
        <w:br/>
      </w:r>
      <w:r>
        <w:rPr>
          <w:rStyle w:val="NormalTok"/>
        </w:rPr>
        <w:t xml:space="preserve">start </w:t>
      </w:r>
      <w:r>
        <w:rPr>
          <w:rStyle w:val="OperatorTok"/>
        </w:rPr>
        <w:t xml:space="preserve">=</w:t>
      </w:r>
      <w:r>
        <w:rPr>
          <w:rStyle w:val="NormalTok"/>
        </w:rPr>
        <w:t xml:space="preserve"> date.fromisoformat(</w:t>
      </w:r>
      <w:r>
        <w:rPr>
          <w:rStyle w:val="StringTok"/>
        </w:rPr>
        <w:t xml:space="preserve">"2026-01-01"</w:t>
      </w:r>
      <w:r>
        <w:rPr>
          <w:rStyle w:val="NormalTok"/>
        </w:rPr>
        <w:t xml:space="preserve">)</w:t>
      </w:r>
      <w:r>
        <w:br/>
      </w:r>
      <w:r>
        <w:rPr>
          <w:rStyle w:val="NormalTok"/>
        </w:rPr>
        <w:t xml:space="preserve">end </w:t>
      </w:r>
      <w:r>
        <w:rPr>
          <w:rStyle w:val="OperatorTok"/>
        </w:rPr>
        <w:t xml:space="preserve">=</w:t>
      </w:r>
      <w:r>
        <w:rPr>
          <w:rStyle w:val="NormalTok"/>
        </w:rPr>
        <w:t xml:space="preserve"> date.fromisoformat(</w:t>
      </w:r>
      <w:r>
        <w:rPr>
          <w:rStyle w:val="StringTok"/>
        </w:rPr>
        <w:t xml:space="preserve">"2026-08-15"</w:t>
      </w:r>
      <w:r>
        <w:rPr>
          <w:rStyle w:val="NormalTok"/>
        </w:rPr>
        <w:t xml:space="preserve">)</w:t>
      </w:r>
      <w:r>
        <w:br/>
      </w:r>
      <w:r>
        <w:rPr>
          <w:rStyle w:val="BuiltInTok"/>
        </w:rPr>
        <w:t xml:space="preserve">print</w:t>
      </w:r>
      <w:r>
        <w:rPr>
          <w:rStyle w:val="NormalTok"/>
        </w:rPr>
        <w:t xml:space="preserve">((end </w:t>
      </w:r>
      <w:r>
        <w:rPr>
          <w:rStyle w:val="OperatorTok"/>
        </w:rPr>
        <w:t xml:space="preserve">-</w:t>
      </w:r>
      <w:r>
        <w:rPr>
          <w:rStyle w:val="NormalTok"/>
        </w:rPr>
        <w:t xml:space="preserve"> start).days)</w:t>
      </w:r>
      <w:r>
        <w:br/>
      </w:r>
      <w:r>
        <w:rPr>
          <w:rStyle w:val="BuiltInTok"/>
        </w:rPr>
        <w:t xml:space="preserve">print</w:t>
      </w:r>
      <w:r>
        <w:rPr>
          <w:rStyle w:val="NormalTok"/>
        </w:rPr>
        <w:t xml:space="preserve">(start </w:t>
      </w:r>
      <w:r>
        <w:rPr>
          <w:rStyle w:val="OperatorTok"/>
        </w:rPr>
        <w:t xml:space="preserve">&lt;</w:t>
      </w:r>
      <w:r>
        <w:rPr>
          <w:rStyle w:val="NormalTok"/>
        </w:rPr>
        <w:t xml:space="preserve"> end)</w:t>
      </w:r>
    </w:p>
    <w:p>
      <w:pPr>
        <w:pStyle w:val="FirstParagraph"/>
      </w:pPr>
      <w:r>
        <w:rPr>
          <w:b/>
          <w:bCs/>
        </w:rPr>
        <w:t xml:space="preserve">Verified output</w:t>
      </w:r>
    </w:p>
    <w:p>
      <w:pPr>
        <w:pStyle w:val="SourceCode"/>
        <w:keepLines/>
        <w:shd w:fill="F6F8FA" w:val="clear"/>
      </w:pPr>
      <w:r>
        <w:rPr>
          <w:rStyle w:val="VerbatimChar"/>
        </w:rPr>
        <w:t xml:space="preserve">226</w:t>
      </w:r>
      <w:r>
        <w:br/>
      </w:r>
      <w:r>
        <w:rPr>
          <w:rStyle w:val="VerbatimChar"/>
        </w:rPr>
        <w:t xml:space="preserve">True</w:t>
      </w:r>
    </w:p>
    <w:p>
      <w:pPr>
        <w:pStyle w:val="FirstParagraph"/>
      </w:pPr>
      <w:r>
        <w:rPr>
          <w:b/>
          <w:bCs/>
        </w:rPr>
        <w:t xml:space="preserve">Interpretation.</w:t>
      </w:r>
      <w:r>
        <w:t xml:space="preserve"> </w:t>
      </w:r>
      <w:r>
        <w:t xml:space="preserve">ISO dates avoid day-month ambiguity and support calendar arithmetic.</w:t>
      </w:r>
    </w:p>
    <w:bookmarkEnd w:id="75"/>
    <w:bookmarkEnd w:id="76"/>
    <w:bookmarkStart w:id="80" w:name="visual-evidence-2"/>
    <w:p>
      <w:pPr>
        <w:pStyle w:val="Heading2"/>
        <w:keepNext/>
      </w:pPr>
      <w:r>
        <w:rPr>
          <w:rStyle w:val="SectionNumber"/>
          <w:rFonts w:ascii="Noto Sans" w:hAnsi="Noto Sans" w:eastAsia="Noto Sans" w:cs="Noto Sans"/>
          <w:b/>
          <w:color w:val="008F87"/>
          <w:sz w:val="29"/>
        </w:rPr>
        <w:t xml:space="preserve">3.6</w:t>
      </w:r>
      <w:r>
        <w:rPr>
          <w:rFonts w:ascii="Noto Sans" w:hAnsi="Noto Sans" w:eastAsia="Noto Sans" w:cs="Noto Sans"/>
          <w:b/>
          <w:color w:val="008F87"/>
          <w:sz w:val="29"/>
        </w:rPr>
        <w:tab/>
      </w:r>
      <w:r>
        <w:rPr>
          <w:rFonts w:ascii="Noto Sans" w:hAnsi="Noto Sans" w:eastAsia="Noto Sans" w:cs="Noto Sans"/>
          <w:b/>
          <w:color w:val="008F87"/>
          <w:sz w:val="29"/>
        </w:rPr>
        <w:t xml:space="preserve">Visual evidence</w:t>
      </w:r>
    </w:p>
    <w:p>
      <w:pPr>
        <w:pStyle w:val="FirstParagraph"/>
      </w:pPr>
      <w:r>
        <w:drawing>
          <wp:inline>
            <wp:extent cx="4907280" cy="2633259"/>
            <wp:effectExtent b="0" l="0" r="0" t="0"/>
            <wp:docPr descr="Image: rId77.png" title="" id="78" name="Picture"/>
            <a:graphic>
              <a:graphicData uri="http://schemas.openxmlformats.org/drawingml/2006/picture">
                <pic:pic>
                  <pic:nvPicPr>
                    <pic:cNvPr descr="figures/fig_03_python_types.png" id="79" name="Picture"/>
                    <pic:cNvPicPr>
                      <a:picLocks noChangeArrowheads="1" noChangeAspect="1"/>
                    </pic:cNvPicPr>
                  </pic:nvPicPr>
                  <pic:blipFill>
                    <a:blip r:embed="rId77"/>
                    <a:stretch>
                      <a:fillRect/>
                    </a:stretch>
                  </pic:blipFill>
                  <pic:spPr bwMode="auto">
                    <a:xfrm>
                      <a:off x="0" y="0"/>
                      <a:ext cx="4907280" cy="2633259"/>
                    </a:xfrm>
                    <a:prstGeom prst="rect">
                      <a:avLst/>
                    </a:prstGeom>
                    <a:noFill/>
                    <a:ln w="9525">
                      <a:noFill/>
                      <a:headEnd/>
                      <a:tailEnd/>
                    </a:ln>
                  </pic:spPr>
                </pic:pic>
              </a:graphicData>
            </a:graphic>
          </wp:inline>
        </w:drawing>
      </w:r>
    </w:p>
    <w:p>
      <w:pPr>
        <w:pStyle w:val="Caption"/>
        <w:keepNext w:val="0"/>
        <w:jc w:val="center"/>
      </w:pPr>
      <w:r>
        <w:rPr>
          <w:b/>
          <w:bCs/>
        </w:rPr>
        <w:t xml:space="preserve">Figure 3.</w:t>
      </w:r>
      <w:r>
        <w:t xml:space="preserve"> </w:t>
      </w:r>
      <w:r>
        <w:t xml:space="preserve">Common Python scalar types and example values.</w:t>
      </w:r>
    </w:p>
    <w:bookmarkEnd w:id="80"/>
    <w:bookmarkStart w:id="81" w:name="reference-table-2"/>
    <w:p>
      <w:pPr>
        <w:pStyle w:val="Heading2"/>
        <w:keepNext/>
      </w:pPr>
      <w:r>
        <w:rPr>
          <w:rStyle w:val="SectionNumber"/>
          <w:rFonts w:ascii="Noto Sans" w:hAnsi="Noto Sans" w:eastAsia="Noto Sans" w:cs="Noto Sans"/>
          <w:b/>
          <w:color w:val="008F87"/>
          <w:sz w:val="29"/>
        </w:rPr>
        <w:t xml:space="preserve">3.7</w:t>
      </w:r>
      <w:r>
        <w:rPr>
          <w:rFonts w:ascii="Noto Sans" w:hAnsi="Noto Sans" w:eastAsia="Noto Sans" w:cs="Noto Sans"/>
          <w:b/>
          <w:color w:val="008F87"/>
          <w:sz w:val="29"/>
        </w:rPr>
        <w:tab/>
      </w:r>
      <w:r>
        <w:rPr>
          <w:rFonts w:ascii="Noto Sans" w:hAnsi="Noto Sans" w:eastAsia="Noto Sans" w:cs="Noto Sans"/>
          <w:b/>
          <w:color w:val="008F87"/>
          <w:sz w:val="29"/>
        </w:rPr>
        <w:t xml:space="preserve">Reference table</w:t>
      </w:r>
    </w:p>
    <w:p>
      <w:pPr>
        <w:pStyle w:val="Caption"/>
        <w:keepNext/>
        <w:jc w:val="center"/>
      </w:pPr>
      <w:r>
        <w:rPr>
          <w:b/>
          <w:bCs/>
        </w:rPr>
        <w:t xml:space="preserve">Table 3. Chapter reference.</w:t>
      </w:r>
    </w:p>
    <w:tbl>
      <w:tblPr>
        <w:tblStyle w:val="Table"/>
        <w:tblW w:type="auto" w:w="0"/>
        <w:jc w:val="center"/>
        <w:tblLayout w:type="autofit"/>
        <w:tblLook w:firstRow="1" w:lastRow="0" w:firstColumn="0" w:lastColumn="0" w:noHBand="0" w:noVBand="0" w:val="0020"/>
      </w:tblPr>
      <w:tblGrid>
        <w:gridCol w:w="2640"/>
        <w:gridCol w:w="2640"/>
        <w:gridCol w:w="2640"/>
      </w:tblGrid>
      <w:tr>
        <w:trPr>
          <w:tblHeader w:val="on"/>
          <w:tblHeader w:val="true"/>
          <w:cantSplit/>
        </w:trPr>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0A2342" w:val="clear"/>
          </w:tcPr>
          <w:p>
            <w:pPr>
              <w:pStyle w:val="Compact"/>
              <w:spacing w:before="30" w:after="30" w:line="240" w:lineRule="auto"/>
              <w:jc w:val="left"/>
            </w:pPr>
            <w:r>
              <w:rPr>
                <w:rFonts w:ascii="Noto Sans" w:hAnsi="Noto Sans" w:eastAsia="Noto Sans" w:cs="Noto Sans"/>
                <w:b/>
                <w:color w:val="FFFFFF"/>
                <w:sz w:val="16"/>
              </w:rPr>
              <w:t xml:space="preserve">Type</w:t>
            </w:r>
          </w:p>
        </w:tc>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0A2342" w:val="clear"/>
          </w:tcPr>
          <w:p>
            <w:pPr>
              <w:pStyle w:val="Compact"/>
              <w:spacing w:before="30" w:after="30" w:line="240" w:lineRule="auto"/>
              <w:jc w:val="left"/>
            </w:pPr>
            <w:r>
              <w:rPr>
                <w:rFonts w:ascii="Noto Sans" w:hAnsi="Noto Sans" w:eastAsia="Noto Sans" w:cs="Noto Sans"/>
                <w:b/>
                <w:color w:val="FFFFFF"/>
                <w:sz w:val="16"/>
              </w:rPr>
              <w:t xml:space="preserve">Example</w:t>
            </w:r>
          </w:p>
        </w:tc>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0A2342" w:val="clear"/>
          </w:tcPr>
          <w:p>
            <w:pPr>
              <w:pStyle w:val="Compact"/>
              <w:spacing w:before="30" w:after="30" w:line="240" w:lineRule="auto"/>
              <w:jc w:val="left"/>
            </w:pPr>
            <w:r>
              <w:rPr>
                <w:rFonts w:ascii="Noto Sans" w:hAnsi="Noto Sans" w:eastAsia="Noto Sans" w:cs="Noto Sans"/>
                <w:b/>
                <w:color w:val="FFFFFF"/>
                <w:sz w:val="16"/>
              </w:rPr>
              <w:t xml:space="preserve">Use</w:t>
            </w:r>
          </w:p>
        </w:tc>
      </w:tr>
      <w:tr>
        <w:trPr>
          <w:cantSplit/>
        </w:trPr>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EEF4F8" w:val="clear"/>
          </w:tcPr>
          <w:p>
            <w:pPr>
              <w:pStyle w:val="Compact"/>
              <w:spacing w:before="30" w:after="30" w:line="240" w:lineRule="auto"/>
              <w:jc w:val="left"/>
            </w:pPr>
            <w:r>
              <w:rPr>
                <w:rFonts w:ascii="Noto Sans" w:hAnsi="Noto Sans" w:eastAsia="Noto Sans" w:cs="Noto Sans"/>
                <w:b w:val="0"/>
                <w:color w:val="18212B"/>
                <w:sz w:val="16"/>
              </w:rPr>
              <w:t xml:space="preserve">int</w:t>
            </w:r>
          </w:p>
        </w:tc>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EEF4F8" w:val="clear"/>
          </w:tcPr>
          <w:p>
            <w:pPr>
              <w:pStyle w:val="Compact"/>
              <w:spacing w:before="30" w:after="30" w:line="240" w:lineRule="auto"/>
              <w:jc w:val="left"/>
            </w:pPr>
            <w:r>
              <w:rPr>
                <w:rFonts w:ascii="Noto Sans" w:hAnsi="Noto Sans" w:eastAsia="Noto Sans" w:cs="Noto Sans"/>
                <w:b w:val="0"/>
                <w:color w:val="18212B"/>
                <w:sz w:val="16"/>
              </w:rPr>
              <w:t xml:space="preserve">12</w:t>
            </w:r>
          </w:p>
        </w:tc>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EEF4F8" w:val="clear"/>
          </w:tcPr>
          <w:p>
            <w:pPr>
              <w:pStyle w:val="Compact"/>
              <w:spacing w:before="30" w:after="30" w:line="240" w:lineRule="auto"/>
              <w:jc w:val="left"/>
            </w:pPr>
            <w:r>
              <w:rPr>
                <w:rFonts w:ascii="Noto Sans" w:hAnsi="Noto Sans" w:eastAsia="Noto Sans" w:cs="Noto Sans"/>
                <w:b w:val="0"/>
                <w:color w:val="18212B"/>
                <w:sz w:val="16"/>
              </w:rPr>
              <w:t xml:space="preserve">counts and discrete quantities</w:t>
            </w:r>
          </w:p>
        </w:tc>
      </w:tr>
      <w:tr>
        <w:trPr>
          <w:cantSplit/>
        </w:trPr>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FFFFFF" w:val="clear"/>
          </w:tcPr>
          <w:p>
            <w:pPr>
              <w:pStyle w:val="Compact"/>
              <w:spacing w:before="30" w:after="30" w:line="240" w:lineRule="auto"/>
              <w:jc w:val="left"/>
            </w:pPr>
            <w:r>
              <w:rPr>
                <w:rFonts w:ascii="Noto Sans" w:hAnsi="Noto Sans" w:eastAsia="Noto Sans" w:cs="Noto Sans"/>
                <w:b w:val="0"/>
                <w:color w:val="18212B"/>
                <w:sz w:val="16"/>
              </w:rPr>
              <w:t xml:space="preserve">float</w:t>
            </w:r>
          </w:p>
        </w:tc>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FFFFFF" w:val="clear"/>
          </w:tcPr>
          <w:p>
            <w:pPr>
              <w:pStyle w:val="Compact"/>
              <w:spacing w:before="30" w:after="30" w:line="240" w:lineRule="auto"/>
              <w:jc w:val="left"/>
            </w:pPr>
            <w:r>
              <w:rPr>
                <w:rFonts w:ascii="Noto Sans" w:hAnsi="Noto Sans" w:eastAsia="Noto Sans" w:cs="Noto Sans"/>
                <w:b w:val="0"/>
                <w:color w:val="18212B"/>
                <w:sz w:val="16"/>
              </w:rPr>
              <w:t xml:space="preserve">0.045</w:t>
            </w:r>
          </w:p>
        </w:tc>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FFFFFF" w:val="clear"/>
          </w:tcPr>
          <w:p>
            <w:pPr>
              <w:pStyle w:val="Compact"/>
              <w:spacing w:before="30" w:after="30" w:line="240" w:lineRule="auto"/>
              <w:jc w:val="left"/>
            </w:pPr>
            <w:r>
              <w:rPr>
                <w:rFonts w:ascii="Noto Sans" w:hAnsi="Noto Sans" w:eastAsia="Noto Sans" w:cs="Noto Sans"/>
                <w:b w:val="0"/>
                <w:color w:val="18212B"/>
                <w:sz w:val="16"/>
              </w:rPr>
              <w:t xml:space="preserve">rates and measurements</w:t>
            </w:r>
          </w:p>
        </w:tc>
      </w:tr>
      <w:tr>
        <w:trPr>
          <w:cantSplit/>
        </w:trPr>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EEF4F8" w:val="clear"/>
          </w:tcPr>
          <w:p>
            <w:pPr>
              <w:pStyle w:val="Compact"/>
              <w:spacing w:before="30" w:after="30" w:line="240" w:lineRule="auto"/>
              <w:jc w:val="left"/>
            </w:pPr>
            <w:r>
              <w:rPr>
                <w:rFonts w:ascii="Noto Sans" w:hAnsi="Noto Sans" w:eastAsia="Noto Sans" w:cs="Noto Sans"/>
                <w:b w:val="0"/>
                <w:color w:val="18212B"/>
                <w:sz w:val="16"/>
              </w:rPr>
              <w:t xml:space="preserve">str</w:t>
            </w:r>
          </w:p>
        </w:tc>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EEF4F8" w:val="clear"/>
          </w:tcPr>
          <w:p>
            <w:pPr>
              <w:pStyle w:val="Compact"/>
              <w:spacing w:before="30" w:after="30" w:line="240" w:lineRule="auto"/>
              <w:jc w:val="left"/>
            </w:pPr>
            <w:r>
              <w:rPr>
                <w:rFonts w:ascii="Noto Sans" w:hAnsi="Noto Sans" w:eastAsia="Noto Sans" w:cs="Noto Sans"/>
                <w:b w:val="0"/>
                <w:color w:val="18212B"/>
                <w:sz w:val="16"/>
              </w:rPr>
              <w:t xml:space="preserve">“</w:t>
            </w:r>
            <w:r>
              <w:rPr>
                <w:rFonts w:ascii="Noto Sans" w:hAnsi="Noto Sans" w:eastAsia="Noto Sans" w:cs="Noto Sans"/>
                <w:b w:val="0"/>
                <w:color w:val="18212B"/>
                <w:sz w:val="16"/>
              </w:rPr>
              <w:t xml:space="preserve">Canada</w:t>
            </w:r>
            <w:r>
              <w:rPr>
                <w:rFonts w:ascii="Noto Sans" w:hAnsi="Noto Sans" w:eastAsia="Noto Sans" w:cs="Noto Sans"/>
                <w:b w:val="0"/>
                <w:color w:val="18212B"/>
                <w:sz w:val="16"/>
              </w:rPr>
              <w:t xml:space="preserve">”</w:t>
            </w:r>
          </w:p>
        </w:tc>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EEF4F8" w:val="clear"/>
          </w:tcPr>
          <w:p>
            <w:pPr>
              <w:pStyle w:val="Compact"/>
              <w:spacing w:before="30" w:after="30" w:line="240" w:lineRule="auto"/>
              <w:jc w:val="left"/>
            </w:pPr>
            <w:r>
              <w:rPr>
                <w:rFonts w:ascii="Noto Sans" w:hAnsi="Noto Sans" w:eastAsia="Noto Sans" w:cs="Noto Sans"/>
                <w:b w:val="0"/>
                <w:color w:val="18212B"/>
                <w:sz w:val="16"/>
              </w:rPr>
              <w:t xml:space="preserve">labels and identifiers</w:t>
            </w:r>
          </w:p>
        </w:tc>
      </w:tr>
      <w:tr>
        <w:trPr>
          <w:cantSplit/>
        </w:trPr>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FFFFFF" w:val="clear"/>
          </w:tcPr>
          <w:p>
            <w:pPr>
              <w:pStyle w:val="Compact"/>
              <w:spacing w:before="30" w:after="30" w:line="240" w:lineRule="auto"/>
              <w:jc w:val="left"/>
            </w:pPr>
            <w:r>
              <w:rPr>
                <w:rFonts w:ascii="Noto Sans" w:hAnsi="Noto Sans" w:eastAsia="Noto Sans" w:cs="Noto Sans"/>
                <w:b w:val="0"/>
                <w:color w:val="18212B"/>
                <w:sz w:val="16"/>
              </w:rPr>
              <w:t xml:space="preserve">bool</w:t>
            </w:r>
          </w:p>
        </w:tc>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FFFFFF" w:val="clear"/>
          </w:tcPr>
          <w:p>
            <w:pPr>
              <w:pStyle w:val="Compact"/>
              <w:spacing w:before="30" w:after="30" w:line="240" w:lineRule="auto"/>
              <w:jc w:val="left"/>
            </w:pPr>
            <w:r>
              <w:rPr>
                <w:rFonts w:ascii="Noto Sans" w:hAnsi="Noto Sans" w:eastAsia="Noto Sans" w:cs="Noto Sans"/>
                <w:b w:val="0"/>
                <w:color w:val="18212B"/>
                <w:sz w:val="16"/>
              </w:rPr>
              <w:t xml:space="preserve">True</w:t>
            </w:r>
          </w:p>
        </w:tc>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FFFFFF" w:val="clear"/>
          </w:tcPr>
          <w:p>
            <w:pPr>
              <w:pStyle w:val="Compact"/>
              <w:spacing w:before="30" w:after="30" w:line="240" w:lineRule="auto"/>
              <w:jc w:val="left"/>
            </w:pPr>
            <w:r>
              <w:rPr>
                <w:rFonts w:ascii="Noto Sans" w:hAnsi="Noto Sans" w:eastAsia="Noto Sans" w:cs="Noto Sans"/>
                <w:b w:val="0"/>
                <w:color w:val="18212B"/>
                <w:sz w:val="16"/>
              </w:rPr>
              <w:t xml:space="preserve">conditions and filters</w:t>
            </w:r>
          </w:p>
        </w:tc>
      </w:tr>
      <w:tr>
        <w:trPr>
          <w:cantSplit/>
        </w:trPr>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EEF4F8" w:val="clear"/>
          </w:tcPr>
          <w:p>
            <w:pPr>
              <w:pStyle w:val="Compact"/>
              <w:spacing w:before="30" w:after="30" w:line="240" w:lineRule="auto"/>
              <w:jc w:val="left"/>
            </w:pPr>
            <w:r>
              <w:rPr>
                <w:rFonts w:ascii="Noto Sans" w:hAnsi="Noto Sans" w:eastAsia="Noto Sans" w:cs="Noto Sans"/>
                <w:b w:val="0"/>
                <w:color w:val="18212B"/>
                <w:sz w:val="16"/>
              </w:rPr>
              <w:t xml:space="preserve">None</w:t>
            </w:r>
          </w:p>
        </w:tc>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EEF4F8" w:val="clear"/>
          </w:tcPr>
          <w:p>
            <w:pPr>
              <w:pStyle w:val="Compact"/>
              <w:spacing w:before="30" w:after="30" w:line="240" w:lineRule="auto"/>
              <w:jc w:val="left"/>
            </w:pPr>
            <w:r>
              <w:rPr>
                <w:rFonts w:ascii="Noto Sans" w:hAnsi="Noto Sans" w:eastAsia="Noto Sans" w:cs="Noto Sans"/>
                <w:b w:val="0"/>
                <w:color w:val="18212B"/>
                <w:sz w:val="16"/>
              </w:rPr>
              <w:t xml:space="preserve">None</w:t>
            </w:r>
          </w:p>
        </w:tc>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EEF4F8" w:val="clear"/>
          </w:tcPr>
          <w:p>
            <w:pPr>
              <w:pStyle w:val="Compact"/>
              <w:spacing w:before="30" w:after="30" w:line="240" w:lineRule="auto"/>
              <w:jc w:val="left"/>
            </w:pPr>
            <w:r>
              <w:rPr>
                <w:rFonts w:ascii="Noto Sans" w:hAnsi="Noto Sans" w:eastAsia="Noto Sans" w:cs="Noto Sans"/>
                <w:b w:val="0"/>
                <w:color w:val="18212B"/>
                <w:sz w:val="16"/>
              </w:rPr>
              <w:t xml:space="preserve">intentional absence</w:t>
            </w:r>
          </w:p>
        </w:tc>
      </w:tr>
      <w:tr>
        <w:trPr>
          <w:cantSplit/>
        </w:trPr>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FFFFFF" w:val="clear"/>
          </w:tcPr>
          <w:p>
            <w:pPr>
              <w:pStyle w:val="Compact"/>
              <w:spacing w:before="30" w:after="30" w:line="240" w:lineRule="auto"/>
              <w:jc w:val="left"/>
            </w:pPr>
            <w:r>
              <w:rPr>
                <w:rFonts w:ascii="Noto Sans" w:hAnsi="Noto Sans" w:eastAsia="Noto Sans" w:cs="Noto Sans"/>
                <w:b w:val="0"/>
                <w:color w:val="18212B"/>
                <w:sz w:val="16"/>
              </w:rPr>
              <w:t xml:space="preserve">datetime</w:t>
            </w:r>
          </w:p>
        </w:tc>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FFFFFF" w:val="clear"/>
          </w:tcPr>
          <w:p>
            <w:pPr>
              <w:pStyle w:val="Compact"/>
              <w:spacing w:before="30" w:after="30" w:line="240" w:lineRule="auto"/>
              <w:jc w:val="left"/>
            </w:pPr>
            <w:r>
              <w:rPr>
                <w:rFonts w:ascii="Noto Sans" w:hAnsi="Noto Sans" w:eastAsia="Noto Sans" w:cs="Noto Sans"/>
                <w:b w:val="0"/>
                <w:color w:val="18212B"/>
                <w:sz w:val="16"/>
              </w:rPr>
              <w:t xml:space="preserve">2026-08-15</w:t>
            </w:r>
          </w:p>
        </w:tc>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FFFFFF" w:val="clear"/>
          </w:tcPr>
          <w:p>
            <w:pPr>
              <w:pStyle w:val="Compact"/>
              <w:spacing w:before="30" w:after="30" w:line="240" w:lineRule="auto"/>
              <w:jc w:val="left"/>
            </w:pPr>
            <w:r>
              <w:rPr>
                <w:rFonts w:ascii="Noto Sans" w:hAnsi="Noto Sans" w:eastAsia="Noto Sans" w:cs="Noto Sans"/>
                <w:b w:val="0"/>
                <w:color w:val="18212B"/>
                <w:sz w:val="16"/>
              </w:rPr>
              <w:t xml:space="preserve">calendar operations</w:t>
            </w:r>
          </w:p>
        </w:tc>
      </w:tr>
    </w:tbl>
    <w:p>
      <w:pPr>
        <w:pStyle w:val="BlockText"/>
        <w:shd w:fill="EAF7F5" w:val="clear"/>
        <w:pBdr>
          <w:left w:val="single" w:sz="18" w:space="8" w:color="008F87"/>
        </w:pBdr>
      </w:pPr>
      <w:r>
        <w:rPr>
          <w:b/>
          <w:bCs/>
        </w:rPr>
        <w:t xml:space="preserve">Why This Matters</w:t>
      </w:r>
    </w:p>
    <w:p>
      <w:pPr>
        <w:pStyle w:val="BlockText"/>
        <w:shd w:fill="EAF7F5" w:val="clear"/>
        <w:pBdr>
          <w:left w:val="single" w:sz="18" w:space="8" w:color="008F87"/>
        </w:pBdr>
      </w:pPr>
      <w:r>
        <w:t xml:space="preserve">Correct types prevent quiet errors in sorting, aggregation, filtering, and model construction.</w:t>
      </w:r>
    </w:p>
    <w:p>
      <w:pPr>
        <w:pStyle w:val="BlockText"/>
        <w:shd w:fill="EAF7F5" w:val="clear"/>
        <w:pBdr>
          <w:left w:val="single" w:sz="18" w:space="8" w:color="008F87"/>
        </w:pBdr>
      </w:pPr>
      <w:r>
        <w:rPr>
          <w:b/>
          <w:bCs/>
        </w:rPr>
        <w:t xml:space="preserve">Common Mistake</w:t>
      </w:r>
    </w:p>
    <w:p>
      <w:pPr>
        <w:pStyle w:val="BlockText"/>
        <w:shd w:fill="EAF7F5" w:val="clear"/>
        <w:pBdr>
          <w:left w:val="single" w:sz="18" w:space="8" w:color="008F87"/>
        </w:pBdr>
      </w:pPr>
      <w:r>
        <w:t xml:space="preserve">Using a numeric-looking identifier, such as a postal code, as a number. Leading zeros and categorical meaning may be lost.</w:t>
      </w:r>
    </w:p>
    <w:p>
      <w:pPr>
        <w:pStyle w:val="BlockText"/>
        <w:shd w:fill="EAF7F5" w:val="clear"/>
        <w:pBdr>
          <w:left w:val="single" w:sz="18" w:space="8" w:color="008F87"/>
        </w:pBdr>
      </w:pPr>
      <w:r>
        <w:rPr>
          <w:b/>
          <w:bCs/>
        </w:rPr>
        <w:t xml:space="preserve">Ceteris LAB Tip</w:t>
      </w:r>
    </w:p>
    <w:p>
      <w:pPr>
        <w:pStyle w:val="BlockText"/>
        <w:shd w:fill="EAF7F5" w:val="clear"/>
        <w:pBdr>
          <w:left w:val="single" w:sz="18" w:space="8" w:color="008F87"/>
        </w:pBdr>
      </w:pPr>
      <w:r>
        <w:t xml:space="preserve">Inspect</w:t>
      </w:r>
      <w:r>
        <w:t xml:space="preserve"> </w:t>
      </w:r>
      <w:r>
        <w:rPr>
          <w:rStyle w:val="VerbatimChar"/>
        </w:rPr>
        <w:t xml:space="preserve">type(value)</w:t>
      </w:r>
      <w:r>
        <w:t xml:space="preserve"> </w:t>
      </w:r>
      <w:r>
        <w:t xml:space="preserve">when an operator behaves strangely. The error often belongs to the input type, not the formula.</w:t>
      </w:r>
    </w:p>
    <w:p>
      <w:pPr>
        <w:pStyle w:val="BlockText"/>
        <w:shd w:fill="EAF7F5" w:val="clear"/>
        <w:pBdr>
          <w:left w:val="single" w:sz="18" w:space="8" w:color="008F87"/>
        </w:pBdr>
      </w:pPr>
      <w:r>
        <w:rPr>
          <w:b/>
          <w:bCs/>
        </w:rPr>
        <w:t xml:space="preserve">R-to-Python / Source Bridge</w:t>
      </w:r>
    </w:p>
    <w:p>
      <w:pPr>
        <w:pStyle w:val="BlockText"/>
        <w:shd w:fill="EAF7F5" w:val="clear"/>
        <w:pBdr>
          <w:left w:val="single" w:sz="18" w:space="8" w:color="008F87"/>
        </w:pBdr>
      </w:pPr>
      <w:r>
        <w:t xml:space="preserve">The introductory source material used R assignments and raw numeric dates. This chapter preserves the idea of named objects while adding explicit type and calendar discipline.</w:t>
      </w:r>
    </w:p>
    <w:bookmarkEnd w:id="81"/>
    <w:bookmarkStart w:id="82" w:name="guided-practice-2"/>
    <w:p>
      <w:pPr>
        <w:pStyle w:val="Heading2"/>
        <w:keepNext/>
      </w:pPr>
      <w:r>
        <w:rPr>
          <w:rStyle w:val="SectionNumber"/>
          <w:rFonts w:ascii="Noto Sans" w:hAnsi="Noto Sans" w:eastAsia="Noto Sans" w:cs="Noto Sans"/>
          <w:b/>
          <w:color w:val="008F87"/>
          <w:sz w:val="29"/>
        </w:rPr>
        <w:t xml:space="preserve">3.8</w:t>
      </w:r>
      <w:r>
        <w:rPr>
          <w:rFonts w:ascii="Noto Sans" w:hAnsi="Noto Sans" w:eastAsia="Noto Sans" w:cs="Noto Sans"/>
          <w:b/>
          <w:color w:val="008F87"/>
          <w:sz w:val="29"/>
        </w:rPr>
        <w:tab/>
      </w:r>
      <w:r>
        <w:rPr>
          <w:rFonts w:ascii="Noto Sans" w:hAnsi="Noto Sans" w:eastAsia="Noto Sans" w:cs="Noto Sans"/>
          <w:b/>
          <w:color w:val="008F87"/>
          <w:sz w:val="29"/>
        </w:rPr>
        <w:t xml:space="preserve">Guided practice</w:t>
      </w:r>
    </w:p>
    <w:p>
      <w:pPr>
        <w:pStyle w:val="Compact"/>
        <w:numPr>
          <w:ilvl w:val="0"/>
          <w:numId w:val="1012"/>
        </w:numPr>
      </w:pPr>
      <w:r>
        <w:t xml:space="preserve">Re-run Demonstration 3.1 and change one input while keeping the analytical question fixed.</w:t>
      </w:r>
    </w:p>
    <w:p>
      <w:pPr>
        <w:pStyle w:val="Compact"/>
        <w:numPr>
          <w:ilvl w:val="0"/>
          <w:numId w:val="1012"/>
        </w:numPr>
      </w:pPr>
      <w:r>
        <w:t xml:space="preserve">Explain in two sentences how the output supports, or fails to support, the chapter opening question.</w:t>
      </w:r>
    </w:p>
    <w:p>
      <w:pPr>
        <w:pStyle w:val="Compact"/>
        <w:numPr>
          <w:ilvl w:val="0"/>
          <w:numId w:val="1012"/>
        </w:numPr>
      </w:pPr>
      <w:r>
        <w:t xml:space="preserve">Add one validation check that would prevent a plausible error.</w:t>
      </w:r>
    </w:p>
    <w:bookmarkEnd w:id="82"/>
    <w:bookmarkStart w:id="83" w:name="exercises-2"/>
    <w:p>
      <w:pPr>
        <w:pStyle w:val="Heading2"/>
        <w:keepNext/>
      </w:pPr>
      <w:r>
        <w:rPr>
          <w:rStyle w:val="SectionNumber"/>
          <w:rFonts w:ascii="Noto Sans" w:hAnsi="Noto Sans" w:eastAsia="Noto Sans" w:cs="Noto Sans"/>
          <w:b/>
          <w:color w:val="008F87"/>
          <w:sz w:val="29"/>
        </w:rPr>
        <w:t xml:space="preserve">3.9</w:t>
      </w:r>
      <w:r>
        <w:rPr>
          <w:rFonts w:ascii="Noto Sans" w:hAnsi="Noto Sans" w:eastAsia="Noto Sans" w:cs="Noto Sans"/>
          <w:b/>
          <w:color w:val="008F87"/>
          <w:sz w:val="29"/>
        </w:rPr>
        <w:tab/>
      </w:r>
      <w:r>
        <w:rPr>
          <w:rFonts w:ascii="Noto Sans" w:hAnsi="Noto Sans" w:eastAsia="Noto Sans" w:cs="Noto Sans"/>
          <w:b/>
          <w:color w:val="008F87"/>
          <w:sz w:val="29"/>
        </w:rPr>
        <w:t xml:space="preserve">Exercises</w:t>
      </w:r>
    </w:p>
    <w:p>
      <w:pPr>
        <w:pStyle w:val="Compact"/>
        <w:numPr>
          <w:ilvl w:val="0"/>
          <w:numId w:val="1013"/>
        </w:numPr>
      </w:pPr>
      <w:r>
        <w:t xml:space="preserve">Create variables for a bond price, maturity year, issuer name, and default flag.</w:t>
      </w:r>
    </w:p>
    <w:p>
      <w:pPr>
        <w:pStyle w:val="Compact"/>
        <w:numPr>
          <w:ilvl w:val="0"/>
          <w:numId w:val="1013"/>
        </w:numPr>
      </w:pPr>
      <w:r>
        <w:t xml:space="preserve">Convert the string</w:t>
      </w:r>
      <w:r>
        <w:t xml:space="preserve"> </w:t>
      </w:r>
      <w:r>
        <w:t xml:space="preserve">“</w:t>
      </w:r>
      <w:r>
        <w:t xml:space="preserve">3.25</w:t>
      </w:r>
      <w:r>
        <w:t xml:space="preserve">”</w:t>
      </w:r>
      <w:r>
        <w:t xml:space="preserve"> </w:t>
      </w:r>
      <w:r>
        <w:t xml:space="preserve">to a float and divide it by 100.</w:t>
      </w:r>
    </w:p>
    <w:p>
      <w:pPr>
        <w:pStyle w:val="Compact"/>
        <w:numPr>
          <w:ilvl w:val="0"/>
          <w:numId w:val="1013"/>
        </w:numPr>
      </w:pPr>
      <w:r>
        <w:t xml:space="preserve">Format 1234567.891 as currency with commas and two decimals.</w:t>
      </w:r>
    </w:p>
    <w:p>
      <w:pPr>
        <w:pStyle w:val="Compact"/>
        <w:numPr>
          <w:ilvl w:val="0"/>
          <w:numId w:val="1013"/>
        </w:numPr>
      </w:pPr>
      <w:r>
        <w:t xml:space="preserve">Calculate the days between two ISO dates.</w:t>
      </w:r>
    </w:p>
    <w:bookmarkEnd w:id="83"/>
    <w:bookmarkStart w:id="84" w:name="chapter-summary-2"/>
    <w:p>
      <w:pPr>
        <w:pStyle w:val="Heading2"/>
        <w:keepNext/>
      </w:pPr>
      <w:r>
        <w:rPr>
          <w:rStyle w:val="SectionNumber"/>
          <w:rFonts w:ascii="Noto Sans" w:hAnsi="Noto Sans" w:eastAsia="Noto Sans" w:cs="Noto Sans"/>
          <w:b/>
          <w:color w:val="008F87"/>
          <w:sz w:val="29"/>
        </w:rPr>
        <w:t xml:space="preserve">3.10</w:t>
      </w:r>
      <w:r>
        <w:rPr>
          <w:rFonts w:ascii="Noto Sans" w:hAnsi="Noto Sans" w:eastAsia="Noto Sans" w:cs="Noto Sans"/>
          <w:b/>
          <w:color w:val="008F87"/>
          <w:sz w:val="29"/>
        </w:rPr>
        <w:tab/>
      </w:r>
      <w:r>
        <w:rPr>
          <w:rFonts w:ascii="Noto Sans" w:hAnsi="Noto Sans" w:eastAsia="Noto Sans" w:cs="Noto Sans"/>
          <w:b/>
          <w:color w:val="008F87"/>
          <w:sz w:val="29"/>
        </w:rPr>
        <w:t xml:space="preserve">Chapter summary</w:t>
      </w:r>
    </w:p>
    <w:p>
      <w:pPr>
        <w:pStyle w:val="Compact"/>
        <w:numPr>
          <w:ilvl w:val="0"/>
          <w:numId w:val="1014"/>
        </w:numPr>
      </w:pPr>
      <w:r>
        <w:t xml:space="preserve">Variables name objects; types determine valid operations.</w:t>
      </w:r>
    </w:p>
    <w:p>
      <w:pPr>
        <w:pStyle w:val="Compact"/>
        <w:numPr>
          <w:ilvl w:val="0"/>
          <w:numId w:val="1014"/>
        </w:numPr>
      </w:pPr>
      <w:r>
        <w:t xml:space="preserve">Formatting controls display without changing the underlying value.</w:t>
      </w:r>
    </w:p>
    <w:p>
      <w:pPr>
        <w:pStyle w:val="Compact"/>
        <w:numPr>
          <w:ilvl w:val="0"/>
          <w:numId w:val="1014"/>
        </w:numPr>
      </w:pPr>
      <w:r>
        <w:t xml:space="preserve">Dates should be parsed explicitly and documented.</w:t>
      </w:r>
    </w:p>
    <w:bookmarkEnd w:id="84"/>
    <w:bookmarkStart w:id="85" w:name="key-python-commands-2"/>
    <w:p>
      <w:pPr>
        <w:pStyle w:val="Heading2"/>
        <w:keepNext/>
      </w:pPr>
      <w:r>
        <w:rPr>
          <w:rStyle w:val="SectionNumber"/>
          <w:rFonts w:ascii="Noto Sans" w:hAnsi="Noto Sans" w:eastAsia="Noto Sans" w:cs="Noto Sans"/>
          <w:b/>
          <w:color w:val="008F87"/>
          <w:sz w:val="29"/>
        </w:rPr>
        <w:t xml:space="preserve">3.11</w:t>
      </w:r>
      <w:r>
        <w:rPr>
          <w:rFonts w:ascii="Noto Sans" w:hAnsi="Noto Sans" w:eastAsia="Noto Sans" w:cs="Noto Sans"/>
          <w:b/>
          <w:color w:val="008F87"/>
          <w:sz w:val="29"/>
        </w:rPr>
        <w:tab/>
      </w:r>
      <w:r>
        <w:rPr>
          <w:rFonts w:ascii="Noto Sans" w:hAnsi="Noto Sans" w:eastAsia="Noto Sans" w:cs="Noto Sans"/>
          <w:b/>
          <w:color w:val="008F87"/>
          <w:sz w:val="29"/>
        </w:rPr>
        <w:t xml:space="preserve">Key Python commands</w:t>
      </w:r>
    </w:p>
    <w:p>
      <w:pPr>
        <w:pStyle w:val="SourceCode"/>
        <w:shd w:fill="F6F8FA" w:val="clear"/>
      </w:pPr>
      <w:r>
        <w:rPr>
          <w:rStyle w:val="BuiltInTok"/>
        </w:rPr>
        <w:t xml:space="preserve">print</w:t>
      </w:r>
      <w:r>
        <w:rPr>
          <w:rStyle w:val="NormalTok"/>
        </w:rPr>
        <w:t xml:space="preserve">(</w:t>
      </w:r>
      <w:r>
        <w:rPr>
          <w:rStyle w:val="BuiltInTok"/>
        </w:rPr>
        <w:t xml:space="preserve">type</w:t>
      </w:r>
      <w:r>
        <w:rPr>
          <w:rStyle w:val="NormalTok"/>
        </w:rPr>
        <w:t xml:space="preserve">(policy_rate).</w:t>
      </w:r>
      <w:r>
        <w:rPr>
          <w:rStyle w:val="VariableTok"/>
        </w:rPr>
        <w:t xml:space="preserve">__name__</w:t>
      </w:r>
      <w:r>
        <w:rPr>
          <w:rStyle w:val="NormalTok"/>
        </w:rPr>
        <w:t xml:space="preserve">)</w:t>
      </w:r>
      <w:r>
        <w:br/>
      </w:r>
      <w:r>
        <w:rPr>
          <w:rStyle w:val="BuiltInTok"/>
        </w:rPr>
        <w:t xml:space="preserve">print</w:t>
      </w:r>
      <w:r>
        <w:rPr>
          <w:rStyle w:val="NormalTok"/>
        </w:rPr>
        <w:t xml:space="preserve">(</w:t>
      </w:r>
      <w:r>
        <w:rPr>
          <w:rStyle w:val="SpecialStringTok"/>
        </w:rPr>
        <w:t xml:space="preserve">f"</w:t>
      </w:r>
      <w:r>
        <w:rPr>
          <w:rStyle w:val="SpecialCharTok"/>
        </w:rPr>
        <w:t xml:space="preserve">{</w:t>
      </w:r>
      <w:r>
        <w:rPr>
          <w:rStyle w:val="NormalTok"/>
        </w:rPr>
        <w:t xml:space="preserve">country</w:t>
      </w:r>
      <w:r>
        <w:rPr>
          <w:rStyle w:val="SpecialCharTok"/>
        </w:rPr>
        <w:t xml:space="preserve">}</w:t>
      </w:r>
      <w:r>
        <w:rPr>
          <w:rStyle w:val="SpecialStringTok"/>
        </w:rPr>
        <w:t xml:space="preserve">: </w:t>
      </w:r>
      <w:r>
        <w:rPr>
          <w:rStyle w:val="SpecialCharTok"/>
        </w:rPr>
        <w:t xml:space="preserve">{</w:t>
      </w:r>
      <w:r>
        <w:rPr>
          <w:rStyle w:val="NormalTok"/>
        </w:rPr>
        <w:t xml:space="preserve">policy_rate</w:t>
      </w:r>
      <w:r>
        <w:rPr>
          <w:rStyle w:val="SpecialCharTok"/>
        </w:rPr>
        <w:t xml:space="preserve">:.2%}</w:t>
      </w:r>
      <w:r>
        <w:rPr>
          <w:rStyle w:val="SpecialStringTok"/>
        </w:rPr>
        <w:t xml:space="preserve">, n=</w:t>
      </w:r>
      <w:r>
        <w:rPr>
          <w:rStyle w:val="SpecialCharTok"/>
        </w:rPr>
        <w:t xml:space="preserve">{</w:t>
      </w:r>
      <w:r>
        <w:rPr>
          <w:rStyle w:val="NormalTok"/>
        </w:rPr>
        <w:t xml:space="preserve">observations</w:t>
      </w:r>
      <w:r>
        <w:rPr>
          <w:rStyle w:val="SpecialCharTok"/>
        </w:rPr>
        <w:t xml:space="preserve">}</w:t>
      </w:r>
      <w:r>
        <w:rPr>
          <w:rStyle w:val="SpecialStringTok"/>
        </w:rPr>
        <w:t xml:space="preserve">, monthly=</w:t>
      </w:r>
      <w:r>
        <w:rPr>
          <w:rStyle w:val="SpecialCharTok"/>
        </w:rPr>
        <w:t xml:space="preserve">{</w:t>
      </w:r>
      <w:r>
        <w:rPr>
          <w:rStyle w:val="NormalTok"/>
        </w:rPr>
        <w:t xml:space="preserve">is_monthly</w:t>
      </w:r>
      <w:r>
        <w:rPr>
          <w:rStyle w:val="SpecialCharTok"/>
        </w:rPr>
        <w:t xml:space="preserve">}</w:t>
      </w:r>
      <w:r>
        <w:rPr>
          <w:rStyle w:val="SpecialStringTok"/>
        </w:rPr>
        <w:t xml:space="preserve">"</w:t>
      </w:r>
      <w:r>
        <w:rPr>
          <w:rStyle w:val="NormalTok"/>
        </w:rPr>
        <w:t xml:space="preserve">)</w:t>
      </w:r>
      <w:r>
        <w:br/>
      </w:r>
      <w:r>
        <w:rPr>
          <w:rStyle w:val="ImportTok"/>
        </w:rPr>
        <w:t xml:space="preserve">from</w:t>
      </w:r>
      <w:r>
        <w:rPr>
          <w:rStyle w:val="NormalTok"/>
        </w:rPr>
        <w:t xml:space="preserve"> datetime </w:t>
      </w:r>
      <w:r>
        <w:rPr>
          <w:rStyle w:val="ImportTok"/>
        </w:rPr>
        <w:t xml:space="preserve">import</w:t>
      </w:r>
      <w:r>
        <w:rPr>
          <w:rStyle w:val="NormalTok"/>
        </w:rPr>
        <w:t xml:space="preserve"> date</w:t>
      </w:r>
      <w:r>
        <w:br/>
      </w:r>
      <w:r>
        <w:rPr>
          <w:rStyle w:val="NormalTok"/>
        </w:rPr>
        <w:t xml:space="preserve">start </w:t>
      </w:r>
      <w:r>
        <w:rPr>
          <w:rStyle w:val="OperatorTok"/>
        </w:rPr>
        <w:t xml:space="preserve">=</w:t>
      </w:r>
      <w:r>
        <w:rPr>
          <w:rStyle w:val="NormalTok"/>
        </w:rPr>
        <w:t xml:space="preserve"> date.fromisoformat(</w:t>
      </w:r>
      <w:r>
        <w:rPr>
          <w:rStyle w:val="StringTok"/>
        </w:rPr>
        <w:t xml:space="preserve">"2026-01-01"</w:t>
      </w:r>
      <w:r>
        <w:rPr>
          <w:rStyle w:val="NormalTok"/>
        </w:rPr>
        <w:t xml:space="preserve">)</w:t>
      </w:r>
      <w:r>
        <w:br/>
      </w:r>
      <w:r>
        <w:rPr>
          <w:rStyle w:val="NormalTok"/>
        </w:rPr>
        <w:t xml:space="preserve">end </w:t>
      </w:r>
      <w:r>
        <w:rPr>
          <w:rStyle w:val="OperatorTok"/>
        </w:rPr>
        <w:t xml:space="preserve">=</w:t>
      </w:r>
      <w:r>
        <w:rPr>
          <w:rStyle w:val="NormalTok"/>
        </w:rPr>
        <w:t xml:space="preserve"> date.fromisoformat(</w:t>
      </w:r>
      <w:r>
        <w:rPr>
          <w:rStyle w:val="StringTok"/>
        </w:rPr>
        <w:t xml:space="preserve">"2026-08-15"</w:t>
      </w:r>
      <w:r>
        <w:rPr>
          <w:rStyle w:val="NormalTok"/>
        </w:rPr>
        <w:t xml:space="preserve">)</w:t>
      </w:r>
      <w:r>
        <w:br/>
      </w:r>
      <w:r>
        <w:rPr>
          <w:rStyle w:val="BuiltInTok"/>
        </w:rPr>
        <w:t xml:space="preserve">print</w:t>
      </w:r>
      <w:r>
        <w:rPr>
          <w:rStyle w:val="NormalTok"/>
        </w:rPr>
        <w:t xml:space="preserve">((end </w:t>
      </w:r>
      <w:r>
        <w:rPr>
          <w:rStyle w:val="OperatorTok"/>
        </w:rPr>
        <w:t xml:space="preserve">-</w:t>
      </w:r>
      <w:r>
        <w:rPr>
          <w:rStyle w:val="NormalTok"/>
        </w:rPr>
        <w:t xml:space="preserve"> start).days)</w:t>
      </w:r>
    </w:p>
    <w:bookmarkEnd w:id="85"/>
    <w:bookmarkEnd w:id="86"/>
    <w:bookmarkStart w:id="103" w:name="collections-indexing-and-slicing"/>
    <w:p>
      <w:pPr>
        <w:pStyle w:val="Heading1"/>
        <w:keepNext/>
        <w:pageBreakBefore/>
      </w:pPr>
      <w:r>
        <w:rPr>
          <w:rStyle w:val="SectionNumber"/>
          <w:rFonts w:ascii="Noto Sans" w:hAnsi="Noto Sans" w:eastAsia="Noto Sans" w:cs="Noto Sans"/>
          <w:b/>
          <w:color w:val="0A2342"/>
          <w:sz w:val="43"/>
        </w:rPr>
        <w:t xml:space="preserve">4</w:t>
      </w:r>
      <w:r>
        <w:rPr>
          <w:rFonts w:ascii="Noto Sans" w:hAnsi="Noto Sans" w:eastAsia="Noto Sans" w:cs="Noto Sans"/>
          <w:b/>
          <w:color w:val="0A2342"/>
          <w:sz w:val="43"/>
        </w:rPr>
        <w:tab/>
      </w:r>
      <w:r>
        <w:rPr>
          <w:rFonts w:ascii="Noto Sans" w:hAnsi="Noto Sans" w:eastAsia="Noto Sans" w:cs="Noto Sans"/>
          <w:b/>
          <w:color w:val="0A2342"/>
          <w:sz w:val="43"/>
        </w:rPr>
        <w:t xml:space="preserve">Collections, Indexing, and Slicing</w:t>
      </w:r>
    </w:p>
    <w:p>
      <w:pPr>
        <w:pStyle w:val="FirstParagraph"/>
      </w:pPr>
      <w:r>
        <w:rPr>
          <w:i/>
          <w:iCs/>
        </w:rPr>
        <w:t xml:space="preserve">Opening question:</w:t>
      </w:r>
      <w:r>
        <w:t xml:space="preserve"> </w:t>
      </w:r>
      <w:r>
        <w:rPr>
          <w:b/>
          <w:bCs/>
        </w:rPr>
        <w:t xml:space="preserve">How should related values be organized so that the structure communicates what operations are legitimate?</w:t>
      </w:r>
    </w:p>
    <w:bookmarkStart w:id="87" w:name="learning-objectives-3"/>
    <w:p>
      <w:pPr>
        <w:pStyle w:val="Heading2"/>
        <w:keepNext/>
      </w:pPr>
      <w:r>
        <w:rPr>
          <w:rStyle w:val="SectionNumber"/>
          <w:rFonts w:ascii="Noto Sans" w:hAnsi="Noto Sans" w:eastAsia="Noto Sans" w:cs="Noto Sans"/>
          <w:b/>
          <w:color w:val="008F87"/>
          <w:sz w:val="29"/>
        </w:rPr>
        <w:t xml:space="preserve">4.1</w:t>
      </w:r>
      <w:r>
        <w:rPr>
          <w:rFonts w:ascii="Noto Sans" w:hAnsi="Noto Sans" w:eastAsia="Noto Sans" w:cs="Noto Sans"/>
          <w:b/>
          <w:color w:val="008F87"/>
          <w:sz w:val="29"/>
        </w:rPr>
        <w:tab/>
      </w:r>
      <w:r>
        <w:rPr>
          <w:rFonts w:ascii="Noto Sans" w:hAnsi="Noto Sans" w:eastAsia="Noto Sans" w:cs="Noto Sans"/>
          <w:b/>
          <w:color w:val="008F87"/>
          <w:sz w:val="29"/>
        </w:rPr>
        <w:t xml:space="preserve">Learning objectives</w:t>
      </w:r>
    </w:p>
    <w:p>
      <w:pPr>
        <w:pStyle w:val="Compact"/>
        <w:numPr>
          <w:ilvl w:val="0"/>
          <w:numId w:val="1015"/>
        </w:numPr>
      </w:pPr>
      <w:r>
        <w:t xml:space="preserve">Use lists, tuples, dictionaries, and sets.</w:t>
      </w:r>
    </w:p>
    <w:p>
      <w:pPr>
        <w:pStyle w:val="Compact"/>
        <w:numPr>
          <w:ilvl w:val="0"/>
          <w:numId w:val="1015"/>
        </w:numPr>
      </w:pPr>
      <w:r>
        <w:t xml:space="preserve">Index and slice ordered collections.</w:t>
      </w:r>
    </w:p>
    <w:p>
      <w:pPr>
        <w:pStyle w:val="Compact"/>
        <w:numPr>
          <w:ilvl w:val="0"/>
          <w:numId w:val="1015"/>
        </w:numPr>
      </w:pPr>
      <w:r>
        <w:t xml:space="preserve">Build nested structures.</w:t>
      </w:r>
    </w:p>
    <w:p>
      <w:pPr>
        <w:pStyle w:val="Compact"/>
        <w:numPr>
          <w:ilvl w:val="0"/>
          <w:numId w:val="1015"/>
        </w:numPr>
      </w:pPr>
      <w:r>
        <w:t xml:space="preserve">Choose a collection based on meaning rather than habit.</w:t>
      </w:r>
    </w:p>
    <w:p>
      <w:pPr>
        <w:pStyle w:val="FirstParagraph"/>
      </w:pPr>
      <w:r>
        <w:rPr>
          <w:b/>
          <w:bCs/>
        </w:rPr>
        <w:t xml:space="preserve">Prerequisites:</w:t>
      </w:r>
      <w:r>
        <w:t xml:space="preserve"> </w:t>
      </w:r>
      <w:r>
        <w:t xml:space="preserve">Chapter 3.</w:t>
      </w:r>
    </w:p>
    <w:p>
      <w:pPr>
        <w:pStyle w:val="BodyText"/>
      </w:pPr>
      <w:r>
        <w:rPr>
          <w:b/>
          <w:bCs/>
        </w:rPr>
        <w:t xml:space="preserve">Key terms:</w:t>
      </w:r>
      <w:r>
        <w:t xml:space="preserve"> </w:t>
      </w:r>
      <w:r>
        <w:t xml:space="preserve">list, tuple, dictionary, set, index, slice.</w:t>
      </w:r>
    </w:p>
    <w:bookmarkEnd w:id="87"/>
    <w:bookmarkStart w:id="88" w:name="four-structures-four-promises"/>
    <w:p>
      <w:pPr>
        <w:pStyle w:val="Heading2"/>
        <w:keepNext/>
      </w:pPr>
      <w:r>
        <w:rPr>
          <w:rStyle w:val="SectionNumber"/>
          <w:rFonts w:ascii="Noto Sans" w:hAnsi="Noto Sans" w:eastAsia="Noto Sans" w:cs="Noto Sans"/>
          <w:b/>
          <w:color w:val="008F87"/>
          <w:sz w:val="29"/>
        </w:rPr>
        <w:t xml:space="preserve">4.2</w:t>
      </w:r>
      <w:r>
        <w:rPr>
          <w:rFonts w:ascii="Noto Sans" w:hAnsi="Noto Sans" w:eastAsia="Noto Sans" w:cs="Noto Sans"/>
          <w:b/>
          <w:color w:val="008F87"/>
          <w:sz w:val="29"/>
        </w:rPr>
        <w:tab/>
      </w:r>
      <w:r>
        <w:rPr>
          <w:rFonts w:ascii="Noto Sans" w:hAnsi="Noto Sans" w:eastAsia="Noto Sans" w:cs="Noto Sans"/>
          <w:b/>
          <w:color w:val="008F87"/>
          <w:sz w:val="29"/>
        </w:rPr>
        <w:t xml:space="preserve">Four structures, four promises</w:t>
      </w:r>
    </w:p>
    <w:p>
      <w:pPr>
        <w:pStyle w:val="FirstParagraph"/>
      </w:pPr>
      <w:r>
        <w:t xml:space="preserve">A list promises order and permits change. A tuple promises order and is normally treated as fixed. A dictionary maps unique keys to values. A set stores unique elements without meaningful position. These distinctions are analytical: a portfolio of ticker weights is naturally a dictionary, a fixed coordinate may be a tuple, and a sequence of monthly returns is a list until it becomes a NumPy array or pandas Series.</w:t>
      </w:r>
    </w:p>
    <w:bookmarkEnd w:id="88"/>
    <w:bookmarkStart w:id="89" w:name="Xbbfa361e5d124700ea960101af74576c2aeefe7"/>
    <w:p>
      <w:pPr>
        <w:pStyle w:val="Heading2"/>
        <w:keepNext/>
      </w:pPr>
      <w:r>
        <w:rPr>
          <w:rStyle w:val="SectionNumber"/>
          <w:rFonts w:ascii="Noto Sans" w:hAnsi="Noto Sans" w:eastAsia="Noto Sans" w:cs="Noto Sans"/>
          <w:b/>
          <w:color w:val="008F87"/>
          <w:sz w:val="29"/>
        </w:rPr>
        <w:t xml:space="preserve">4.3</w:t>
      </w:r>
      <w:r>
        <w:rPr>
          <w:rFonts w:ascii="Noto Sans" w:hAnsi="Noto Sans" w:eastAsia="Noto Sans" w:cs="Noto Sans"/>
          <w:b/>
          <w:color w:val="008F87"/>
          <w:sz w:val="29"/>
        </w:rPr>
        <w:tab/>
      </w:r>
      <w:r>
        <w:rPr>
          <w:rFonts w:ascii="Noto Sans" w:hAnsi="Noto Sans" w:eastAsia="Noto Sans" w:cs="Noto Sans"/>
          <w:b/>
          <w:color w:val="008F87"/>
          <w:sz w:val="29"/>
        </w:rPr>
        <w:t xml:space="preserve">Indexing is positional, slicing is a window</w:t>
      </w:r>
    </w:p>
    <w:p>
      <w:pPr>
        <w:pStyle w:val="FirstParagraph"/>
      </w:pPr>
      <w:r>
        <w:t xml:space="preserve">Python begins indexing at zero. The first element is therefore position 0, while</w:t>
      </w:r>
      <w:r>
        <w:t xml:space="preserve"> </w:t>
      </w:r>
      <w:r>
        <w:rPr>
          <w:rStyle w:val="VerbatimChar"/>
        </w:rPr>
        <w:t xml:space="preserve">-1</w:t>
      </w:r>
      <w:r>
        <w:t xml:space="preserve"> </w:t>
      </w:r>
      <w:r>
        <w:t xml:space="preserve">means the last element. Slices use a half-open interval: the starting position is included and the stopping position is excluded. That design makes lengths predictable, because</w:t>
      </w:r>
      <w:r>
        <w:t xml:space="preserve"> </w:t>
      </w:r>
      <w:r>
        <w:rPr>
          <w:rStyle w:val="VerbatimChar"/>
        </w:rPr>
        <w:t xml:space="preserve">values[a:b]</w:t>
      </w:r>
      <w:r>
        <w:t xml:space="preserve"> </w:t>
      </w:r>
      <w:r>
        <w:t xml:space="preserve">contains</w:t>
      </w:r>
      <w:r>
        <w:t xml:space="preserve"> </w:t>
      </w:r>
      <w:r>
        <w:rPr>
          <w:rStyle w:val="VerbatimChar"/>
        </w:rPr>
        <w:t xml:space="preserve">b-a</w:t>
      </w:r>
      <w:r>
        <w:t xml:space="preserve"> </w:t>
      </w:r>
      <w:r>
        <w:t xml:space="preserve">positions when the bounds are valid. The same convention appears in strings, arrays, and many pandas operations.</w:t>
      </w:r>
    </w:p>
    <w:bookmarkEnd w:id="89"/>
    <w:bookmarkStart w:id="90" w:name="comprehensions-compress-a-transformation"/>
    <w:p>
      <w:pPr>
        <w:pStyle w:val="Heading2"/>
        <w:keepNext/>
      </w:pPr>
      <w:r>
        <w:rPr>
          <w:rStyle w:val="SectionNumber"/>
          <w:rFonts w:ascii="Noto Sans" w:hAnsi="Noto Sans" w:eastAsia="Noto Sans" w:cs="Noto Sans"/>
          <w:b/>
          <w:color w:val="008F87"/>
          <w:sz w:val="29"/>
        </w:rPr>
        <w:t xml:space="preserve">4.4</w:t>
      </w:r>
      <w:r>
        <w:rPr>
          <w:rFonts w:ascii="Noto Sans" w:hAnsi="Noto Sans" w:eastAsia="Noto Sans" w:cs="Noto Sans"/>
          <w:b/>
          <w:color w:val="008F87"/>
          <w:sz w:val="29"/>
        </w:rPr>
        <w:tab/>
      </w:r>
      <w:r>
        <w:rPr>
          <w:rFonts w:ascii="Noto Sans" w:hAnsi="Noto Sans" w:eastAsia="Noto Sans" w:cs="Noto Sans"/>
          <w:b/>
          <w:color w:val="008F87"/>
          <w:sz w:val="29"/>
        </w:rPr>
        <w:t xml:space="preserve">Comprehensions compress a transformation</w:t>
      </w:r>
    </w:p>
    <w:p>
      <w:pPr>
        <w:pStyle w:val="FirstParagraph"/>
      </w:pPr>
      <w:r>
        <w:t xml:space="preserve">List and dictionary comprehensions express a simple transformation or filter in one readable line. They are useful when the logic is short and transparent. A comprehension with several nested conditions becomes a puzzle and should be replaced by a loop or function. Readability is not cosmetic; it allows the analyst to inspect whether a data transformation matches the intended research rule.</w:t>
      </w:r>
    </w:p>
    <w:bookmarkEnd w:id="90"/>
    <w:bookmarkStart w:id="93" w:name="python-demonstrations-3"/>
    <w:p>
      <w:pPr>
        <w:pStyle w:val="Heading2"/>
        <w:keepNext/>
      </w:pPr>
      <w:r>
        <w:rPr>
          <w:rStyle w:val="SectionNumber"/>
          <w:rFonts w:ascii="Noto Sans" w:hAnsi="Noto Sans" w:eastAsia="Noto Sans" w:cs="Noto Sans"/>
          <w:b/>
          <w:color w:val="008F87"/>
          <w:sz w:val="29"/>
        </w:rPr>
        <w:t xml:space="preserve">4.5</w:t>
      </w:r>
      <w:r>
        <w:rPr>
          <w:rFonts w:ascii="Noto Sans" w:hAnsi="Noto Sans" w:eastAsia="Noto Sans" w:cs="Noto Sans"/>
          <w:b/>
          <w:color w:val="008F87"/>
          <w:sz w:val="29"/>
        </w:rPr>
        <w:tab/>
      </w:r>
      <w:r>
        <w:rPr>
          <w:rFonts w:ascii="Noto Sans" w:hAnsi="Noto Sans" w:eastAsia="Noto Sans" w:cs="Noto Sans"/>
          <w:b/>
          <w:color w:val="008F87"/>
          <w:sz w:val="29"/>
        </w:rPr>
        <w:t xml:space="preserve">Python demonstrations</w:t>
      </w:r>
    </w:p>
    <w:bookmarkStart w:id="91" w:name="Xffd04e5d18543ecdd8417ead9a5b3d77f2ceacc"/>
    <w:p>
      <w:pPr>
        <w:pStyle w:val="Heading3"/>
        <w:keepNext/>
      </w:pPr>
      <w:r>
        <w:rPr>
          <w:rStyle w:val="SectionNumber"/>
          <w:rFonts w:ascii="Noto Sans" w:hAnsi="Noto Sans" w:eastAsia="Noto Sans" w:cs="Noto Sans"/>
          <w:b/>
          <w:color w:val="0A2342"/>
          <w:sz w:val="23"/>
        </w:rPr>
        <w:t xml:space="preserve">4.5.1</w:t>
      </w:r>
      <w:r>
        <w:rPr>
          <w:rFonts w:ascii="Noto Sans" w:hAnsi="Noto Sans" w:eastAsia="Noto Sans" w:cs="Noto Sans"/>
          <w:b/>
          <w:color w:val="0A2342"/>
          <w:sz w:val="23"/>
        </w:rPr>
        <w:tab/>
      </w:r>
      <w:r>
        <w:rPr>
          <w:rFonts w:ascii="Noto Sans" w:hAnsi="Noto Sans" w:eastAsia="Noto Sans" w:cs="Noto Sans"/>
          <w:b/>
          <w:color w:val="0A2342"/>
          <w:sz w:val="23"/>
        </w:rPr>
        <w:t xml:space="preserve">Demonstration 4.1: Index and slice a return series</w:t>
      </w:r>
    </w:p>
    <w:p>
      <w:pPr>
        <w:pStyle w:val="SourceCode"/>
        <w:keepLines/>
        <w:shd w:fill="F6F8FA" w:val="clear"/>
      </w:pPr>
      <w:r>
        <w:rPr>
          <w:rStyle w:val="NormalTok"/>
        </w:rPr>
        <w:t xml:space="preserve">returns </w:t>
      </w:r>
      <w:r>
        <w:rPr>
          <w:rStyle w:val="OperatorTok"/>
        </w:rPr>
        <w:t xml:space="preserve">=</w:t>
      </w:r>
      <w:r>
        <w:rPr>
          <w:rStyle w:val="NormalTok"/>
        </w:rPr>
        <w:t xml:space="preserve"> [</w:t>
      </w:r>
      <w:r>
        <w:rPr>
          <w:rStyle w:val="FloatTok"/>
        </w:rPr>
        <w:t xml:space="preserve">0.012</w:t>
      </w:r>
      <w:r>
        <w:rPr>
          <w:rStyle w:val="NormalTok"/>
        </w:rPr>
        <w:t xml:space="preserve">, </w:t>
      </w:r>
      <w:r>
        <w:rPr>
          <w:rStyle w:val="OperatorTok"/>
        </w:rPr>
        <w:t xml:space="preserve">-</w:t>
      </w:r>
      <w:r>
        <w:rPr>
          <w:rStyle w:val="FloatTok"/>
        </w:rPr>
        <w:t xml:space="preserve">0.004</w:t>
      </w:r>
      <w:r>
        <w:rPr>
          <w:rStyle w:val="NormalTok"/>
        </w:rPr>
        <w:t xml:space="preserve">, </w:t>
      </w:r>
      <w:r>
        <w:rPr>
          <w:rStyle w:val="FloatTok"/>
        </w:rPr>
        <w:t xml:space="preserve">0.009</w:t>
      </w:r>
      <w:r>
        <w:rPr>
          <w:rStyle w:val="NormalTok"/>
        </w:rPr>
        <w:t xml:space="preserve">, </w:t>
      </w:r>
      <w:r>
        <w:rPr>
          <w:rStyle w:val="FloatTok"/>
        </w:rPr>
        <w:t xml:space="preserve">0.003</w:t>
      </w:r>
      <w:r>
        <w:rPr>
          <w:rStyle w:val="NormalTok"/>
        </w:rPr>
        <w:t xml:space="preserve">, </w:t>
      </w:r>
      <w:r>
        <w:rPr>
          <w:rStyle w:val="OperatorTok"/>
        </w:rPr>
        <w:t xml:space="preserve">-</w:t>
      </w:r>
      <w:r>
        <w:rPr>
          <w:rStyle w:val="FloatTok"/>
        </w:rPr>
        <w:t xml:space="preserve">0.011</w:t>
      </w:r>
      <w:r>
        <w:rPr>
          <w:rStyle w:val="NormalTok"/>
        </w:rPr>
        <w:t xml:space="preserve">]</w:t>
      </w:r>
      <w:r>
        <w:br/>
      </w:r>
      <w:r>
        <w:rPr>
          <w:rStyle w:val="BuiltInTok"/>
        </w:rPr>
        <w:t xml:space="preserve">print</w:t>
      </w:r>
      <w:r>
        <w:rPr>
          <w:rStyle w:val="NormalTok"/>
        </w:rPr>
        <w:t xml:space="preserve">(returns[</w:t>
      </w:r>
      <w:r>
        <w:rPr>
          <w:rStyle w:val="DecValTok"/>
        </w:rPr>
        <w:t xml:space="preserve">0</w:t>
      </w:r>
      <w:r>
        <w:rPr>
          <w:rStyle w:val="NormalTok"/>
        </w:rPr>
        <w:t xml:space="preserve">])</w:t>
      </w:r>
      <w:r>
        <w:br/>
      </w:r>
      <w:r>
        <w:rPr>
          <w:rStyle w:val="BuiltInTok"/>
        </w:rPr>
        <w:t xml:space="preserve">print</w:t>
      </w:r>
      <w:r>
        <w:rPr>
          <w:rStyle w:val="NormalTok"/>
        </w:rPr>
        <w:t xml:space="preserve">(returns[</w:t>
      </w:r>
      <w:r>
        <w:rPr>
          <w:rStyle w:val="OperatorTok"/>
        </w:rPr>
        <w:t xml:space="preserve">-</w:t>
      </w:r>
      <w:r>
        <w:rPr>
          <w:rStyle w:val="DecValTok"/>
        </w:rPr>
        <w:t xml:space="preserve">1</w:t>
      </w:r>
      <w:r>
        <w:rPr>
          <w:rStyle w:val="NormalTok"/>
        </w:rPr>
        <w:t xml:space="preserve">])</w:t>
      </w:r>
      <w:r>
        <w:br/>
      </w:r>
      <w:r>
        <w:rPr>
          <w:rStyle w:val="BuiltInTok"/>
        </w:rPr>
        <w:t xml:space="preserve">print</w:t>
      </w:r>
      <w:r>
        <w:rPr>
          <w:rStyle w:val="NormalTok"/>
        </w:rPr>
        <w:t xml:space="preserve">(returns[</w:t>
      </w:r>
      <w:r>
        <w:rPr>
          <w:rStyle w:val="DecValTok"/>
        </w:rPr>
        <w:t xml:space="preserve">1</w:t>
      </w:r>
      <w:r>
        <w:rPr>
          <w:rStyle w:val="NormalTok"/>
        </w:rPr>
        <w:t xml:space="preserve">:</w:t>
      </w:r>
      <w:r>
        <w:rPr>
          <w:rStyle w:val="DecValTok"/>
        </w:rPr>
        <w:t xml:space="preserve">4</w:t>
      </w:r>
      <w:r>
        <w:rPr>
          <w:rStyle w:val="NormalTok"/>
        </w:rPr>
        <w:t xml:space="preserve">])</w:t>
      </w:r>
    </w:p>
    <w:p>
      <w:pPr>
        <w:pStyle w:val="FirstParagraph"/>
      </w:pPr>
      <w:r>
        <w:rPr>
          <w:b/>
          <w:bCs/>
        </w:rPr>
        <w:t xml:space="preserve">Verified output</w:t>
      </w:r>
    </w:p>
    <w:p>
      <w:pPr>
        <w:pStyle w:val="SourceCode"/>
        <w:keepLines/>
        <w:shd w:fill="F6F8FA" w:val="clear"/>
      </w:pPr>
      <w:r>
        <w:rPr>
          <w:rStyle w:val="VerbatimChar"/>
        </w:rPr>
        <w:t xml:space="preserve">0.012</w:t>
      </w:r>
      <w:r>
        <w:br/>
      </w:r>
      <w:r>
        <w:rPr>
          <w:rStyle w:val="VerbatimChar"/>
        </w:rPr>
        <w:t xml:space="preserve">-0.011</w:t>
      </w:r>
      <w:r>
        <w:br/>
      </w:r>
      <w:r>
        <w:rPr>
          <w:rStyle w:val="VerbatimChar"/>
        </w:rPr>
        <w:t xml:space="preserve">[-0.004, 0.009, 0.003]</w:t>
      </w:r>
    </w:p>
    <w:p>
      <w:pPr>
        <w:pStyle w:val="FirstParagraph"/>
      </w:pPr>
      <w:r>
        <w:rPr>
          <w:b/>
          <w:bCs/>
        </w:rPr>
        <w:t xml:space="preserve">Interpretation.</w:t>
      </w:r>
      <w:r>
        <w:t xml:space="preserve"> </w:t>
      </w:r>
      <w:r>
        <w:t xml:space="preserve">The slice includes positions 1, 2, and 3, but not 4.</w:t>
      </w:r>
    </w:p>
    <w:bookmarkEnd w:id="91"/>
    <w:bookmarkStart w:id="92" w:name="demonstration-4.2-map-assets-to-weights"/>
    <w:p>
      <w:pPr>
        <w:pStyle w:val="Heading3"/>
        <w:keepNext/>
      </w:pPr>
      <w:r>
        <w:rPr>
          <w:rStyle w:val="SectionNumber"/>
          <w:rFonts w:ascii="Noto Sans" w:hAnsi="Noto Sans" w:eastAsia="Noto Sans" w:cs="Noto Sans"/>
          <w:b/>
          <w:color w:val="0A2342"/>
          <w:sz w:val="23"/>
        </w:rPr>
        <w:t xml:space="preserve">4.5.2</w:t>
      </w:r>
      <w:r>
        <w:rPr>
          <w:rFonts w:ascii="Noto Sans" w:hAnsi="Noto Sans" w:eastAsia="Noto Sans" w:cs="Noto Sans"/>
          <w:b/>
          <w:color w:val="0A2342"/>
          <w:sz w:val="23"/>
        </w:rPr>
        <w:tab/>
      </w:r>
      <w:r>
        <w:rPr>
          <w:rFonts w:ascii="Noto Sans" w:hAnsi="Noto Sans" w:eastAsia="Noto Sans" w:cs="Noto Sans"/>
          <w:b/>
          <w:color w:val="0A2342"/>
          <w:sz w:val="23"/>
        </w:rPr>
        <w:t xml:space="preserve">Demonstration 4.2: Map assets to weights</w:t>
      </w:r>
    </w:p>
    <w:p>
      <w:pPr>
        <w:pStyle w:val="SourceCode"/>
        <w:keepLines/>
        <w:shd w:fill="F6F8FA" w:val="clear"/>
      </w:pPr>
      <w:r>
        <w:rPr>
          <w:rStyle w:val="NormalTok"/>
        </w:rPr>
        <w:t xml:space="preserve">weights </w:t>
      </w:r>
      <w:r>
        <w:rPr>
          <w:rStyle w:val="OperatorTok"/>
        </w:rPr>
        <w:t xml:space="preserve">=</w:t>
      </w:r>
      <w:r>
        <w:rPr>
          <w:rStyle w:val="NormalTok"/>
        </w:rPr>
        <w:t xml:space="preserve"> {</w:t>
      </w:r>
      <w:r>
        <w:rPr>
          <w:rStyle w:val="StringTok"/>
        </w:rPr>
        <w:t xml:space="preserve">"BOND"</w:t>
      </w:r>
      <w:r>
        <w:rPr>
          <w:rStyle w:val="NormalTok"/>
        </w:rPr>
        <w:t xml:space="preserve">: </w:t>
      </w:r>
      <w:r>
        <w:rPr>
          <w:rStyle w:val="FloatTok"/>
        </w:rPr>
        <w:t xml:space="preserve">0.50</w:t>
      </w:r>
      <w:r>
        <w:rPr>
          <w:rStyle w:val="NormalTok"/>
        </w:rPr>
        <w:t xml:space="preserve">, </w:t>
      </w:r>
      <w:r>
        <w:rPr>
          <w:rStyle w:val="StringTok"/>
        </w:rPr>
        <w:t xml:space="preserve">"EQUITY"</w:t>
      </w:r>
      <w:r>
        <w:rPr>
          <w:rStyle w:val="NormalTok"/>
        </w:rPr>
        <w:t xml:space="preserve">: </w:t>
      </w:r>
      <w:r>
        <w:rPr>
          <w:rStyle w:val="FloatTok"/>
        </w:rPr>
        <w:t xml:space="preserve">0.35</w:t>
      </w:r>
      <w:r>
        <w:rPr>
          <w:rStyle w:val="NormalTok"/>
        </w:rPr>
        <w:t xml:space="preserve">, </w:t>
      </w:r>
      <w:r>
        <w:rPr>
          <w:rStyle w:val="StringTok"/>
        </w:rPr>
        <w:t xml:space="preserve">"CASH"</w:t>
      </w:r>
      <w:r>
        <w:rPr>
          <w:rStyle w:val="NormalTok"/>
        </w:rPr>
        <w:t xml:space="preserve">: </w:t>
      </w:r>
      <w:r>
        <w:rPr>
          <w:rStyle w:val="FloatTok"/>
        </w:rPr>
        <w:t xml:space="preserve">0.15</w:t>
      </w:r>
      <w:r>
        <w:rPr>
          <w:rStyle w:val="NormalTok"/>
        </w:rPr>
        <w:t xml:space="preserve">}</w:t>
      </w:r>
      <w:r>
        <w:br/>
      </w:r>
      <w:r>
        <w:rPr>
          <w:rStyle w:val="BuiltInTok"/>
        </w:rPr>
        <w:t xml:space="preserve">print</w:t>
      </w:r>
      <w:r>
        <w:rPr>
          <w:rStyle w:val="NormalTok"/>
        </w:rPr>
        <w:t xml:space="preserve">(</w:t>
      </w:r>
      <w:r>
        <w:rPr>
          <w:rStyle w:val="BuiltInTok"/>
        </w:rPr>
        <w:t xml:space="preserve">sum</w:t>
      </w:r>
      <w:r>
        <w:rPr>
          <w:rStyle w:val="NormalTok"/>
        </w:rPr>
        <w:t xml:space="preserve">(weights.values()))</w:t>
      </w:r>
      <w:r>
        <w:br/>
      </w:r>
      <w:r>
        <w:rPr>
          <w:rStyle w:val="NormalTok"/>
        </w:rPr>
        <w:t xml:space="preserve">large_positions </w:t>
      </w:r>
      <w:r>
        <w:rPr>
          <w:rStyle w:val="OperatorTok"/>
        </w:rPr>
        <w:t xml:space="preserve">=</w:t>
      </w:r>
      <w:r>
        <w:rPr>
          <w:rStyle w:val="NormalTok"/>
        </w:rPr>
        <w:t xml:space="preserve"> [asset </w:t>
      </w:r>
      <w:r>
        <w:rPr>
          <w:rStyle w:val="ControlFlowTok"/>
        </w:rPr>
        <w:t xml:space="preserve">for</w:t>
      </w:r>
      <w:r>
        <w:rPr>
          <w:rStyle w:val="NormalTok"/>
        </w:rPr>
        <w:t xml:space="preserve"> asset, w </w:t>
      </w:r>
      <w:r>
        <w:rPr>
          <w:rStyle w:val="KeywordTok"/>
        </w:rPr>
        <w:t xml:space="preserve">in</w:t>
      </w:r>
      <w:r>
        <w:rPr>
          <w:rStyle w:val="NormalTok"/>
        </w:rPr>
        <w:t xml:space="preserve"> weights.items() </w:t>
      </w:r>
      <w:r>
        <w:rPr>
          <w:rStyle w:val="ControlFlowTok"/>
        </w:rPr>
        <w:t xml:space="preserve">if</w:t>
      </w:r>
      <w:r>
        <w:rPr>
          <w:rStyle w:val="NormalTok"/>
        </w:rPr>
        <w:t xml:space="preserve"> w </w:t>
      </w:r>
      <w:r>
        <w:rPr>
          <w:rStyle w:val="OperatorTok"/>
        </w:rPr>
        <w:t xml:space="preserve">&gt;=</w:t>
      </w:r>
      <w:r>
        <w:rPr>
          <w:rStyle w:val="NormalTok"/>
        </w:rPr>
        <w:t xml:space="preserve"> </w:t>
      </w:r>
      <w:r>
        <w:rPr>
          <w:rStyle w:val="FloatTok"/>
        </w:rPr>
        <w:t xml:space="preserve">0.30</w:t>
      </w:r>
      <w:r>
        <w:rPr>
          <w:rStyle w:val="NormalTok"/>
        </w:rPr>
        <w:t xml:space="preserve">]</w:t>
      </w:r>
      <w:r>
        <w:br/>
      </w:r>
      <w:r>
        <w:rPr>
          <w:rStyle w:val="BuiltInTok"/>
        </w:rPr>
        <w:t xml:space="preserve">print</w:t>
      </w:r>
      <w:r>
        <w:rPr>
          <w:rStyle w:val="NormalTok"/>
        </w:rPr>
        <w:t xml:space="preserve">(large_positions)</w:t>
      </w:r>
    </w:p>
    <w:p>
      <w:pPr>
        <w:pStyle w:val="FirstParagraph"/>
      </w:pPr>
      <w:r>
        <w:rPr>
          <w:b/>
          <w:bCs/>
        </w:rPr>
        <w:t xml:space="preserve">Verified output</w:t>
      </w:r>
    </w:p>
    <w:p>
      <w:pPr>
        <w:pStyle w:val="SourceCode"/>
        <w:keepLines/>
        <w:shd w:fill="F6F8FA" w:val="clear"/>
      </w:pPr>
      <w:r>
        <w:rPr>
          <w:rStyle w:val="VerbatimChar"/>
        </w:rPr>
        <w:t xml:space="preserve">1.0</w:t>
      </w:r>
      <w:r>
        <w:br/>
      </w:r>
      <w:r>
        <w:rPr>
          <w:rStyle w:val="VerbatimChar"/>
        </w:rPr>
        <w:t xml:space="preserve">['BOND', 'EQUITY']</w:t>
      </w:r>
    </w:p>
    <w:p>
      <w:pPr>
        <w:pStyle w:val="FirstParagraph"/>
      </w:pPr>
      <w:r>
        <w:rPr>
          <w:b/>
          <w:bCs/>
        </w:rPr>
        <w:t xml:space="preserve">Interpretation.</w:t>
      </w:r>
      <w:r>
        <w:t xml:space="preserve"> </w:t>
      </w:r>
      <w:r>
        <w:t xml:space="preserve">A dictionary preserves the relationship between each asset label and its weight.</w:t>
      </w:r>
    </w:p>
    <w:bookmarkEnd w:id="92"/>
    <w:bookmarkEnd w:id="93"/>
    <w:bookmarkStart w:id="97" w:name="visual-evidence-3"/>
    <w:p>
      <w:pPr>
        <w:pStyle w:val="Heading2"/>
        <w:keepNext/>
      </w:pPr>
      <w:r>
        <w:rPr>
          <w:rStyle w:val="SectionNumber"/>
          <w:rFonts w:ascii="Noto Sans" w:hAnsi="Noto Sans" w:eastAsia="Noto Sans" w:cs="Noto Sans"/>
          <w:b/>
          <w:color w:val="008F87"/>
          <w:sz w:val="29"/>
        </w:rPr>
        <w:t xml:space="preserve">4.6</w:t>
      </w:r>
      <w:r>
        <w:rPr>
          <w:rFonts w:ascii="Noto Sans" w:hAnsi="Noto Sans" w:eastAsia="Noto Sans" w:cs="Noto Sans"/>
          <w:b/>
          <w:color w:val="008F87"/>
          <w:sz w:val="29"/>
        </w:rPr>
        <w:tab/>
      </w:r>
      <w:r>
        <w:rPr>
          <w:rFonts w:ascii="Noto Sans" w:hAnsi="Noto Sans" w:eastAsia="Noto Sans" w:cs="Noto Sans"/>
          <w:b/>
          <w:color w:val="008F87"/>
          <w:sz w:val="29"/>
        </w:rPr>
        <w:t xml:space="preserve">Visual evidence</w:t>
      </w:r>
    </w:p>
    <w:p>
      <w:pPr>
        <w:pStyle w:val="FirstParagraph"/>
      </w:pPr>
      <w:r>
        <w:drawing>
          <wp:inline>
            <wp:extent cx="4907280" cy="3034352"/>
            <wp:effectExtent b="0" l="0" r="0" t="0"/>
            <wp:docPr descr="Image: rId94.png" title="" id="95" name="Picture"/>
            <a:graphic>
              <a:graphicData uri="http://schemas.openxmlformats.org/drawingml/2006/picture">
                <pic:pic>
                  <pic:nvPicPr>
                    <pic:cNvPr descr="figures/fig_04_collections.png" id="96" name="Picture"/>
                    <pic:cNvPicPr>
                      <a:picLocks noChangeArrowheads="1" noChangeAspect="1"/>
                    </pic:cNvPicPr>
                  </pic:nvPicPr>
                  <pic:blipFill>
                    <a:blip r:embed="rId94"/>
                    <a:stretch>
                      <a:fillRect/>
                    </a:stretch>
                  </pic:blipFill>
                  <pic:spPr bwMode="auto">
                    <a:xfrm>
                      <a:off x="0" y="0"/>
                      <a:ext cx="4907280" cy="3034352"/>
                    </a:xfrm>
                    <a:prstGeom prst="rect">
                      <a:avLst/>
                    </a:prstGeom>
                    <a:noFill/>
                    <a:ln w="9525">
                      <a:noFill/>
                      <a:headEnd/>
                      <a:tailEnd/>
                    </a:ln>
                  </pic:spPr>
                </pic:pic>
              </a:graphicData>
            </a:graphic>
          </wp:inline>
        </w:drawing>
      </w:r>
    </w:p>
    <w:p>
      <w:pPr>
        <w:pStyle w:val="Caption"/>
        <w:keepNext w:val="0"/>
        <w:jc w:val="center"/>
      </w:pPr>
      <w:r>
        <w:rPr>
          <w:b/>
          <w:bCs/>
        </w:rPr>
        <w:t xml:space="preserve">Figure 4.</w:t>
      </w:r>
      <w:r>
        <w:t xml:space="preserve"> </w:t>
      </w:r>
      <w:r>
        <w:t xml:space="preserve">Lists, tuples, dictionaries, and sets encode different structural promises.</w:t>
      </w:r>
    </w:p>
    <w:bookmarkEnd w:id="97"/>
    <w:bookmarkStart w:id="98" w:name="reference-table-3"/>
    <w:p>
      <w:pPr>
        <w:pStyle w:val="Heading2"/>
        <w:keepNext/>
      </w:pPr>
      <w:r>
        <w:rPr>
          <w:rStyle w:val="SectionNumber"/>
          <w:rFonts w:ascii="Noto Sans" w:hAnsi="Noto Sans" w:eastAsia="Noto Sans" w:cs="Noto Sans"/>
          <w:b/>
          <w:color w:val="008F87"/>
          <w:sz w:val="29"/>
        </w:rPr>
        <w:t xml:space="preserve">4.7</w:t>
      </w:r>
      <w:r>
        <w:rPr>
          <w:rFonts w:ascii="Noto Sans" w:hAnsi="Noto Sans" w:eastAsia="Noto Sans" w:cs="Noto Sans"/>
          <w:b/>
          <w:color w:val="008F87"/>
          <w:sz w:val="29"/>
        </w:rPr>
        <w:tab/>
      </w:r>
      <w:r>
        <w:rPr>
          <w:rFonts w:ascii="Noto Sans" w:hAnsi="Noto Sans" w:eastAsia="Noto Sans" w:cs="Noto Sans"/>
          <w:b/>
          <w:color w:val="008F87"/>
          <w:sz w:val="29"/>
        </w:rPr>
        <w:t xml:space="preserve">Reference table</w:t>
      </w:r>
    </w:p>
    <w:p>
      <w:pPr>
        <w:pStyle w:val="Caption"/>
        <w:keepNext/>
        <w:jc w:val="center"/>
      </w:pPr>
      <w:r>
        <w:rPr>
          <w:b/>
          <w:bCs/>
        </w:rPr>
        <w:t xml:space="preserve">Table 4. Chapter reference.</w:t>
      </w:r>
    </w:p>
    <w:tbl>
      <w:tblPr>
        <w:tblStyle w:val="Table"/>
        <w:tblW w:type="auto" w:w="0"/>
        <w:jc w:val="center"/>
        <w:tblLayout w:type="autofit"/>
        <w:tblLook w:firstRow="1" w:lastRow="0" w:firstColumn="0" w:lastColumn="0" w:noHBand="0" w:noVBand="0" w:val="0020"/>
      </w:tblPr>
      <w:tblGrid>
        <w:gridCol w:w="1980"/>
        <w:gridCol w:w="1980"/>
        <w:gridCol w:w="1980"/>
        <w:gridCol w:w="1980"/>
      </w:tblGrid>
      <w:tr>
        <w:trPr>
          <w:tblHeader w:val="on"/>
          <w:tblHeader w:val="true"/>
          <w:cantSplit/>
        </w:trPr>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0A2342" w:val="clear"/>
          </w:tcPr>
          <w:p>
            <w:pPr>
              <w:pStyle w:val="Compact"/>
              <w:spacing w:before="30" w:after="30" w:line="240" w:lineRule="auto"/>
              <w:jc w:val="left"/>
            </w:pPr>
            <w:r>
              <w:rPr>
                <w:rFonts w:ascii="Noto Sans" w:hAnsi="Noto Sans" w:eastAsia="Noto Sans" w:cs="Noto Sans"/>
                <w:b/>
                <w:color w:val="FFFFFF"/>
                <w:sz w:val="16"/>
              </w:rPr>
              <w:t xml:space="preserve">Structure</w:t>
            </w:r>
          </w:p>
        </w:tc>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0A2342" w:val="clear"/>
          </w:tcPr>
          <w:p>
            <w:pPr>
              <w:pStyle w:val="Compact"/>
              <w:spacing w:before="30" w:after="30" w:line="240" w:lineRule="auto"/>
              <w:jc w:val="left"/>
            </w:pPr>
            <w:r>
              <w:rPr>
                <w:rFonts w:ascii="Noto Sans" w:hAnsi="Noto Sans" w:eastAsia="Noto Sans" w:cs="Noto Sans"/>
                <w:b/>
                <w:color w:val="FFFFFF"/>
                <w:sz w:val="16"/>
              </w:rPr>
              <w:t xml:space="preserve">Ordered?</w:t>
            </w:r>
          </w:p>
        </w:tc>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0A2342" w:val="clear"/>
          </w:tcPr>
          <w:p>
            <w:pPr>
              <w:pStyle w:val="Compact"/>
              <w:spacing w:before="30" w:after="30" w:line="240" w:lineRule="auto"/>
              <w:jc w:val="left"/>
            </w:pPr>
            <w:r>
              <w:rPr>
                <w:rFonts w:ascii="Noto Sans" w:hAnsi="Noto Sans" w:eastAsia="Noto Sans" w:cs="Noto Sans"/>
                <w:b/>
                <w:color w:val="FFFFFF"/>
                <w:sz w:val="16"/>
              </w:rPr>
              <w:t xml:space="preserve">Duplicates?</w:t>
            </w:r>
          </w:p>
        </w:tc>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0A2342" w:val="clear"/>
          </w:tcPr>
          <w:p>
            <w:pPr>
              <w:pStyle w:val="Compact"/>
              <w:spacing w:before="30" w:after="30" w:line="240" w:lineRule="auto"/>
              <w:jc w:val="left"/>
            </w:pPr>
            <w:r>
              <w:rPr>
                <w:rFonts w:ascii="Noto Sans" w:hAnsi="Noto Sans" w:eastAsia="Noto Sans" w:cs="Noto Sans"/>
                <w:b/>
                <w:color w:val="FFFFFF"/>
                <w:sz w:val="16"/>
              </w:rPr>
              <w:t xml:space="preserve">Best use</w:t>
            </w:r>
          </w:p>
        </w:tc>
      </w:tr>
      <w:tr>
        <w:trPr>
          <w:cantSplit/>
        </w:trPr>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EEF4F8" w:val="clear"/>
          </w:tcPr>
          <w:p>
            <w:pPr>
              <w:pStyle w:val="Compact"/>
              <w:spacing w:before="30" w:after="30" w:line="240" w:lineRule="auto"/>
              <w:jc w:val="left"/>
            </w:pPr>
            <w:r>
              <w:rPr>
                <w:rFonts w:ascii="Noto Sans" w:hAnsi="Noto Sans" w:eastAsia="Noto Sans" w:cs="Noto Sans"/>
                <w:b w:val="0"/>
                <w:color w:val="18212B"/>
                <w:sz w:val="16"/>
              </w:rPr>
              <w:t xml:space="preserve">list</w:t>
            </w:r>
          </w:p>
        </w:tc>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EEF4F8" w:val="clear"/>
          </w:tcPr>
          <w:p>
            <w:pPr>
              <w:pStyle w:val="Compact"/>
              <w:spacing w:before="30" w:after="30" w:line="240" w:lineRule="auto"/>
              <w:jc w:val="left"/>
            </w:pPr>
            <w:r>
              <w:rPr>
                <w:rFonts w:ascii="Noto Sans" w:hAnsi="Noto Sans" w:eastAsia="Noto Sans" w:cs="Noto Sans"/>
                <w:b w:val="0"/>
                <w:color w:val="18212B"/>
                <w:sz w:val="16"/>
              </w:rPr>
              <w:t xml:space="preserve">Yes</w:t>
            </w:r>
          </w:p>
        </w:tc>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EEF4F8" w:val="clear"/>
          </w:tcPr>
          <w:p>
            <w:pPr>
              <w:pStyle w:val="Compact"/>
              <w:spacing w:before="30" w:after="30" w:line="240" w:lineRule="auto"/>
              <w:jc w:val="left"/>
            </w:pPr>
            <w:r>
              <w:rPr>
                <w:rFonts w:ascii="Noto Sans" w:hAnsi="Noto Sans" w:eastAsia="Noto Sans" w:cs="Noto Sans"/>
                <w:b w:val="0"/>
                <w:color w:val="18212B"/>
                <w:sz w:val="16"/>
              </w:rPr>
              <w:t xml:space="preserve">Yes</w:t>
            </w:r>
          </w:p>
        </w:tc>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EEF4F8" w:val="clear"/>
          </w:tcPr>
          <w:p>
            <w:pPr>
              <w:pStyle w:val="Compact"/>
              <w:spacing w:before="30" w:after="30" w:line="240" w:lineRule="auto"/>
              <w:jc w:val="left"/>
            </w:pPr>
            <w:r>
              <w:rPr>
                <w:rFonts w:ascii="Noto Sans" w:hAnsi="Noto Sans" w:eastAsia="Noto Sans" w:cs="Noto Sans"/>
                <w:b w:val="0"/>
                <w:color w:val="18212B"/>
                <w:sz w:val="16"/>
              </w:rPr>
              <w:t xml:space="preserve">changeable sequence</w:t>
            </w:r>
          </w:p>
        </w:tc>
      </w:tr>
      <w:tr>
        <w:trPr>
          <w:cantSplit/>
        </w:trPr>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FFFFFF" w:val="clear"/>
          </w:tcPr>
          <w:p>
            <w:pPr>
              <w:pStyle w:val="Compact"/>
              <w:spacing w:before="30" w:after="30" w:line="240" w:lineRule="auto"/>
              <w:jc w:val="left"/>
            </w:pPr>
            <w:r>
              <w:rPr>
                <w:rFonts w:ascii="Noto Sans" w:hAnsi="Noto Sans" w:eastAsia="Noto Sans" w:cs="Noto Sans"/>
                <w:b w:val="0"/>
                <w:color w:val="18212B"/>
                <w:sz w:val="16"/>
              </w:rPr>
              <w:t xml:space="preserve">tuple</w:t>
            </w:r>
          </w:p>
        </w:tc>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FFFFFF" w:val="clear"/>
          </w:tcPr>
          <w:p>
            <w:pPr>
              <w:pStyle w:val="Compact"/>
              <w:spacing w:before="30" w:after="30" w:line="240" w:lineRule="auto"/>
              <w:jc w:val="left"/>
            </w:pPr>
            <w:r>
              <w:rPr>
                <w:rFonts w:ascii="Noto Sans" w:hAnsi="Noto Sans" w:eastAsia="Noto Sans" w:cs="Noto Sans"/>
                <w:b w:val="0"/>
                <w:color w:val="18212B"/>
                <w:sz w:val="16"/>
              </w:rPr>
              <w:t xml:space="preserve">Yes</w:t>
            </w:r>
          </w:p>
        </w:tc>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FFFFFF" w:val="clear"/>
          </w:tcPr>
          <w:p>
            <w:pPr>
              <w:pStyle w:val="Compact"/>
              <w:spacing w:before="30" w:after="30" w:line="240" w:lineRule="auto"/>
              <w:jc w:val="left"/>
            </w:pPr>
            <w:r>
              <w:rPr>
                <w:rFonts w:ascii="Noto Sans" w:hAnsi="Noto Sans" w:eastAsia="Noto Sans" w:cs="Noto Sans"/>
                <w:b w:val="0"/>
                <w:color w:val="18212B"/>
                <w:sz w:val="16"/>
              </w:rPr>
              <w:t xml:space="preserve">Yes</w:t>
            </w:r>
          </w:p>
        </w:tc>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FFFFFF" w:val="clear"/>
          </w:tcPr>
          <w:p>
            <w:pPr>
              <w:pStyle w:val="Compact"/>
              <w:spacing w:before="30" w:after="30" w:line="240" w:lineRule="auto"/>
              <w:jc w:val="left"/>
            </w:pPr>
            <w:r>
              <w:rPr>
                <w:rFonts w:ascii="Noto Sans" w:hAnsi="Noto Sans" w:eastAsia="Noto Sans" w:cs="Noto Sans"/>
                <w:b w:val="0"/>
                <w:color w:val="18212B"/>
                <w:sz w:val="16"/>
              </w:rPr>
              <w:t xml:space="preserve">fixed record or coordinate</w:t>
            </w:r>
          </w:p>
        </w:tc>
      </w:tr>
      <w:tr>
        <w:trPr>
          <w:cantSplit/>
        </w:trPr>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EEF4F8" w:val="clear"/>
          </w:tcPr>
          <w:p>
            <w:pPr>
              <w:pStyle w:val="Compact"/>
              <w:spacing w:before="30" w:after="30" w:line="240" w:lineRule="auto"/>
              <w:jc w:val="left"/>
            </w:pPr>
            <w:r>
              <w:rPr>
                <w:rFonts w:ascii="Noto Sans" w:hAnsi="Noto Sans" w:eastAsia="Noto Sans" w:cs="Noto Sans"/>
                <w:b w:val="0"/>
                <w:color w:val="18212B"/>
                <w:sz w:val="16"/>
              </w:rPr>
              <w:t xml:space="preserve">dict</w:t>
            </w:r>
          </w:p>
        </w:tc>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EEF4F8" w:val="clear"/>
          </w:tcPr>
          <w:p>
            <w:pPr>
              <w:pStyle w:val="Compact"/>
              <w:spacing w:before="30" w:after="30" w:line="240" w:lineRule="auto"/>
              <w:jc w:val="left"/>
            </w:pPr>
            <w:r>
              <w:rPr>
                <w:rFonts w:ascii="Noto Sans" w:hAnsi="Noto Sans" w:eastAsia="Noto Sans" w:cs="Noto Sans"/>
                <w:b w:val="0"/>
                <w:color w:val="18212B"/>
                <w:sz w:val="16"/>
              </w:rPr>
              <w:t xml:space="preserve">Insertion order</w:t>
            </w:r>
          </w:p>
        </w:tc>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EEF4F8" w:val="clear"/>
          </w:tcPr>
          <w:p>
            <w:pPr>
              <w:pStyle w:val="Compact"/>
              <w:spacing w:before="30" w:after="30" w:line="240" w:lineRule="auto"/>
              <w:jc w:val="left"/>
            </w:pPr>
            <w:r>
              <w:rPr>
                <w:rFonts w:ascii="Noto Sans" w:hAnsi="Noto Sans" w:eastAsia="Noto Sans" w:cs="Noto Sans"/>
                <w:b w:val="0"/>
                <w:color w:val="18212B"/>
                <w:sz w:val="16"/>
              </w:rPr>
              <w:t xml:space="preserve">Keys unique</w:t>
            </w:r>
          </w:p>
        </w:tc>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EEF4F8" w:val="clear"/>
          </w:tcPr>
          <w:p>
            <w:pPr>
              <w:pStyle w:val="Compact"/>
              <w:spacing w:before="30" w:after="30" w:line="240" w:lineRule="auto"/>
              <w:jc w:val="left"/>
            </w:pPr>
            <w:r>
              <w:rPr>
                <w:rFonts w:ascii="Noto Sans" w:hAnsi="Noto Sans" w:eastAsia="Noto Sans" w:cs="Noto Sans"/>
                <w:b w:val="0"/>
                <w:color w:val="18212B"/>
                <w:sz w:val="16"/>
              </w:rPr>
              <w:t xml:space="preserve">named mapping</w:t>
            </w:r>
          </w:p>
        </w:tc>
      </w:tr>
      <w:tr>
        <w:trPr>
          <w:cantSplit/>
        </w:trPr>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FFFFFF" w:val="clear"/>
          </w:tcPr>
          <w:p>
            <w:pPr>
              <w:pStyle w:val="Compact"/>
              <w:spacing w:before="30" w:after="30" w:line="240" w:lineRule="auto"/>
              <w:jc w:val="left"/>
            </w:pPr>
            <w:r>
              <w:rPr>
                <w:rFonts w:ascii="Noto Sans" w:hAnsi="Noto Sans" w:eastAsia="Noto Sans" w:cs="Noto Sans"/>
                <w:b w:val="0"/>
                <w:color w:val="18212B"/>
                <w:sz w:val="16"/>
              </w:rPr>
              <w:t xml:space="preserve">set</w:t>
            </w:r>
          </w:p>
        </w:tc>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FFFFFF" w:val="clear"/>
          </w:tcPr>
          <w:p>
            <w:pPr>
              <w:pStyle w:val="Compact"/>
              <w:spacing w:before="30" w:after="30" w:line="240" w:lineRule="auto"/>
              <w:jc w:val="left"/>
            </w:pPr>
            <w:r>
              <w:rPr>
                <w:rFonts w:ascii="Noto Sans" w:hAnsi="Noto Sans" w:eastAsia="Noto Sans" w:cs="Noto Sans"/>
                <w:b w:val="0"/>
                <w:color w:val="18212B"/>
                <w:sz w:val="16"/>
              </w:rPr>
              <w:t xml:space="preserve">No positional meaning</w:t>
            </w:r>
          </w:p>
        </w:tc>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FFFFFF" w:val="clear"/>
          </w:tcPr>
          <w:p>
            <w:pPr>
              <w:pStyle w:val="Compact"/>
              <w:spacing w:before="30" w:after="30" w:line="240" w:lineRule="auto"/>
              <w:jc w:val="left"/>
            </w:pPr>
            <w:r>
              <w:rPr>
                <w:rFonts w:ascii="Noto Sans" w:hAnsi="Noto Sans" w:eastAsia="Noto Sans" w:cs="Noto Sans"/>
                <w:b w:val="0"/>
                <w:color w:val="18212B"/>
                <w:sz w:val="16"/>
              </w:rPr>
              <w:t xml:space="preserve">No</w:t>
            </w:r>
          </w:p>
        </w:tc>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FFFFFF" w:val="clear"/>
          </w:tcPr>
          <w:p>
            <w:pPr>
              <w:pStyle w:val="Compact"/>
              <w:spacing w:before="30" w:after="30" w:line="240" w:lineRule="auto"/>
              <w:jc w:val="left"/>
            </w:pPr>
            <w:r>
              <w:rPr>
                <w:rFonts w:ascii="Noto Sans" w:hAnsi="Noto Sans" w:eastAsia="Noto Sans" w:cs="Noto Sans"/>
                <w:b w:val="0"/>
                <w:color w:val="18212B"/>
                <w:sz w:val="16"/>
              </w:rPr>
              <w:t xml:space="preserve">membership and uniqueness</w:t>
            </w:r>
          </w:p>
        </w:tc>
      </w:tr>
    </w:tbl>
    <w:p>
      <w:pPr>
        <w:pStyle w:val="BlockText"/>
        <w:shd w:fill="EAF7F5" w:val="clear"/>
        <w:pBdr>
          <w:left w:val="single" w:sz="18" w:space="8" w:color="008F87"/>
        </w:pBdr>
      </w:pPr>
      <w:r>
        <w:rPr>
          <w:b/>
          <w:bCs/>
        </w:rPr>
        <w:t xml:space="preserve">Why This Matters</w:t>
      </w:r>
    </w:p>
    <w:p>
      <w:pPr>
        <w:pStyle w:val="BlockText"/>
        <w:shd w:fill="EAF7F5" w:val="clear"/>
        <w:pBdr>
          <w:left w:val="single" w:sz="18" w:space="8" w:color="008F87"/>
        </w:pBdr>
      </w:pPr>
      <w:r>
        <w:t xml:space="preserve">Collection choice makes assumptions visible before the data reach a model.</w:t>
      </w:r>
    </w:p>
    <w:p>
      <w:pPr>
        <w:pStyle w:val="BlockText"/>
        <w:shd w:fill="EAF7F5" w:val="clear"/>
        <w:pBdr>
          <w:left w:val="single" w:sz="18" w:space="8" w:color="008F87"/>
        </w:pBdr>
      </w:pPr>
      <w:r>
        <w:rPr>
          <w:b/>
          <w:bCs/>
        </w:rPr>
        <w:t xml:space="preserve">Common Mistake</w:t>
      </w:r>
    </w:p>
    <w:p>
      <w:pPr>
        <w:pStyle w:val="BlockText"/>
        <w:shd w:fill="EAF7F5" w:val="clear"/>
        <w:pBdr>
          <w:left w:val="single" w:sz="18" w:space="8" w:color="008F87"/>
        </w:pBdr>
      </w:pPr>
      <w:r>
        <w:t xml:space="preserve">Using a set when order matters. A set is excellent for membership tests but cannot represent a time sequence.</w:t>
      </w:r>
    </w:p>
    <w:p>
      <w:pPr>
        <w:pStyle w:val="BlockText"/>
        <w:shd w:fill="EAF7F5" w:val="clear"/>
        <w:pBdr>
          <w:left w:val="single" w:sz="18" w:space="8" w:color="008F87"/>
        </w:pBdr>
      </w:pPr>
      <w:r>
        <w:rPr>
          <w:b/>
          <w:bCs/>
        </w:rPr>
        <w:t xml:space="preserve">Ceteris LAB Tip</w:t>
      </w:r>
    </w:p>
    <w:p>
      <w:pPr>
        <w:pStyle w:val="BlockText"/>
        <w:shd w:fill="EAF7F5" w:val="clear"/>
        <w:pBdr>
          <w:left w:val="single" w:sz="18" w:space="8" w:color="008F87"/>
        </w:pBdr>
      </w:pPr>
      <w:r>
        <w:t xml:space="preserve">Say the structure aloud:</w:t>
      </w:r>
      <w:r>
        <w:t xml:space="preserve"> </w:t>
      </w:r>
      <w:r>
        <w:t xml:space="preserve">“</w:t>
      </w:r>
      <w:r>
        <w:t xml:space="preserve">a mapping from series name to unit</w:t>
      </w:r>
      <w:r>
        <w:t xml:space="preserve">”</w:t>
      </w:r>
      <w:r>
        <w:t xml:space="preserve"> </w:t>
      </w:r>
      <w:r>
        <w:t xml:space="preserve">suggests a dictionary;</w:t>
      </w:r>
      <w:r>
        <w:t xml:space="preserve"> </w:t>
      </w:r>
      <w:r>
        <w:t xml:space="preserve">“</w:t>
      </w:r>
      <w:r>
        <w:t xml:space="preserve">an ordered sequence of returns</w:t>
      </w:r>
      <w:r>
        <w:t xml:space="preserve">”</w:t>
      </w:r>
      <w:r>
        <w:t xml:space="preserve"> </w:t>
      </w:r>
      <w:r>
        <w:t xml:space="preserve">suggests a list or array.</w:t>
      </w:r>
    </w:p>
    <w:p>
      <w:pPr>
        <w:pStyle w:val="BlockText"/>
        <w:shd w:fill="EAF7F5" w:val="clear"/>
        <w:pBdr>
          <w:left w:val="single" w:sz="18" w:space="8" w:color="008F87"/>
        </w:pBdr>
      </w:pPr>
      <w:r>
        <w:rPr>
          <w:b/>
          <w:bCs/>
        </w:rPr>
        <w:t xml:space="preserve">R-to-Python / Source Bridge</w:t>
      </w:r>
    </w:p>
    <w:p>
      <w:pPr>
        <w:pStyle w:val="BlockText"/>
        <w:shd w:fill="EAF7F5" w:val="clear"/>
        <w:pBdr>
          <w:left w:val="single" w:sz="18" w:space="8" w:color="008F87"/>
        </w:pBdr>
      </w:pPr>
      <w:r>
        <w:t xml:space="preserve">The old notes introduced vectors and matrix-like objects early. Python separates general-purpose collections from numerical arrays, which are introduced in Chapter 8.</w:t>
      </w:r>
    </w:p>
    <w:bookmarkEnd w:id="98"/>
    <w:bookmarkStart w:id="99" w:name="guided-practice-3"/>
    <w:p>
      <w:pPr>
        <w:pStyle w:val="Heading2"/>
        <w:keepNext/>
      </w:pPr>
      <w:r>
        <w:rPr>
          <w:rStyle w:val="SectionNumber"/>
          <w:rFonts w:ascii="Noto Sans" w:hAnsi="Noto Sans" w:eastAsia="Noto Sans" w:cs="Noto Sans"/>
          <w:b/>
          <w:color w:val="008F87"/>
          <w:sz w:val="29"/>
        </w:rPr>
        <w:t xml:space="preserve">4.8</w:t>
      </w:r>
      <w:r>
        <w:rPr>
          <w:rFonts w:ascii="Noto Sans" w:hAnsi="Noto Sans" w:eastAsia="Noto Sans" w:cs="Noto Sans"/>
          <w:b/>
          <w:color w:val="008F87"/>
          <w:sz w:val="29"/>
        </w:rPr>
        <w:tab/>
      </w:r>
      <w:r>
        <w:rPr>
          <w:rFonts w:ascii="Noto Sans" w:hAnsi="Noto Sans" w:eastAsia="Noto Sans" w:cs="Noto Sans"/>
          <w:b/>
          <w:color w:val="008F87"/>
          <w:sz w:val="29"/>
        </w:rPr>
        <w:t xml:space="preserve">Guided practice</w:t>
      </w:r>
    </w:p>
    <w:p>
      <w:pPr>
        <w:pStyle w:val="Compact"/>
        <w:numPr>
          <w:ilvl w:val="0"/>
          <w:numId w:val="1016"/>
        </w:numPr>
      </w:pPr>
      <w:r>
        <w:t xml:space="preserve">Re-run Demonstration 4.1 and change one input while keeping the analytical question fixed.</w:t>
      </w:r>
    </w:p>
    <w:p>
      <w:pPr>
        <w:pStyle w:val="Compact"/>
        <w:numPr>
          <w:ilvl w:val="0"/>
          <w:numId w:val="1016"/>
        </w:numPr>
      </w:pPr>
      <w:r>
        <w:t xml:space="preserve">Explain in two sentences how the output supports, or fails to support, the chapter opening question.</w:t>
      </w:r>
    </w:p>
    <w:p>
      <w:pPr>
        <w:pStyle w:val="Compact"/>
        <w:numPr>
          <w:ilvl w:val="0"/>
          <w:numId w:val="1016"/>
        </w:numPr>
      </w:pPr>
      <w:r>
        <w:t xml:space="preserve">Add one validation check that would prevent a plausible error.</w:t>
      </w:r>
    </w:p>
    <w:bookmarkEnd w:id="99"/>
    <w:bookmarkStart w:id="100" w:name="exercises-3"/>
    <w:p>
      <w:pPr>
        <w:pStyle w:val="Heading2"/>
        <w:keepNext/>
      </w:pPr>
      <w:r>
        <w:rPr>
          <w:rStyle w:val="SectionNumber"/>
          <w:rFonts w:ascii="Noto Sans" w:hAnsi="Noto Sans" w:eastAsia="Noto Sans" w:cs="Noto Sans"/>
          <w:b/>
          <w:color w:val="008F87"/>
          <w:sz w:val="29"/>
        </w:rPr>
        <w:t xml:space="preserve">4.9</w:t>
      </w:r>
      <w:r>
        <w:rPr>
          <w:rFonts w:ascii="Noto Sans" w:hAnsi="Noto Sans" w:eastAsia="Noto Sans" w:cs="Noto Sans"/>
          <w:b/>
          <w:color w:val="008F87"/>
          <w:sz w:val="29"/>
        </w:rPr>
        <w:tab/>
      </w:r>
      <w:r>
        <w:rPr>
          <w:rFonts w:ascii="Noto Sans" w:hAnsi="Noto Sans" w:eastAsia="Noto Sans" w:cs="Noto Sans"/>
          <w:b/>
          <w:color w:val="008F87"/>
          <w:sz w:val="29"/>
        </w:rPr>
        <w:t xml:space="preserve">Exercises</w:t>
      </w:r>
    </w:p>
    <w:p>
      <w:pPr>
        <w:pStyle w:val="Compact"/>
        <w:numPr>
          <w:ilvl w:val="0"/>
          <w:numId w:val="1017"/>
        </w:numPr>
      </w:pPr>
      <w:r>
        <w:t xml:space="preserve">Create a list of five GDP growth rates and print the middle three.</w:t>
      </w:r>
    </w:p>
    <w:p>
      <w:pPr>
        <w:pStyle w:val="Compact"/>
        <w:numPr>
          <w:ilvl w:val="0"/>
          <w:numId w:val="1017"/>
        </w:numPr>
      </w:pPr>
      <w:r>
        <w:t xml:space="preserve">Create a tuple containing a series ID and frequency.</w:t>
      </w:r>
    </w:p>
    <w:p>
      <w:pPr>
        <w:pStyle w:val="Compact"/>
        <w:numPr>
          <w:ilvl w:val="0"/>
          <w:numId w:val="1017"/>
        </w:numPr>
      </w:pPr>
      <w:r>
        <w:t xml:space="preserve">Create a dictionary mapping three variables to units.</w:t>
      </w:r>
    </w:p>
    <w:p>
      <w:pPr>
        <w:pStyle w:val="Compact"/>
        <w:numPr>
          <w:ilvl w:val="0"/>
          <w:numId w:val="1017"/>
        </w:numPr>
      </w:pPr>
      <w:r>
        <w:t xml:space="preserve">Use a set to remove duplicate province codes.</w:t>
      </w:r>
    </w:p>
    <w:bookmarkEnd w:id="100"/>
    <w:bookmarkStart w:id="101" w:name="chapter-summary-3"/>
    <w:p>
      <w:pPr>
        <w:pStyle w:val="Heading2"/>
        <w:keepNext/>
      </w:pPr>
      <w:r>
        <w:rPr>
          <w:rStyle w:val="SectionNumber"/>
          <w:rFonts w:ascii="Noto Sans" w:hAnsi="Noto Sans" w:eastAsia="Noto Sans" w:cs="Noto Sans"/>
          <w:b/>
          <w:color w:val="008F87"/>
          <w:sz w:val="29"/>
        </w:rPr>
        <w:t xml:space="preserve">4.10</w:t>
      </w:r>
      <w:r>
        <w:rPr>
          <w:rFonts w:ascii="Noto Sans" w:hAnsi="Noto Sans" w:eastAsia="Noto Sans" w:cs="Noto Sans"/>
          <w:b/>
          <w:color w:val="008F87"/>
          <w:sz w:val="29"/>
        </w:rPr>
        <w:tab/>
      </w:r>
      <w:r>
        <w:rPr>
          <w:rFonts w:ascii="Noto Sans" w:hAnsi="Noto Sans" w:eastAsia="Noto Sans" w:cs="Noto Sans"/>
          <w:b/>
          <w:color w:val="008F87"/>
          <w:sz w:val="29"/>
        </w:rPr>
        <w:t xml:space="preserve">Chapter summary</w:t>
      </w:r>
    </w:p>
    <w:p>
      <w:pPr>
        <w:pStyle w:val="Compact"/>
        <w:numPr>
          <w:ilvl w:val="0"/>
          <w:numId w:val="1018"/>
        </w:numPr>
      </w:pPr>
      <w:r>
        <w:t xml:space="preserve">Lists, tuples, dictionaries, and sets encode different structural assumptions.</w:t>
      </w:r>
    </w:p>
    <w:p>
      <w:pPr>
        <w:pStyle w:val="Compact"/>
        <w:numPr>
          <w:ilvl w:val="0"/>
          <w:numId w:val="1018"/>
        </w:numPr>
      </w:pPr>
      <w:r>
        <w:t xml:space="preserve">Zero-based indexing and half-open slicing recur throughout Python.</w:t>
      </w:r>
    </w:p>
    <w:p>
      <w:pPr>
        <w:pStyle w:val="Compact"/>
        <w:numPr>
          <w:ilvl w:val="0"/>
          <w:numId w:val="1018"/>
        </w:numPr>
      </w:pPr>
      <w:r>
        <w:t xml:space="preserve">Comprehensions are best kept simple.</w:t>
      </w:r>
    </w:p>
    <w:bookmarkEnd w:id="101"/>
    <w:bookmarkStart w:id="102" w:name="key-python-commands-3"/>
    <w:p>
      <w:pPr>
        <w:pStyle w:val="Heading2"/>
        <w:keepNext/>
      </w:pPr>
      <w:r>
        <w:rPr>
          <w:rStyle w:val="SectionNumber"/>
          <w:rFonts w:ascii="Noto Sans" w:hAnsi="Noto Sans" w:eastAsia="Noto Sans" w:cs="Noto Sans"/>
          <w:b/>
          <w:color w:val="008F87"/>
          <w:sz w:val="29"/>
        </w:rPr>
        <w:t xml:space="preserve">4.11</w:t>
      </w:r>
      <w:r>
        <w:rPr>
          <w:rFonts w:ascii="Noto Sans" w:hAnsi="Noto Sans" w:eastAsia="Noto Sans" w:cs="Noto Sans"/>
          <w:b/>
          <w:color w:val="008F87"/>
          <w:sz w:val="29"/>
        </w:rPr>
        <w:tab/>
      </w:r>
      <w:r>
        <w:rPr>
          <w:rFonts w:ascii="Noto Sans" w:hAnsi="Noto Sans" w:eastAsia="Noto Sans" w:cs="Noto Sans"/>
          <w:b/>
          <w:color w:val="008F87"/>
          <w:sz w:val="29"/>
        </w:rPr>
        <w:t xml:space="preserve">Key Python commands</w:t>
      </w:r>
    </w:p>
    <w:p>
      <w:pPr>
        <w:pStyle w:val="SourceCode"/>
        <w:keepLines/>
        <w:shd w:fill="F6F8FA" w:val="clear"/>
      </w:pPr>
      <w:r>
        <w:rPr>
          <w:rStyle w:val="BuiltInTok"/>
        </w:rPr>
        <w:t xml:space="preserve">print</w:t>
      </w:r>
      <w:r>
        <w:rPr>
          <w:rStyle w:val="NormalTok"/>
        </w:rPr>
        <w:t xml:space="preserve">(returns[</w:t>
      </w:r>
      <w:r>
        <w:rPr>
          <w:rStyle w:val="DecValTok"/>
        </w:rPr>
        <w:t xml:space="preserve">0</w:t>
      </w:r>
      <w:r>
        <w:rPr>
          <w:rStyle w:val="NormalTok"/>
        </w:rPr>
        <w:t xml:space="preserve">])</w:t>
      </w:r>
      <w:r>
        <w:br/>
      </w:r>
      <w:r>
        <w:rPr>
          <w:rStyle w:val="BuiltInTok"/>
        </w:rPr>
        <w:t xml:space="preserve">print</w:t>
      </w:r>
      <w:r>
        <w:rPr>
          <w:rStyle w:val="NormalTok"/>
        </w:rPr>
        <w:t xml:space="preserve">(returns[</w:t>
      </w:r>
      <w:r>
        <w:rPr>
          <w:rStyle w:val="OperatorTok"/>
        </w:rPr>
        <w:t xml:space="preserve">-</w:t>
      </w:r>
      <w:r>
        <w:rPr>
          <w:rStyle w:val="DecValTok"/>
        </w:rPr>
        <w:t xml:space="preserve">1</w:t>
      </w:r>
      <w:r>
        <w:rPr>
          <w:rStyle w:val="NormalTok"/>
        </w:rPr>
        <w:t xml:space="preserve">])</w:t>
      </w:r>
      <w:r>
        <w:br/>
      </w:r>
      <w:r>
        <w:rPr>
          <w:rStyle w:val="BuiltInTok"/>
        </w:rPr>
        <w:t xml:space="preserve">print</w:t>
      </w:r>
      <w:r>
        <w:rPr>
          <w:rStyle w:val="NormalTok"/>
        </w:rPr>
        <w:t xml:space="preserve">(returns[</w:t>
      </w:r>
      <w:r>
        <w:rPr>
          <w:rStyle w:val="DecValTok"/>
        </w:rPr>
        <w:t xml:space="preserve">1</w:t>
      </w:r>
      <w:r>
        <w:rPr>
          <w:rStyle w:val="NormalTok"/>
        </w:rPr>
        <w:t xml:space="preserve">:</w:t>
      </w:r>
      <w:r>
        <w:rPr>
          <w:rStyle w:val="DecValTok"/>
        </w:rPr>
        <w:t xml:space="preserve">4</w:t>
      </w:r>
      <w:r>
        <w:rPr>
          <w:rStyle w:val="NormalTok"/>
        </w:rPr>
        <w:t xml:space="preserve">])</w:t>
      </w:r>
      <w:r>
        <w:br/>
      </w:r>
      <w:r>
        <w:rPr>
          <w:rStyle w:val="BuiltInTok"/>
        </w:rPr>
        <w:t xml:space="preserve">print</w:t>
      </w:r>
      <w:r>
        <w:rPr>
          <w:rStyle w:val="NormalTok"/>
        </w:rPr>
        <w:t xml:space="preserve">(</w:t>
      </w:r>
      <w:r>
        <w:rPr>
          <w:rStyle w:val="BuiltInTok"/>
        </w:rPr>
        <w:t xml:space="preserve">sum</w:t>
      </w:r>
      <w:r>
        <w:rPr>
          <w:rStyle w:val="NormalTok"/>
        </w:rPr>
        <w:t xml:space="preserve">(weights.values()))</w:t>
      </w:r>
      <w:r>
        <w:br/>
      </w:r>
      <w:r>
        <w:rPr>
          <w:rStyle w:val="NormalTok"/>
        </w:rPr>
        <w:t xml:space="preserve">large_positions </w:t>
      </w:r>
      <w:r>
        <w:rPr>
          <w:rStyle w:val="OperatorTok"/>
        </w:rPr>
        <w:t xml:space="preserve">=</w:t>
      </w:r>
      <w:r>
        <w:rPr>
          <w:rStyle w:val="NormalTok"/>
        </w:rPr>
        <w:t xml:space="preserve"> [asset </w:t>
      </w:r>
      <w:r>
        <w:rPr>
          <w:rStyle w:val="ControlFlowTok"/>
        </w:rPr>
        <w:t xml:space="preserve">for</w:t>
      </w:r>
      <w:r>
        <w:rPr>
          <w:rStyle w:val="NormalTok"/>
        </w:rPr>
        <w:t xml:space="preserve"> asset, w </w:t>
      </w:r>
      <w:r>
        <w:rPr>
          <w:rStyle w:val="KeywordTok"/>
        </w:rPr>
        <w:t xml:space="preserve">in</w:t>
      </w:r>
      <w:r>
        <w:rPr>
          <w:rStyle w:val="NormalTok"/>
        </w:rPr>
        <w:t xml:space="preserve"> weights.items() </w:t>
      </w:r>
      <w:r>
        <w:rPr>
          <w:rStyle w:val="ControlFlowTok"/>
        </w:rPr>
        <w:t xml:space="preserve">if</w:t>
      </w:r>
      <w:r>
        <w:rPr>
          <w:rStyle w:val="NormalTok"/>
        </w:rPr>
        <w:t xml:space="preserve"> w </w:t>
      </w:r>
      <w:r>
        <w:rPr>
          <w:rStyle w:val="OperatorTok"/>
        </w:rPr>
        <w:t xml:space="preserve">&gt;=</w:t>
      </w:r>
      <w:r>
        <w:rPr>
          <w:rStyle w:val="NormalTok"/>
        </w:rPr>
        <w:t xml:space="preserve"> </w:t>
      </w:r>
      <w:r>
        <w:rPr>
          <w:rStyle w:val="FloatTok"/>
        </w:rPr>
        <w:t xml:space="preserve">0.30</w:t>
      </w:r>
      <w:r>
        <w:rPr>
          <w:rStyle w:val="NormalTok"/>
        </w:rPr>
        <w:t xml:space="preserve">]</w:t>
      </w:r>
      <w:r>
        <w:br/>
      </w:r>
      <w:r>
        <w:rPr>
          <w:rStyle w:val="BuiltInTok"/>
        </w:rPr>
        <w:t xml:space="preserve">print</w:t>
      </w:r>
      <w:r>
        <w:rPr>
          <w:rStyle w:val="NormalTok"/>
        </w:rPr>
        <w:t xml:space="preserve">(large_positions)</w:t>
      </w:r>
    </w:p>
    <w:bookmarkEnd w:id="102"/>
    <w:bookmarkEnd w:id="103"/>
    <w:bookmarkStart w:id="120" w:name="decisions-loops-and-iteration"/>
    <w:p>
      <w:pPr>
        <w:pStyle w:val="Heading1"/>
        <w:keepNext/>
        <w:pageBreakBefore/>
      </w:pPr>
      <w:r>
        <w:rPr>
          <w:rStyle w:val="SectionNumber"/>
          <w:rFonts w:ascii="Noto Sans" w:hAnsi="Noto Sans" w:eastAsia="Noto Sans" w:cs="Noto Sans"/>
          <w:b/>
          <w:color w:val="0A2342"/>
          <w:sz w:val="43"/>
        </w:rPr>
        <w:t xml:space="preserve">5</w:t>
      </w:r>
      <w:r>
        <w:rPr>
          <w:rFonts w:ascii="Noto Sans" w:hAnsi="Noto Sans" w:eastAsia="Noto Sans" w:cs="Noto Sans"/>
          <w:b/>
          <w:color w:val="0A2342"/>
          <w:sz w:val="43"/>
        </w:rPr>
        <w:tab/>
      </w:r>
      <w:r>
        <w:rPr>
          <w:rFonts w:ascii="Noto Sans" w:hAnsi="Noto Sans" w:eastAsia="Noto Sans" w:cs="Noto Sans"/>
          <w:b/>
          <w:color w:val="0A2342"/>
          <w:sz w:val="43"/>
        </w:rPr>
        <w:t xml:space="preserve">Decisions, Loops, and Iteration</w:t>
      </w:r>
    </w:p>
    <w:p>
      <w:pPr>
        <w:pStyle w:val="FirstParagraph"/>
      </w:pPr>
      <w:r>
        <w:rPr>
          <w:i/>
          <w:iCs/>
        </w:rPr>
        <w:t xml:space="preserve">Opening question:</w:t>
      </w:r>
      <w:r>
        <w:t xml:space="preserve"> </w:t>
      </w:r>
      <w:r>
        <w:rPr>
          <w:b/>
          <w:bCs/>
        </w:rPr>
        <w:t xml:space="preserve">How can a script apply a rule repeatedly while remaining easy to inspect?</w:t>
      </w:r>
    </w:p>
    <w:bookmarkStart w:id="104" w:name="learning-objectives-4"/>
    <w:p>
      <w:pPr>
        <w:pStyle w:val="Heading2"/>
        <w:keepNext/>
      </w:pPr>
      <w:r>
        <w:rPr>
          <w:rStyle w:val="SectionNumber"/>
          <w:rFonts w:ascii="Noto Sans" w:hAnsi="Noto Sans" w:eastAsia="Noto Sans" w:cs="Noto Sans"/>
          <w:b/>
          <w:color w:val="008F87"/>
          <w:sz w:val="29"/>
        </w:rPr>
        <w:t xml:space="preserve">5.1</w:t>
      </w:r>
      <w:r>
        <w:rPr>
          <w:rFonts w:ascii="Noto Sans" w:hAnsi="Noto Sans" w:eastAsia="Noto Sans" w:cs="Noto Sans"/>
          <w:b/>
          <w:color w:val="008F87"/>
          <w:sz w:val="29"/>
        </w:rPr>
        <w:tab/>
      </w:r>
      <w:r>
        <w:rPr>
          <w:rFonts w:ascii="Noto Sans" w:hAnsi="Noto Sans" w:eastAsia="Noto Sans" w:cs="Noto Sans"/>
          <w:b/>
          <w:color w:val="008F87"/>
          <w:sz w:val="29"/>
        </w:rPr>
        <w:t xml:space="preserve">Learning objectives</w:t>
      </w:r>
    </w:p>
    <w:p>
      <w:pPr>
        <w:pStyle w:val="Compact"/>
        <w:numPr>
          <w:ilvl w:val="0"/>
          <w:numId w:val="1019"/>
        </w:numPr>
      </w:pPr>
      <w:r>
        <w:t xml:space="preserve">Write conditional branches.</w:t>
      </w:r>
    </w:p>
    <w:p>
      <w:pPr>
        <w:pStyle w:val="Compact"/>
        <w:numPr>
          <w:ilvl w:val="0"/>
          <w:numId w:val="1019"/>
        </w:numPr>
      </w:pPr>
      <w:r>
        <w:t xml:space="preserve">Iterate with for and while loops.</w:t>
      </w:r>
    </w:p>
    <w:p>
      <w:pPr>
        <w:pStyle w:val="Compact"/>
        <w:numPr>
          <w:ilvl w:val="0"/>
          <w:numId w:val="1019"/>
        </w:numPr>
      </w:pPr>
      <w:r>
        <w:t xml:space="preserve">Use enumerate and zip.</w:t>
      </w:r>
    </w:p>
    <w:p>
      <w:pPr>
        <w:pStyle w:val="Compact"/>
        <w:numPr>
          <w:ilvl w:val="0"/>
          <w:numId w:val="1019"/>
        </w:numPr>
      </w:pPr>
      <w:r>
        <w:t xml:space="preserve">Recognize when vectorization is clearer.</w:t>
      </w:r>
    </w:p>
    <w:p>
      <w:pPr>
        <w:pStyle w:val="FirstParagraph"/>
      </w:pPr>
      <w:r>
        <w:rPr>
          <w:b/>
          <w:bCs/>
        </w:rPr>
        <w:t xml:space="preserve">Prerequisites:</w:t>
      </w:r>
      <w:r>
        <w:t xml:space="preserve"> </w:t>
      </w:r>
      <w:r>
        <w:t xml:space="preserve">Chapters 3 and 4.</w:t>
      </w:r>
    </w:p>
    <w:p>
      <w:pPr>
        <w:pStyle w:val="BodyText"/>
      </w:pPr>
      <w:r>
        <w:rPr>
          <w:b/>
          <w:bCs/>
        </w:rPr>
        <w:t xml:space="preserve">Key terms:</w:t>
      </w:r>
      <w:r>
        <w:t xml:space="preserve"> </w:t>
      </w:r>
      <w:r>
        <w:t xml:space="preserve">if, for, while, iteration, enumerate, vectorization.</w:t>
      </w:r>
    </w:p>
    <w:bookmarkEnd w:id="104"/>
    <w:bookmarkStart w:id="105" w:name="branches-encode-explicit-rules"/>
    <w:p>
      <w:pPr>
        <w:pStyle w:val="Heading2"/>
        <w:keepNext/>
      </w:pPr>
      <w:r>
        <w:rPr>
          <w:rStyle w:val="SectionNumber"/>
          <w:rFonts w:ascii="Noto Sans" w:hAnsi="Noto Sans" w:eastAsia="Noto Sans" w:cs="Noto Sans"/>
          <w:b/>
          <w:color w:val="008F87"/>
          <w:sz w:val="29"/>
        </w:rPr>
        <w:t xml:space="preserve">5.2</w:t>
      </w:r>
      <w:r>
        <w:rPr>
          <w:rFonts w:ascii="Noto Sans" w:hAnsi="Noto Sans" w:eastAsia="Noto Sans" w:cs="Noto Sans"/>
          <w:b/>
          <w:color w:val="008F87"/>
          <w:sz w:val="29"/>
        </w:rPr>
        <w:tab/>
      </w:r>
      <w:r>
        <w:rPr>
          <w:rFonts w:ascii="Noto Sans" w:hAnsi="Noto Sans" w:eastAsia="Noto Sans" w:cs="Noto Sans"/>
          <w:b/>
          <w:color w:val="008F87"/>
          <w:sz w:val="29"/>
        </w:rPr>
        <w:t xml:space="preserve">Branches encode explicit rules</w:t>
      </w:r>
    </w:p>
    <w:p>
      <w:pPr>
        <w:pStyle w:val="FirstParagraph"/>
      </w:pPr>
      <w:r>
        <w:t xml:space="preserve">An</w:t>
      </w:r>
      <w:r>
        <w:t xml:space="preserve"> </w:t>
      </w:r>
      <w:r>
        <w:rPr>
          <w:rStyle w:val="VerbatimChar"/>
        </w:rPr>
        <w:t xml:space="preserve">if</w:t>
      </w:r>
      <w:r>
        <w:t xml:space="preserve"> </w:t>
      </w:r>
      <w:r>
        <w:t xml:space="preserve">statement selects a path based on a Boolean expression. In finance, a branch might classify a return as a loss, gain, or no change. In data cleaning, it might reject a negative quantity that should never be negative. Conditions should be mutually understandable, and boundary values deserve attention. A rule using</w:t>
      </w:r>
      <w:r>
        <w:t xml:space="preserve"> </w:t>
      </w:r>
      <w:r>
        <w:rPr>
          <w:rStyle w:val="VerbatimChar"/>
        </w:rPr>
        <w:t xml:space="preserve">&gt;</w:t>
      </w:r>
      <w:r>
        <w:t xml:space="preserve"> </w:t>
      </w:r>
      <w:r>
        <w:t xml:space="preserve">differs from one using</w:t>
      </w:r>
      <w:r>
        <w:t xml:space="preserve"> </w:t>
      </w:r>
      <w:r>
        <w:rPr>
          <w:rStyle w:val="VerbatimChar"/>
        </w:rPr>
        <w:t xml:space="preserve">&gt;=</w:t>
      </w:r>
      <w:r>
        <w:t xml:space="preserve">; that single character may decide which risk bucket receives an observation.</w:t>
      </w:r>
    </w:p>
    <w:bookmarkEnd w:id="105"/>
    <w:bookmarkStart w:id="106" w:name="loops-reveal-sequence"/>
    <w:p>
      <w:pPr>
        <w:pStyle w:val="Heading2"/>
        <w:keepNext/>
      </w:pPr>
      <w:r>
        <w:rPr>
          <w:rStyle w:val="SectionNumber"/>
          <w:rFonts w:ascii="Noto Sans" w:hAnsi="Noto Sans" w:eastAsia="Noto Sans" w:cs="Noto Sans"/>
          <w:b/>
          <w:color w:val="008F87"/>
          <w:sz w:val="29"/>
        </w:rPr>
        <w:t xml:space="preserve">5.3</w:t>
      </w:r>
      <w:r>
        <w:rPr>
          <w:rFonts w:ascii="Noto Sans" w:hAnsi="Noto Sans" w:eastAsia="Noto Sans" w:cs="Noto Sans"/>
          <w:b/>
          <w:color w:val="008F87"/>
          <w:sz w:val="29"/>
        </w:rPr>
        <w:tab/>
      </w:r>
      <w:r>
        <w:rPr>
          <w:rFonts w:ascii="Noto Sans" w:hAnsi="Noto Sans" w:eastAsia="Noto Sans" w:cs="Noto Sans"/>
          <w:b/>
          <w:color w:val="008F87"/>
          <w:sz w:val="29"/>
        </w:rPr>
        <w:t xml:space="preserve">Loops reveal sequence</w:t>
      </w:r>
    </w:p>
    <w:p>
      <w:pPr>
        <w:pStyle w:val="FirstParagraph"/>
      </w:pPr>
      <w:r>
        <w:t xml:space="preserve">A</w:t>
      </w:r>
      <w:r>
        <w:t xml:space="preserve"> </w:t>
      </w:r>
      <w:r>
        <w:rPr>
          <w:rStyle w:val="VerbatimChar"/>
        </w:rPr>
        <w:t xml:space="preserve">for</w:t>
      </w:r>
      <w:r>
        <w:t xml:space="preserve"> </w:t>
      </w:r>
      <w:r>
        <w:t xml:space="preserve">loop is appropriate when the script should visit each element of a known iterable. A</w:t>
      </w:r>
      <w:r>
        <w:t xml:space="preserve"> </w:t>
      </w:r>
      <w:r>
        <w:rPr>
          <w:rStyle w:val="VerbatimChar"/>
        </w:rPr>
        <w:t xml:space="preserve">while</w:t>
      </w:r>
      <w:r>
        <w:t xml:space="preserve"> </w:t>
      </w:r>
      <w:r>
        <w:t xml:space="preserve">loop repeats until a condition changes and therefore requires special care to avoid infinite execution.</w:t>
      </w:r>
      <w:r>
        <w:t xml:space="preserve"> </w:t>
      </w:r>
      <w:r>
        <w:rPr>
          <w:rStyle w:val="VerbatimChar"/>
        </w:rPr>
        <w:t xml:space="preserve">enumerate</w:t>
      </w:r>
      <w:r>
        <w:t xml:space="preserve"> </w:t>
      </w:r>
      <w:r>
        <w:t xml:space="preserve">supplies both position and value;</w:t>
      </w:r>
      <w:r>
        <w:t xml:space="preserve"> </w:t>
      </w:r>
      <w:r>
        <w:rPr>
          <w:rStyle w:val="VerbatimChar"/>
        </w:rPr>
        <w:t xml:space="preserve">zip</w:t>
      </w:r>
      <w:r>
        <w:t xml:space="preserve"> </w:t>
      </w:r>
      <w:r>
        <w:t xml:space="preserve">walks through aligned sequences. These tools are valuable for file inventories, simulation replications, and diagnostic reports.</w:t>
      </w:r>
    </w:p>
    <w:bookmarkEnd w:id="106"/>
    <w:bookmarkStart w:id="107" w:name="vectorization-is-not-a-moral-command"/>
    <w:p>
      <w:pPr>
        <w:pStyle w:val="Heading2"/>
        <w:keepNext/>
      </w:pPr>
      <w:r>
        <w:rPr>
          <w:rStyle w:val="SectionNumber"/>
          <w:rFonts w:ascii="Noto Sans" w:hAnsi="Noto Sans" w:eastAsia="Noto Sans" w:cs="Noto Sans"/>
          <w:b/>
          <w:color w:val="008F87"/>
          <w:sz w:val="29"/>
        </w:rPr>
        <w:t xml:space="preserve">5.4</w:t>
      </w:r>
      <w:r>
        <w:rPr>
          <w:rFonts w:ascii="Noto Sans" w:hAnsi="Noto Sans" w:eastAsia="Noto Sans" w:cs="Noto Sans"/>
          <w:b/>
          <w:color w:val="008F87"/>
          <w:sz w:val="29"/>
        </w:rPr>
        <w:tab/>
      </w:r>
      <w:r>
        <w:rPr>
          <w:rFonts w:ascii="Noto Sans" w:hAnsi="Noto Sans" w:eastAsia="Noto Sans" w:cs="Noto Sans"/>
          <w:b/>
          <w:color w:val="008F87"/>
          <w:sz w:val="29"/>
        </w:rPr>
        <w:t xml:space="preserve">Vectorization is not a moral command</w:t>
      </w:r>
    </w:p>
    <w:p>
      <w:pPr>
        <w:pStyle w:val="FirstParagraph"/>
      </w:pPr>
      <w:r>
        <w:t xml:space="preserve">NumPy and pandas often replace Python loops with vectorized operations that are faster and shorter. Yet a transparent loop may be preferable for teaching a recursive forecast or validating a complex rule. The right question is not</w:t>
      </w:r>
      <w:r>
        <w:t xml:space="preserve"> </w:t>
      </w:r>
      <w:r>
        <w:t xml:space="preserve">“</w:t>
      </w:r>
      <w:r>
        <w:t xml:space="preserve">Can I remove the loop?</w:t>
      </w:r>
      <w:r>
        <w:t xml:space="preserve">”</w:t>
      </w:r>
      <w:r>
        <w:t xml:space="preserve"> </w:t>
      </w:r>
      <w:r>
        <w:t xml:space="preserve">but</w:t>
      </w:r>
      <w:r>
        <w:t xml:space="preserve"> </w:t>
      </w:r>
      <w:r>
        <w:t xml:space="preserve">“</w:t>
      </w:r>
      <w:r>
        <w:t xml:space="preserve">Which form makes the algorithm easiest to verify?</w:t>
      </w:r>
      <w:r>
        <w:t xml:space="preserve">”</w:t>
      </w:r>
      <w:r>
        <w:t xml:space="preserve"> </w:t>
      </w:r>
      <w:r>
        <w:t xml:space="preserve">Performance matters after correctness and clarity are established.</w:t>
      </w:r>
    </w:p>
    <w:bookmarkEnd w:id="107"/>
    <w:bookmarkStart w:id="110" w:name="python-demonstrations-4"/>
    <w:p>
      <w:pPr>
        <w:pStyle w:val="Heading2"/>
        <w:keepNext/>
      </w:pPr>
      <w:r>
        <w:rPr>
          <w:rStyle w:val="SectionNumber"/>
          <w:rFonts w:ascii="Noto Sans" w:hAnsi="Noto Sans" w:eastAsia="Noto Sans" w:cs="Noto Sans"/>
          <w:b/>
          <w:color w:val="008F87"/>
          <w:sz w:val="29"/>
        </w:rPr>
        <w:t xml:space="preserve">5.5</w:t>
      </w:r>
      <w:r>
        <w:rPr>
          <w:rFonts w:ascii="Noto Sans" w:hAnsi="Noto Sans" w:eastAsia="Noto Sans" w:cs="Noto Sans"/>
          <w:b/>
          <w:color w:val="008F87"/>
          <w:sz w:val="29"/>
        </w:rPr>
        <w:tab/>
      </w:r>
      <w:r>
        <w:rPr>
          <w:rFonts w:ascii="Noto Sans" w:hAnsi="Noto Sans" w:eastAsia="Noto Sans" w:cs="Noto Sans"/>
          <w:b/>
          <w:color w:val="008F87"/>
          <w:sz w:val="29"/>
        </w:rPr>
        <w:t xml:space="preserve">Python demonstrations</w:t>
      </w:r>
    </w:p>
    <w:bookmarkStart w:id="108" w:name="demonstration-5.1-classify-returns"/>
    <w:p>
      <w:pPr>
        <w:pStyle w:val="Heading3"/>
        <w:keepNext/>
      </w:pPr>
      <w:r>
        <w:rPr>
          <w:rStyle w:val="SectionNumber"/>
          <w:rFonts w:ascii="Noto Sans" w:hAnsi="Noto Sans" w:eastAsia="Noto Sans" w:cs="Noto Sans"/>
          <w:b/>
          <w:color w:val="0A2342"/>
          <w:sz w:val="23"/>
        </w:rPr>
        <w:t xml:space="preserve">5.5.1</w:t>
      </w:r>
      <w:r>
        <w:rPr>
          <w:rFonts w:ascii="Noto Sans" w:hAnsi="Noto Sans" w:eastAsia="Noto Sans" w:cs="Noto Sans"/>
          <w:b/>
          <w:color w:val="0A2342"/>
          <w:sz w:val="23"/>
        </w:rPr>
        <w:tab/>
      </w:r>
      <w:r>
        <w:rPr>
          <w:rFonts w:ascii="Noto Sans" w:hAnsi="Noto Sans" w:eastAsia="Noto Sans" w:cs="Noto Sans"/>
          <w:b/>
          <w:color w:val="0A2342"/>
          <w:sz w:val="23"/>
        </w:rPr>
        <w:t xml:space="preserve">Demonstration 5.1: Classify returns</w:t>
      </w:r>
    </w:p>
    <w:p>
      <w:pPr>
        <w:pStyle w:val="SourceCode"/>
        <w:keepLines/>
        <w:shd w:fill="F6F8FA" w:val="clear"/>
      </w:pPr>
      <w:r>
        <w:rPr>
          <w:rStyle w:val="NormalTok"/>
        </w:rPr>
        <w:t xml:space="preserve">returns </w:t>
      </w:r>
      <w:r>
        <w:rPr>
          <w:rStyle w:val="OperatorTok"/>
        </w:rPr>
        <w:t xml:space="preserve">=</w:t>
      </w:r>
      <w:r>
        <w:rPr>
          <w:rStyle w:val="NormalTok"/>
        </w:rPr>
        <w:t xml:space="preserve"> [</w:t>
      </w:r>
      <w:r>
        <w:rPr>
          <w:rStyle w:val="FloatTok"/>
        </w:rPr>
        <w:t xml:space="preserve">0.02</w:t>
      </w:r>
      <w:r>
        <w:rPr>
          <w:rStyle w:val="NormalTok"/>
        </w:rPr>
        <w:t xml:space="preserve">, </w:t>
      </w:r>
      <w:r>
        <w:rPr>
          <w:rStyle w:val="OperatorTok"/>
        </w:rPr>
        <w:t xml:space="preserve">-</w:t>
      </w:r>
      <w:r>
        <w:rPr>
          <w:rStyle w:val="FloatTok"/>
        </w:rPr>
        <w:t xml:space="preserve">0.01</w:t>
      </w:r>
      <w:r>
        <w:rPr>
          <w:rStyle w:val="NormalTok"/>
        </w:rPr>
        <w:t xml:space="preserve">, </w:t>
      </w:r>
      <w:r>
        <w:rPr>
          <w:rStyle w:val="FloatTok"/>
        </w:rPr>
        <w:t xml:space="preserve">0.0</w:t>
      </w:r>
      <w:r>
        <w:rPr>
          <w:rStyle w:val="NormalTok"/>
        </w:rPr>
        <w:t xml:space="preserve">]</w:t>
      </w:r>
      <w:r>
        <w:br/>
      </w:r>
      <w:r>
        <w:rPr>
          <w:rStyle w:val="ControlFlowTok"/>
        </w:rPr>
        <w:t xml:space="preserve">for</w:t>
      </w:r>
      <w:r>
        <w:rPr>
          <w:rStyle w:val="NormalTok"/>
        </w:rPr>
        <w:t xml:space="preserve"> r </w:t>
      </w:r>
      <w:r>
        <w:rPr>
          <w:rStyle w:val="KeywordTok"/>
        </w:rPr>
        <w:t xml:space="preserve">in</w:t>
      </w:r>
      <w:r>
        <w:rPr>
          <w:rStyle w:val="NormalTok"/>
        </w:rPr>
        <w:t xml:space="preserve"> returns:</w:t>
      </w:r>
      <w:r>
        <w:br/>
      </w:r>
      <w:r>
        <w:rPr>
          <w:rStyle w:val="NormalTok"/>
        </w:rPr>
        <w:t xml:space="preserve">    </w:t>
      </w:r>
      <w:r>
        <w:rPr>
          <w:rStyle w:val="ControlFlowTok"/>
        </w:rPr>
        <w:t xml:space="preserve">if</w:t>
      </w:r>
      <w:r>
        <w:rPr>
          <w:rStyle w:val="NormalTok"/>
        </w:rPr>
        <w:t xml:space="preserve"> r </w:t>
      </w:r>
      <w:r>
        <w:rPr>
          <w:rStyle w:val="OperatorTok"/>
        </w:rPr>
        <w:t xml:space="preserve">&gt;</w:t>
      </w:r>
      <w:r>
        <w:rPr>
          <w:rStyle w:val="NormalTok"/>
        </w:rPr>
        <w:t xml:space="preserve"> </w:t>
      </w:r>
      <w:r>
        <w:rPr>
          <w:rStyle w:val="DecValTok"/>
        </w:rPr>
        <w:t xml:space="preserve">0</w:t>
      </w:r>
      <w:r>
        <w:rPr>
          <w:rStyle w:val="NormalTok"/>
        </w:rPr>
        <w:t xml:space="preserve">:</w:t>
      </w:r>
      <w:r>
        <w:br/>
      </w:r>
      <w:r>
        <w:rPr>
          <w:rStyle w:val="NormalTok"/>
        </w:rPr>
        <w:t xml:space="preserve">        label </w:t>
      </w:r>
      <w:r>
        <w:rPr>
          <w:rStyle w:val="OperatorTok"/>
        </w:rPr>
        <w:t xml:space="preserve">=</w:t>
      </w:r>
      <w:r>
        <w:rPr>
          <w:rStyle w:val="NormalTok"/>
        </w:rPr>
        <w:t xml:space="preserve"> </w:t>
      </w:r>
      <w:r>
        <w:rPr>
          <w:rStyle w:val="StringTok"/>
        </w:rPr>
        <w:t xml:space="preserve">"gain"</w:t>
      </w:r>
      <w:r>
        <w:br/>
      </w:r>
      <w:r>
        <w:rPr>
          <w:rStyle w:val="NormalTok"/>
        </w:rPr>
        <w:t xml:space="preserve">    </w:t>
      </w:r>
      <w:r>
        <w:rPr>
          <w:rStyle w:val="ControlFlowTok"/>
        </w:rPr>
        <w:t xml:space="preserve">elif</w:t>
      </w:r>
      <w:r>
        <w:rPr>
          <w:rStyle w:val="NormalTok"/>
        </w:rPr>
        <w:t xml:space="preserve"> r </w:t>
      </w:r>
      <w:r>
        <w:rPr>
          <w:rStyle w:val="OperatorTok"/>
        </w:rPr>
        <w:t xml:space="preserve">&lt;</w:t>
      </w:r>
      <w:r>
        <w:rPr>
          <w:rStyle w:val="NormalTok"/>
        </w:rPr>
        <w:t xml:space="preserve"> </w:t>
      </w:r>
      <w:r>
        <w:rPr>
          <w:rStyle w:val="DecValTok"/>
        </w:rPr>
        <w:t xml:space="preserve">0</w:t>
      </w:r>
      <w:r>
        <w:rPr>
          <w:rStyle w:val="NormalTok"/>
        </w:rPr>
        <w:t xml:space="preserve">:</w:t>
      </w:r>
      <w:r>
        <w:br/>
      </w:r>
      <w:r>
        <w:rPr>
          <w:rStyle w:val="NormalTok"/>
        </w:rPr>
        <w:t xml:space="preserve">        label </w:t>
      </w:r>
      <w:r>
        <w:rPr>
          <w:rStyle w:val="OperatorTok"/>
        </w:rPr>
        <w:t xml:space="preserve">=</w:t>
      </w:r>
      <w:r>
        <w:rPr>
          <w:rStyle w:val="NormalTok"/>
        </w:rPr>
        <w:t xml:space="preserve"> </w:t>
      </w:r>
      <w:r>
        <w:rPr>
          <w:rStyle w:val="StringTok"/>
        </w:rPr>
        <w:t xml:space="preserve">"loss"</w:t>
      </w:r>
      <w:r>
        <w:br/>
      </w:r>
      <w:r>
        <w:rPr>
          <w:rStyle w:val="NormalTok"/>
        </w:rPr>
        <w:t xml:space="preserve">    </w:t>
      </w:r>
      <w:r>
        <w:rPr>
          <w:rStyle w:val="ControlFlowTok"/>
        </w:rPr>
        <w:t xml:space="preserve">else</w:t>
      </w:r>
      <w:r>
        <w:rPr>
          <w:rStyle w:val="NormalTok"/>
        </w:rPr>
        <w:t xml:space="preserve">:</w:t>
      </w:r>
      <w:r>
        <w:br/>
      </w:r>
      <w:r>
        <w:rPr>
          <w:rStyle w:val="NormalTok"/>
        </w:rPr>
        <w:t xml:space="preserve">        label </w:t>
      </w:r>
      <w:r>
        <w:rPr>
          <w:rStyle w:val="OperatorTok"/>
        </w:rPr>
        <w:t xml:space="preserve">=</w:t>
      </w:r>
      <w:r>
        <w:rPr>
          <w:rStyle w:val="NormalTok"/>
        </w:rPr>
        <w:t xml:space="preserve"> </w:t>
      </w:r>
      <w:r>
        <w:rPr>
          <w:rStyle w:val="StringTok"/>
        </w:rPr>
        <w:t xml:space="preserve">"flat"</w:t>
      </w:r>
      <w:r>
        <w:br/>
      </w:r>
      <w:r>
        <w:rPr>
          <w:rStyle w:val="NormalTok"/>
        </w:rPr>
        <w:t xml:space="preserve">    </w:t>
      </w:r>
      <w:r>
        <w:rPr>
          <w:rStyle w:val="BuiltInTok"/>
        </w:rPr>
        <w:t xml:space="preserve">print</w:t>
      </w:r>
      <w:r>
        <w:rPr>
          <w:rStyle w:val="NormalTok"/>
        </w:rPr>
        <w:t xml:space="preserve">(label)</w:t>
      </w:r>
    </w:p>
    <w:p>
      <w:pPr>
        <w:pStyle w:val="FirstParagraph"/>
      </w:pPr>
      <w:r>
        <w:rPr>
          <w:b/>
          <w:bCs/>
        </w:rPr>
        <w:t xml:space="preserve">Verified output</w:t>
      </w:r>
    </w:p>
    <w:p>
      <w:pPr>
        <w:pStyle w:val="SourceCode"/>
        <w:keepLines/>
        <w:shd w:fill="F6F8FA" w:val="clear"/>
      </w:pPr>
      <w:r>
        <w:rPr>
          <w:rStyle w:val="VerbatimChar"/>
        </w:rPr>
        <w:t xml:space="preserve">gain</w:t>
      </w:r>
      <w:r>
        <w:br/>
      </w:r>
      <w:r>
        <w:rPr>
          <w:rStyle w:val="VerbatimChar"/>
        </w:rPr>
        <w:t xml:space="preserve">loss</w:t>
      </w:r>
      <w:r>
        <w:br/>
      </w:r>
      <w:r>
        <w:rPr>
          <w:rStyle w:val="VerbatimChar"/>
        </w:rPr>
        <w:t xml:space="preserve">flat</w:t>
      </w:r>
    </w:p>
    <w:p>
      <w:pPr>
        <w:pStyle w:val="FirstParagraph"/>
      </w:pPr>
      <w:r>
        <w:rPr>
          <w:b/>
          <w:bCs/>
        </w:rPr>
        <w:t xml:space="preserve">Interpretation.</w:t>
      </w:r>
      <w:r>
        <w:t xml:space="preserve"> </w:t>
      </w:r>
      <w:r>
        <w:t xml:space="preserve">The zero case is handled explicitly rather than being absorbed into gain or loss.</w:t>
      </w:r>
    </w:p>
    <w:bookmarkEnd w:id="108"/>
    <w:bookmarkStart w:id="109" w:name="X6ea558d9c4ccf88a83afb24bb27fd606e254a80"/>
    <w:p>
      <w:pPr>
        <w:pStyle w:val="Heading3"/>
        <w:keepNext/>
      </w:pPr>
      <w:r>
        <w:rPr>
          <w:rStyle w:val="SectionNumber"/>
          <w:rFonts w:ascii="Noto Sans" w:hAnsi="Noto Sans" w:eastAsia="Noto Sans" w:cs="Noto Sans"/>
          <w:b/>
          <w:color w:val="0A2342"/>
          <w:sz w:val="23"/>
        </w:rPr>
        <w:t xml:space="preserve">5.5.2</w:t>
      </w:r>
      <w:r>
        <w:rPr>
          <w:rFonts w:ascii="Noto Sans" w:hAnsi="Noto Sans" w:eastAsia="Noto Sans" w:cs="Noto Sans"/>
          <w:b/>
          <w:color w:val="0A2342"/>
          <w:sz w:val="23"/>
        </w:rPr>
        <w:tab/>
      </w:r>
      <w:r>
        <w:rPr>
          <w:rFonts w:ascii="Noto Sans" w:hAnsi="Noto Sans" w:eastAsia="Noto Sans" w:cs="Noto Sans"/>
          <w:b/>
          <w:color w:val="0A2342"/>
          <w:sz w:val="23"/>
        </w:rPr>
        <w:t xml:space="preserve">Demonstration 5.2: Iterate over aligned series</w:t>
      </w:r>
    </w:p>
    <w:p>
      <w:pPr>
        <w:pStyle w:val="SourceCode"/>
        <w:keepLines/>
        <w:shd w:fill="F6F8FA" w:val="clear"/>
      </w:pPr>
      <w:r>
        <w:rPr>
          <w:rStyle w:val="NormalTok"/>
        </w:rPr>
        <w:t xml:space="preserve">months </w:t>
      </w:r>
      <w:r>
        <w:rPr>
          <w:rStyle w:val="OperatorTok"/>
        </w:rPr>
        <w:t xml:space="preserve">=</w:t>
      </w:r>
      <w:r>
        <w:rPr>
          <w:rStyle w:val="NormalTok"/>
        </w:rPr>
        <w:t xml:space="preserve"> [</w:t>
      </w:r>
      <w:r>
        <w:rPr>
          <w:rStyle w:val="StringTok"/>
        </w:rPr>
        <w:t xml:space="preserve">"Jan"</w:t>
      </w:r>
      <w:r>
        <w:rPr>
          <w:rStyle w:val="NormalTok"/>
        </w:rPr>
        <w:t xml:space="preserve">, </w:t>
      </w:r>
      <w:r>
        <w:rPr>
          <w:rStyle w:val="StringTok"/>
        </w:rPr>
        <w:t xml:space="preserve">"Feb"</w:t>
      </w:r>
      <w:r>
        <w:rPr>
          <w:rStyle w:val="NormalTok"/>
        </w:rPr>
        <w:t xml:space="preserve">, </w:t>
      </w:r>
      <w:r>
        <w:rPr>
          <w:rStyle w:val="StringTok"/>
        </w:rPr>
        <w:t xml:space="preserve">"Mar"</w:t>
      </w:r>
      <w:r>
        <w:rPr>
          <w:rStyle w:val="NormalTok"/>
        </w:rPr>
        <w:t xml:space="preserve">]</w:t>
      </w:r>
      <w:r>
        <w:br/>
      </w:r>
      <w:r>
        <w:rPr>
          <w:rStyle w:val="NormalTok"/>
        </w:rPr>
        <w:t xml:space="preserve">inflation </w:t>
      </w:r>
      <w:r>
        <w:rPr>
          <w:rStyle w:val="OperatorTok"/>
        </w:rPr>
        <w:t xml:space="preserve">=</w:t>
      </w:r>
      <w:r>
        <w:rPr>
          <w:rStyle w:val="NormalTok"/>
        </w:rPr>
        <w:t xml:space="preserve"> [</w:t>
      </w:r>
      <w:r>
        <w:rPr>
          <w:rStyle w:val="FloatTok"/>
        </w:rPr>
        <w:t xml:space="preserve">2.9</w:t>
      </w:r>
      <w:r>
        <w:rPr>
          <w:rStyle w:val="NormalTok"/>
        </w:rPr>
        <w:t xml:space="preserve">, </w:t>
      </w:r>
      <w:r>
        <w:rPr>
          <w:rStyle w:val="FloatTok"/>
        </w:rPr>
        <w:t xml:space="preserve">2.8</w:t>
      </w:r>
      <w:r>
        <w:rPr>
          <w:rStyle w:val="NormalTok"/>
        </w:rPr>
        <w:t xml:space="preserve">, </w:t>
      </w:r>
      <w:r>
        <w:rPr>
          <w:rStyle w:val="FloatTok"/>
        </w:rPr>
        <w:t xml:space="preserve">2.7</w:t>
      </w:r>
      <w:r>
        <w:rPr>
          <w:rStyle w:val="NormalTok"/>
        </w:rPr>
        <w:t xml:space="preserve">]</w:t>
      </w:r>
      <w:r>
        <w:br/>
      </w:r>
      <w:r>
        <w:rPr>
          <w:rStyle w:val="ControlFlowTok"/>
        </w:rPr>
        <w:t xml:space="preserve">for</w:t>
      </w:r>
      <w:r>
        <w:rPr>
          <w:rStyle w:val="NormalTok"/>
        </w:rPr>
        <w:t xml:space="preserve"> position, (month, rate) </w:t>
      </w:r>
      <w:r>
        <w:rPr>
          <w:rStyle w:val="KeywordTok"/>
        </w:rPr>
        <w:t xml:space="preserve">in</w:t>
      </w:r>
      <w:r>
        <w:rPr>
          <w:rStyle w:val="NormalTok"/>
        </w:rPr>
        <w:t xml:space="preserve"> </w:t>
      </w:r>
      <w:r>
        <w:rPr>
          <w:rStyle w:val="BuiltInTok"/>
        </w:rPr>
        <w:t xml:space="preserve">enumerate</w:t>
      </w:r>
      <w:r>
        <w:rPr>
          <w:rStyle w:val="NormalTok"/>
        </w:rPr>
        <w:t xml:space="preserve">(</w:t>
      </w:r>
      <w:r>
        <w:rPr>
          <w:rStyle w:val="BuiltInTok"/>
        </w:rPr>
        <w:t xml:space="preserve">zip</w:t>
      </w:r>
      <w:r>
        <w:rPr>
          <w:rStyle w:val="NormalTok"/>
        </w:rPr>
        <w:t xml:space="preserve">(months, inflation), start</w:t>
      </w:r>
      <w:r>
        <w:rPr>
          <w:rStyle w:val="OperatorTok"/>
        </w:rPr>
        <w:t xml:space="preserve">=</w:t>
      </w:r>
      <w:r>
        <w:rPr>
          <w:rStyle w:val="DecValTok"/>
        </w:rPr>
        <w:t xml:space="preserve">1</w:t>
      </w:r>
      <w:r>
        <w:rPr>
          <w:rStyle w:val="NormalTok"/>
        </w:rPr>
        <w:t xml:space="preserve">):</w:t>
      </w:r>
      <w:r>
        <w:br/>
      </w:r>
      <w:r>
        <w:rPr>
          <w:rStyle w:val="NormalTok"/>
        </w:rPr>
        <w:t xml:space="preserve">    </w:t>
      </w:r>
      <w:r>
        <w:rPr>
          <w:rStyle w:val="BuiltInTok"/>
        </w:rPr>
        <w:t xml:space="preserve">print</w:t>
      </w:r>
      <w:r>
        <w:rPr>
          <w:rStyle w:val="NormalTok"/>
        </w:rPr>
        <w:t xml:space="preserve">(position, month, rate)</w:t>
      </w:r>
    </w:p>
    <w:p>
      <w:pPr>
        <w:pStyle w:val="FirstParagraph"/>
      </w:pPr>
      <w:r>
        <w:rPr>
          <w:b/>
          <w:bCs/>
        </w:rPr>
        <w:t xml:space="preserve">Verified output</w:t>
      </w:r>
    </w:p>
    <w:p>
      <w:pPr>
        <w:pStyle w:val="SourceCode"/>
        <w:keepLines/>
        <w:shd w:fill="F6F8FA" w:val="clear"/>
      </w:pPr>
      <w:r>
        <w:rPr>
          <w:rStyle w:val="VerbatimChar"/>
        </w:rPr>
        <w:t xml:space="preserve">1 Jan 2.9</w:t>
      </w:r>
      <w:r>
        <w:br/>
      </w:r>
      <w:r>
        <w:rPr>
          <w:rStyle w:val="VerbatimChar"/>
        </w:rPr>
        <w:t xml:space="preserve">2 Feb 2.8</w:t>
      </w:r>
      <w:r>
        <w:br/>
      </w:r>
      <w:r>
        <w:rPr>
          <w:rStyle w:val="VerbatimChar"/>
        </w:rPr>
        <w:t xml:space="preserve">3 Mar 2.7</w:t>
      </w:r>
    </w:p>
    <w:p>
      <w:pPr>
        <w:pStyle w:val="FirstParagraph"/>
      </w:pPr>
      <w:r>
        <w:rPr>
          <w:b/>
          <w:bCs/>
        </w:rPr>
        <w:t xml:space="preserve">Interpretation.</w:t>
      </w:r>
      <w:r>
        <w:t xml:space="preserve"> </w:t>
      </w:r>
      <w:r>
        <w:rPr>
          <w:rStyle w:val="VerbatimChar"/>
        </w:rPr>
        <w:t xml:space="preserve">zip</w:t>
      </w:r>
      <w:r>
        <w:t xml:space="preserve"> </w:t>
      </w:r>
      <w:r>
        <w:t xml:space="preserve">assumes the sequences align. In real data, joins based on keys are usually safer than positional alignment.</w:t>
      </w:r>
    </w:p>
    <w:bookmarkEnd w:id="109"/>
    <w:bookmarkEnd w:id="110"/>
    <w:bookmarkStart w:id="114" w:name="visual-evidence-4"/>
    <w:p>
      <w:pPr>
        <w:pStyle w:val="Heading2"/>
        <w:keepNext/>
      </w:pPr>
      <w:r>
        <w:rPr>
          <w:rStyle w:val="SectionNumber"/>
          <w:rFonts w:ascii="Noto Sans" w:hAnsi="Noto Sans" w:eastAsia="Noto Sans" w:cs="Noto Sans"/>
          <w:b/>
          <w:color w:val="008F87"/>
          <w:sz w:val="29"/>
        </w:rPr>
        <w:t xml:space="preserve">5.6</w:t>
      </w:r>
      <w:r>
        <w:rPr>
          <w:rFonts w:ascii="Noto Sans" w:hAnsi="Noto Sans" w:eastAsia="Noto Sans" w:cs="Noto Sans"/>
          <w:b/>
          <w:color w:val="008F87"/>
          <w:sz w:val="29"/>
        </w:rPr>
        <w:tab/>
      </w:r>
      <w:r>
        <w:rPr>
          <w:rFonts w:ascii="Noto Sans" w:hAnsi="Noto Sans" w:eastAsia="Noto Sans" w:cs="Noto Sans"/>
          <w:b/>
          <w:color w:val="008F87"/>
          <w:sz w:val="29"/>
        </w:rPr>
        <w:t xml:space="preserve">Visual evidence</w:t>
      </w:r>
    </w:p>
    <w:p>
      <w:pPr>
        <w:pStyle w:val="FirstParagraph"/>
      </w:pPr>
      <w:r>
        <w:drawing>
          <wp:inline>
            <wp:extent cx="4907280" cy="3104107"/>
            <wp:effectExtent b="0" l="0" r="0" t="0"/>
            <wp:docPr descr="Image: rId111.png" title="" id="112" name="Picture"/>
            <a:graphic>
              <a:graphicData uri="http://schemas.openxmlformats.org/drawingml/2006/picture">
                <pic:pic>
                  <pic:nvPicPr>
                    <pic:cNvPr descr="figures/fig_05_control_flow.png" id="113" name="Picture"/>
                    <pic:cNvPicPr>
                      <a:picLocks noChangeArrowheads="1" noChangeAspect="1"/>
                    </pic:cNvPicPr>
                  </pic:nvPicPr>
                  <pic:blipFill>
                    <a:blip r:embed="rId111"/>
                    <a:stretch>
                      <a:fillRect/>
                    </a:stretch>
                  </pic:blipFill>
                  <pic:spPr bwMode="auto">
                    <a:xfrm>
                      <a:off x="0" y="0"/>
                      <a:ext cx="4907280" cy="3104107"/>
                    </a:xfrm>
                    <a:prstGeom prst="rect">
                      <a:avLst/>
                    </a:prstGeom>
                    <a:noFill/>
                    <a:ln w="9525">
                      <a:noFill/>
                      <a:headEnd/>
                      <a:tailEnd/>
                    </a:ln>
                  </pic:spPr>
                </pic:pic>
              </a:graphicData>
            </a:graphic>
          </wp:inline>
        </w:drawing>
      </w:r>
    </w:p>
    <w:p>
      <w:pPr>
        <w:pStyle w:val="Caption"/>
        <w:keepNext w:val="0"/>
        <w:jc w:val="center"/>
      </w:pPr>
      <w:r>
        <w:rPr>
          <w:b/>
          <w:bCs/>
        </w:rPr>
        <w:t xml:space="preserve">Figure 5.</w:t>
      </w:r>
      <w:r>
        <w:t xml:space="preserve"> </w:t>
      </w:r>
      <w:r>
        <w:t xml:space="preserve">Conditional logic and iteration turn a static script into a decision process.</w:t>
      </w:r>
    </w:p>
    <w:bookmarkEnd w:id="114"/>
    <w:bookmarkStart w:id="115" w:name="reference-table-4"/>
    <w:p>
      <w:pPr>
        <w:pStyle w:val="Heading2"/>
        <w:keepNext/>
      </w:pPr>
      <w:r>
        <w:rPr>
          <w:rStyle w:val="SectionNumber"/>
          <w:rFonts w:ascii="Noto Sans" w:hAnsi="Noto Sans" w:eastAsia="Noto Sans" w:cs="Noto Sans"/>
          <w:b/>
          <w:color w:val="008F87"/>
          <w:sz w:val="29"/>
        </w:rPr>
        <w:t xml:space="preserve">5.7</w:t>
      </w:r>
      <w:r>
        <w:rPr>
          <w:rFonts w:ascii="Noto Sans" w:hAnsi="Noto Sans" w:eastAsia="Noto Sans" w:cs="Noto Sans"/>
          <w:b/>
          <w:color w:val="008F87"/>
          <w:sz w:val="29"/>
        </w:rPr>
        <w:tab/>
      </w:r>
      <w:r>
        <w:rPr>
          <w:rFonts w:ascii="Noto Sans" w:hAnsi="Noto Sans" w:eastAsia="Noto Sans" w:cs="Noto Sans"/>
          <w:b/>
          <w:color w:val="008F87"/>
          <w:sz w:val="29"/>
        </w:rPr>
        <w:t xml:space="preserve">Reference table</w:t>
      </w:r>
    </w:p>
    <w:p>
      <w:pPr>
        <w:pStyle w:val="Caption"/>
        <w:keepNext/>
        <w:jc w:val="center"/>
      </w:pPr>
      <w:r>
        <w:rPr>
          <w:b/>
          <w:bCs/>
        </w:rPr>
        <w:t xml:space="preserve">Table 5. Chapter reference.</w:t>
      </w:r>
    </w:p>
    <w:tbl>
      <w:tblPr>
        <w:tblStyle w:val="Table"/>
        <w:tblW w:type="pct" w:w="5000"/>
        <w:jc w:val="center"/>
        <w:tblLayout w:type="autofit"/>
        <w:tblLook w:firstRow="1" w:lastRow="0" w:firstColumn="0" w:lastColumn="0" w:noHBand="0" w:noVBand="0" w:val="0020"/>
      </w:tblPr>
      <w:tblGrid>
        <w:gridCol w:w="2640"/>
        <w:gridCol w:w="2640"/>
        <w:gridCol w:w="2640"/>
      </w:tblGrid>
      <w:tr>
        <w:trPr>
          <w:tblHeader w:val="on"/>
          <w:tblHeader w:val="true"/>
          <w:cantSplit/>
        </w:trPr>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0A2342" w:val="clear"/>
          </w:tcPr>
          <w:p>
            <w:pPr>
              <w:pStyle w:val="Compact"/>
              <w:spacing w:before="30" w:after="30" w:line="240" w:lineRule="auto"/>
              <w:jc w:val="left"/>
            </w:pPr>
            <w:r>
              <w:rPr>
                <w:rFonts w:ascii="Noto Sans" w:hAnsi="Noto Sans" w:eastAsia="Noto Sans" w:cs="Noto Sans"/>
                <w:b/>
                <w:color w:val="FFFFFF"/>
                <w:sz w:val="16"/>
              </w:rPr>
              <w:t xml:space="preserve">Pattern</w:t>
            </w:r>
          </w:p>
        </w:tc>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0A2342" w:val="clear"/>
          </w:tcPr>
          <w:p>
            <w:pPr>
              <w:pStyle w:val="Compact"/>
              <w:spacing w:before="30" w:after="30" w:line="240" w:lineRule="auto"/>
              <w:jc w:val="left"/>
            </w:pPr>
            <w:r>
              <w:rPr>
                <w:rFonts w:ascii="Noto Sans" w:hAnsi="Noto Sans" w:eastAsia="Noto Sans" w:cs="Noto Sans"/>
                <w:b/>
                <w:color w:val="FFFFFF"/>
                <w:sz w:val="16"/>
              </w:rPr>
              <w:t xml:space="preserve">Use</w:t>
            </w:r>
          </w:p>
        </w:tc>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0A2342" w:val="clear"/>
          </w:tcPr>
          <w:p>
            <w:pPr>
              <w:pStyle w:val="Compact"/>
              <w:spacing w:before="30" w:after="30" w:line="240" w:lineRule="auto"/>
              <w:jc w:val="left"/>
            </w:pPr>
            <w:r>
              <w:rPr>
                <w:rFonts w:ascii="Noto Sans" w:hAnsi="Noto Sans" w:eastAsia="Noto Sans" w:cs="Noto Sans"/>
                <w:b/>
                <w:color w:val="FFFFFF"/>
                <w:sz w:val="16"/>
              </w:rPr>
              <w:t xml:space="preserve">Risk</w:t>
            </w:r>
          </w:p>
        </w:tc>
      </w:tr>
      <w:tr>
        <w:trPr>
          <w:cantSplit/>
        </w:trPr>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EEF4F8" w:val="clear"/>
          </w:tcPr>
          <w:p>
            <w:pPr>
              <w:pStyle w:val="Compact"/>
              <w:spacing w:before="30" w:after="30" w:line="240" w:lineRule="auto"/>
              <w:jc w:val="left"/>
            </w:pPr>
            <w:r>
              <w:rPr>
                <w:rFonts w:ascii="Noto Sans" w:hAnsi="Noto Sans" w:eastAsia="Noto Sans" w:cs="Noto Sans"/>
                <w:b w:val="0"/>
                <w:color w:val="18212B"/>
                <w:sz w:val="16"/>
              </w:rPr>
              <w:t xml:space="preserve">if/elif/else</w:t>
            </w:r>
          </w:p>
        </w:tc>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EEF4F8" w:val="clear"/>
          </w:tcPr>
          <w:p>
            <w:pPr>
              <w:pStyle w:val="Compact"/>
              <w:spacing w:before="30" w:after="30" w:line="240" w:lineRule="auto"/>
              <w:jc w:val="left"/>
            </w:pPr>
            <w:r>
              <w:rPr>
                <w:rFonts w:ascii="Noto Sans" w:hAnsi="Noto Sans" w:eastAsia="Noto Sans" w:cs="Noto Sans"/>
                <w:b w:val="0"/>
                <w:color w:val="18212B"/>
                <w:sz w:val="16"/>
              </w:rPr>
              <w:t xml:space="preserve">exclusive decisions</w:t>
            </w:r>
          </w:p>
        </w:tc>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EEF4F8" w:val="clear"/>
          </w:tcPr>
          <w:p>
            <w:pPr>
              <w:pStyle w:val="Compact"/>
              <w:spacing w:before="30" w:after="30" w:line="240" w:lineRule="auto"/>
              <w:jc w:val="left"/>
            </w:pPr>
            <w:r>
              <w:rPr>
                <w:rFonts w:ascii="Noto Sans" w:hAnsi="Noto Sans" w:eastAsia="Noto Sans" w:cs="Noto Sans"/>
                <w:b w:val="0"/>
                <w:color w:val="18212B"/>
                <w:sz w:val="16"/>
              </w:rPr>
              <w:t xml:space="preserve">unclear boundaries</w:t>
            </w:r>
          </w:p>
        </w:tc>
      </w:tr>
      <w:tr>
        <w:trPr>
          <w:cantSplit/>
        </w:trPr>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FFFFFF" w:val="clear"/>
          </w:tcPr>
          <w:p>
            <w:pPr>
              <w:pStyle w:val="Compact"/>
              <w:spacing w:before="30" w:after="30" w:line="240" w:lineRule="auto"/>
              <w:jc w:val="left"/>
            </w:pPr>
            <w:r>
              <w:rPr>
                <w:rFonts w:ascii="Noto Sans" w:hAnsi="Noto Sans" w:eastAsia="Noto Sans" w:cs="Noto Sans"/>
                <w:b w:val="0"/>
                <w:color w:val="18212B"/>
                <w:sz w:val="16"/>
              </w:rPr>
              <w:t xml:space="preserve">for</w:t>
            </w:r>
          </w:p>
        </w:tc>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FFFFFF" w:val="clear"/>
          </w:tcPr>
          <w:p>
            <w:pPr>
              <w:pStyle w:val="Compact"/>
              <w:spacing w:before="30" w:after="30" w:line="240" w:lineRule="auto"/>
              <w:jc w:val="left"/>
            </w:pPr>
            <w:r>
              <w:rPr>
                <w:rFonts w:ascii="Noto Sans" w:hAnsi="Noto Sans" w:eastAsia="Noto Sans" w:cs="Noto Sans"/>
                <w:b w:val="0"/>
                <w:color w:val="18212B"/>
                <w:sz w:val="16"/>
              </w:rPr>
              <w:t xml:space="preserve">known sequence</w:t>
            </w:r>
          </w:p>
        </w:tc>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FFFFFF" w:val="clear"/>
          </w:tcPr>
          <w:p>
            <w:pPr>
              <w:pStyle w:val="Compact"/>
              <w:spacing w:before="30" w:after="30" w:line="240" w:lineRule="auto"/>
              <w:jc w:val="left"/>
            </w:pPr>
            <w:r>
              <w:rPr>
                <w:rFonts w:ascii="Noto Sans" w:hAnsi="Noto Sans" w:eastAsia="Noto Sans" w:cs="Noto Sans"/>
                <w:b w:val="0"/>
                <w:color w:val="18212B"/>
                <w:sz w:val="16"/>
              </w:rPr>
              <w:t xml:space="preserve">unnecessary mutation</w:t>
            </w:r>
          </w:p>
        </w:tc>
      </w:tr>
      <w:tr>
        <w:trPr>
          <w:cantSplit/>
        </w:trPr>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EEF4F8" w:val="clear"/>
          </w:tcPr>
          <w:p>
            <w:pPr>
              <w:pStyle w:val="Compact"/>
              <w:spacing w:before="30" w:after="30" w:line="240" w:lineRule="auto"/>
              <w:jc w:val="left"/>
            </w:pPr>
            <w:r>
              <w:rPr>
                <w:rFonts w:ascii="Noto Sans" w:hAnsi="Noto Sans" w:eastAsia="Noto Sans" w:cs="Noto Sans"/>
                <w:b w:val="0"/>
                <w:color w:val="18212B"/>
                <w:sz w:val="16"/>
              </w:rPr>
              <w:t xml:space="preserve">while</w:t>
            </w:r>
          </w:p>
        </w:tc>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EEF4F8" w:val="clear"/>
          </w:tcPr>
          <w:p>
            <w:pPr>
              <w:pStyle w:val="Compact"/>
              <w:spacing w:before="30" w:after="30" w:line="240" w:lineRule="auto"/>
              <w:jc w:val="left"/>
            </w:pPr>
            <w:r>
              <w:rPr>
                <w:rFonts w:ascii="Noto Sans" w:hAnsi="Noto Sans" w:eastAsia="Noto Sans" w:cs="Noto Sans"/>
                <w:b w:val="0"/>
                <w:color w:val="18212B"/>
                <w:sz w:val="16"/>
              </w:rPr>
              <w:t xml:space="preserve">condition-driven repetition</w:t>
            </w:r>
          </w:p>
        </w:tc>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EEF4F8" w:val="clear"/>
          </w:tcPr>
          <w:p>
            <w:pPr>
              <w:pStyle w:val="Compact"/>
              <w:spacing w:before="30" w:after="30" w:line="240" w:lineRule="auto"/>
              <w:jc w:val="left"/>
            </w:pPr>
            <w:r>
              <w:rPr>
                <w:rFonts w:ascii="Noto Sans" w:hAnsi="Noto Sans" w:eastAsia="Noto Sans" w:cs="Noto Sans"/>
                <w:b w:val="0"/>
                <w:color w:val="18212B"/>
                <w:sz w:val="16"/>
              </w:rPr>
              <w:t xml:space="preserve">infinite loop</w:t>
            </w:r>
          </w:p>
        </w:tc>
      </w:tr>
      <w:tr>
        <w:trPr>
          <w:cantSplit/>
        </w:trPr>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FFFFFF" w:val="clear"/>
          </w:tcPr>
          <w:p>
            <w:pPr>
              <w:pStyle w:val="Compact"/>
              <w:spacing w:before="30" w:after="30" w:line="240" w:lineRule="auto"/>
              <w:jc w:val="left"/>
            </w:pPr>
            <w:r>
              <w:rPr>
                <w:rFonts w:ascii="Noto Sans" w:hAnsi="Noto Sans" w:eastAsia="Noto Sans" w:cs="Noto Sans"/>
                <w:b w:val="0"/>
                <w:color w:val="18212B"/>
                <w:sz w:val="16"/>
              </w:rPr>
              <w:t xml:space="preserve">comprehension</w:t>
            </w:r>
          </w:p>
        </w:tc>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FFFFFF" w:val="clear"/>
          </w:tcPr>
          <w:p>
            <w:pPr>
              <w:pStyle w:val="Compact"/>
              <w:spacing w:before="30" w:after="30" w:line="240" w:lineRule="auto"/>
              <w:jc w:val="left"/>
            </w:pPr>
            <w:r>
              <w:rPr>
                <w:rFonts w:ascii="Noto Sans" w:hAnsi="Noto Sans" w:eastAsia="Noto Sans" w:cs="Noto Sans"/>
                <w:b w:val="0"/>
                <w:color w:val="18212B"/>
                <w:sz w:val="16"/>
              </w:rPr>
              <w:t xml:space="preserve">short transform/filter</w:t>
            </w:r>
          </w:p>
        </w:tc>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FFFFFF" w:val="clear"/>
          </w:tcPr>
          <w:p>
            <w:pPr>
              <w:pStyle w:val="Compact"/>
              <w:spacing w:before="30" w:after="30" w:line="240" w:lineRule="auto"/>
              <w:jc w:val="left"/>
            </w:pPr>
            <w:r>
              <w:rPr>
                <w:rFonts w:ascii="Noto Sans" w:hAnsi="Noto Sans" w:eastAsia="Noto Sans" w:cs="Noto Sans"/>
                <w:b w:val="0"/>
                <w:color w:val="18212B"/>
                <w:sz w:val="16"/>
              </w:rPr>
              <w:t xml:space="preserve">compressed complexity</w:t>
            </w:r>
          </w:p>
        </w:tc>
      </w:tr>
      <w:tr>
        <w:trPr>
          <w:cantSplit/>
        </w:trPr>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EEF4F8" w:val="clear"/>
          </w:tcPr>
          <w:p>
            <w:pPr>
              <w:pStyle w:val="Compact"/>
              <w:spacing w:before="30" w:after="30" w:line="240" w:lineRule="auto"/>
              <w:jc w:val="left"/>
            </w:pPr>
            <w:r>
              <w:rPr>
                <w:rFonts w:ascii="Noto Sans" w:hAnsi="Noto Sans" w:eastAsia="Noto Sans" w:cs="Noto Sans"/>
                <w:b w:val="0"/>
                <w:color w:val="18212B"/>
                <w:sz w:val="16"/>
              </w:rPr>
              <w:t xml:space="preserve">vectorized expression</w:t>
            </w:r>
          </w:p>
        </w:tc>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EEF4F8" w:val="clear"/>
          </w:tcPr>
          <w:p>
            <w:pPr>
              <w:pStyle w:val="Compact"/>
              <w:spacing w:before="30" w:after="30" w:line="240" w:lineRule="auto"/>
              <w:jc w:val="left"/>
            </w:pPr>
            <w:r>
              <w:rPr>
                <w:rFonts w:ascii="Noto Sans" w:hAnsi="Noto Sans" w:eastAsia="Noto Sans" w:cs="Noto Sans"/>
                <w:b w:val="0"/>
                <w:color w:val="18212B"/>
                <w:sz w:val="16"/>
              </w:rPr>
              <w:t xml:space="preserve">array calculation</w:t>
            </w:r>
          </w:p>
        </w:tc>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EEF4F8" w:val="clear"/>
          </w:tcPr>
          <w:p>
            <w:pPr>
              <w:pStyle w:val="Compact"/>
              <w:spacing w:before="30" w:after="30" w:line="240" w:lineRule="auto"/>
              <w:jc w:val="left"/>
            </w:pPr>
            <w:r>
              <w:rPr>
                <w:rFonts w:ascii="Noto Sans" w:hAnsi="Noto Sans" w:eastAsia="Noto Sans" w:cs="Noto Sans"/>
                <w:b w:val="0"/>
                <w:color w:val="18212B"/>
                <w:sz w:val="16"/>
              </w:rPr>
              <w:t xml:space="preserve">hidden alignment assumptions</w:t>
            </w:r>
          </w:p>
        </w:tc>
      </w:tr>
    </w:tbl>
    <w:p>
      <w:pPr>
        <w:pStyle w:val="BlockText"/>
        <w:shd w:fill="EAF7F5" w:val="clear"/>
        <w:pBdr>
          <w:left w:val="single" w:sz="18" w:space="8" w:color="008F87"/>
        </w:pBdr>
      </w:pPr>
      <w:r>
        <w:rPr>
          <w:b/>
          <w:bCs/>
        </w:rPr>
        <w:t xml:space="preserve">Why This Matters</w:t>
      </w:r>
    </w:p>
    <w:p>
      <w:pPr>
        <w:pStyle w:val="BlockText"/>
        <w:shd w:fill="EAF7F5" w:val="clear"/>
        <w:pBdr>
          <w:left w:val="single" w:sz="18" w:space="8" w:color="008F87"/>
        </w:pBdr>
      </w:pPr>
      <w:r>
        <w:t xml:space="preserve">Control flow turns a static formula into a transparent decision procedure.</w:t>
      </w:r>
    </w:p>
    <w:p>
      <w:pPr>
        <w:pStyle w:val="BlockText"/>
        <w:shd w:fill="EAF7F5" w:val="clear"/>
        <w:pBdr>
          <w:left w:val="single" w:sz="18" w:space="8" w:color="008F87"/>
        </w:pBdr>
      </w:pPr>
      <w:r>
        <w:rPr>
          <w:b/>
          <w:bCs/>
        </w:rPr>
        <w:t xml:space="preserve">Common Mistake</w:t>
      </w:r>
    </w:p>
    <w:p>
      <w:pPr>
        <w:pStyle w:val="BlockText"/>
        <w:shd w:fill="EAF7F5" w:val="clear"/>
        <w:pBdr>
          <w:left w:val="single" w:sz="18" w:space="8" w:color="008F87"/>
        </w:pBdr>
      </w:pPr>
      <w:r>
        <w:t xml:space="preserve">Using</w:t>
      </w:r>
      <w:r>
        <w:t xml:space="preserve"> </w:t>
      </w:r>
      <w:r>
        <w:rPr>
          <w:rStyle w:val="VerbatimChar"/>
        </w:rPr>
        <w:t xml:space="preserve">while</w:t>
      </w:r>
      <w:r>
        <w:t xml:space="preserve"> </w:t>
      </w:r>
      <w:r>
        <w:t xml:space="preserve">when the stopping condition is not guaranteed to change.</w:t>
      </w:r>
    </w:p>
    <w:p>
      <w:pPr>
        <w:pStyle w:val="BlockText"/>
        <w:shd w:fill="EAF7F5" w:val="clear"/>
        <w:pBdr>
          <w:left w:val="single" w:sz="18" w:space="8" w:color="008F87"/>
        </w:pBdr>
      </w:pPr>
      <w:r>
        <w:rPr>
          <w:b/>
          <w:bCs/>
        </w:rPr>
        <w:t xml:space="preserve">Ceteris LAB Tip</w:t>
      </w:r>
    </w:p>
    <w:p>
      <w:pPr>
        <w:pStyle w:val="BlockText"/>
        <w:shd w:fill="EAF7F5" w:val="clear"/>
        <w:pBdr>
          <w:left w:val="single" w:sz="18" w:space="8" w:color="008F87"/>
        </w:pBdr>
      </w:pPr>
      <w:r>
        <w:t xml:space="preserve">Test boundary values separately: exactly zero, exactly at the cutoff, and immediately on either side.</w:t>
      </w:r>
    </w:p>
    <w:p>
      <w:pPr>
        <w:pStyle w:val="BlockText"/>
        <w:shd w:fill="EAF7F5" w:val="clear"/>
        <w:pBdr>
          <w:left w:val="single" w:sz="18" w:space="8" w:color="008F87"/>
        </w:pBdr>
      </w:pPr>
      <w:r>
        <w:rPr>
          <w:b/>
          <w:bCs/>
        </w:rPr>
        <w:t xml:space="preserve">R-to-Python / Source Bridge</w:t>
      </w:r>
    </w:p>
    <w:p>
      <w:pPr>
        <w:pStyle w:val="BlockText"/>
        <w:shd w:fill="EAF7F5" w:val="clear"/>
        <w:pBdr>
          <w:left w:val="single" w:sz="18" w:space="8" w:color="008F87"/>
        </w:pBdr>
      </w:pPr>
      <w:r>
        <w:t xml:space="preserve">Later source examples rely on recursive forecasts and volatility updates. This chapter establishes the control-flow tools needed to understand those recursions.</w:t>
      </w:r>
    </w:p>
    <w:bookmarkEnd w:id="115"/>
    <w:bookmarkStart w:id="116" w:name="guided-practice-4"/>
    <w:p>
      <w:pPr>
        <w:pStyle w:val="Heading2"/>
        <w:keepNext/>
      </w:pPr>
      <w:r>
        <w:rPr>
          <w:rStyle w:val="SectionNumber"/>
          <w:rFonts w:ascii="Noto Sans" w:hAnsi="Noto Sans" w:eastAsia="Noto Sans" w:cs="Noto Sans"/>
          <w:b/>
          <w:color w:val="008F87"/>
          <w:sz w:val="29"/>
        </w:rPr>
        <w:t xml:space="preserve">5.8</w:t>
      </w:r>
      <w:r>
        <w:rPr>
          <w:rFonts w:ascii="Noto Sans" w:hAnsi="Noto Sans" w:eastAsia="Noto Sans" w:cs="Noto Sans"/>
          <w:b/>
          <w:color w:val="008F87"/>
          <w:sz w:val="29"/>
        </w:rPr>
        <w:tab/>
      </w:r>
      <w:r>
        <w:rPr>
          <w:rFonts w:ascii="Noto Sans" w:hAnsi="Noto Sans" w:eastAsia="Noto Sans" w:cs="Noto Sans"/>
          <w:b/>
          <w:color w:val="008F87"/>
          <w:sz w:val="29"/>
        </w:rPr>
        <w:t xml:space="preserve">Guided practice</w:t>
      </w:r>
    </w:p>
    <w:p>
      <w:pPr>
        <w:pStyle w:val="Compact"/>
        <w:numPr>
          <w:ilvl w:val="0"/>
          <w:numId w:val="1020"/>
        </w:numPr>
      </w:pPr>
      <w:r>
        <w:t xml:space="preserve">Re-run Demonstration 5.1 and change one input while keeping the analytical question fixed.</w:t>
      </w:r>
    </w:p>
    <w:p>
      <w:pPr>
        <w:pStyle w:val="Compact"/>
        <w:numPr>
          <w:ilvl w:val="0"/>
          <w:numId w:val="1020"/>
        </w:numPr>
      </w:pPr>
      <w:r>
        <w:t xml:space="preserve">Explain in two sentences how the output supports, or fails to support, the chapter opening question.</w:t>
      </w:r>
    </w:p>
    <w:p>
      <w:pPr>
        <w:pStyle w:val="Compact"/>
        <w:numPr>
          <w:ilvl w:val="0"/>
          <w:numId w:val="1020"/>
        </w:numPr>
      </w:pPr>
      <w:r>
        <w:t xml:space="preserve">Add one validation check that would prevent a plausible error.</w:t>
      </w:r>
    </w:p>
    <w:bookmarkEnd w:id="116"/>
    <w:bookmarkStart w:id="117" w:name="exercises-4"/>
    <w:p>
      <w:pPr>
        <w:pStyle w:val="Heading2"/>
        <w:keepNext/>
      </w:pPr>
      <w:r>
        <w:rPr>
          <w:rStyle w:val="SectionNumber"/>
          <w:rFonts w:ascii="Noto Sans" w:hAnsi="Noto Sans" w:eastAsia="Noto Sans" w:cs="Noto Sans"/>
          <w:b/>
          <w:color w:val="008F87"/>
          <w:sz w:val="29"/>
        </w:rPr>
        <w:t xml:space="preserve">5.9</w:t>
      </w:r>
      <w:r>
        <w:rPr>
          <w:rFonts w:ascii="Noto Sans" w:hAnsi="Noto Sans" w:eastAsia="Noto Sans" w:cs="Noto Sans"/>
          <w:b/>
          <w:color w:val="008F87"/>
          <w:sz w:val="29"/>
        </w:rPr>
        <w:tab/>
      </w:r>
      <w:r>
        <w:rPr>
          <w:rFonts w:ascii="Noto Sans" w:hAnsi="Noto Sans" w:eastAsia="Noto Sans" w:cs="Noto Sans"/>
          <w:b/>
          <w:color w:val="008F87"/>
          <w:sz w:val="29"/>
        </w:rPr>
        <w:t xml:space="preserve">Exercises</w:t>
      </w:r>
    </w:p>
    <w:p>
      <w:pPr>
        <w:pStyle w:val="Compact"/>
        <w:numPr>
          <w:ilvl w:val="0"/>
          <w:numId w:val="1021"/>
        </w:numPr>
      </w:pPr>
      <w:r>
        <w:t xml:space="preserve">Write a rule that labels inflation below 2, between 2 and 3, and above 3.</w:t>
      </w:r>
    </w:p>
    <w:p>
      <w:pPr>
        <w:pStyle w:val="Compact"/>
        <w:numPr>
          <w:ilvl w:val="0"/>
          <w:numId w:val="1021"/>
        </w:numPr>
      </w:pPr>
      <w:r>
        <w:t xml:space="preserve">Use a loop to compound a value for five years.</w:t>
      </w:r>
    </w:p>
    <w:p>
      <w:pPr>
        <w:pStyle w:val="Compact"/>
        <w:numPr>
          <w:ilvl w:val="0"/>
          <w:numId w:val="1021"/>
        </w:numPr>
      </w:pPr>
      <w:r>
        <w:t xml:space="preserve">Use enumerate to print observation numbers.</w:t>
      </w:r>
    </w:p>
    <w:p>
      <w:pPr>
        <w:pStyle w:val="Compact"/>
        <w:numPr>
          <w:ilvl w:val="0"/>
          <w:numId w:val="1021"/>
        </w:numPr>
      </w:pPr>
      <w:r>
        <w:t xml:space="preserve">Rewrite a simple loop as a list comprehension.</w:t>
      </w:r>
    </w:p>
    <w:bookmarkEnd w:id="117"/>
    <w:bookmarkStart w:id="118" w:name="chapter-summary-4"/>
    <w:p>
      <w:pPr>
        <w:pStyle w:val="Heading2"/>
        <w:keepNext/>
      </w:pPr>
      <w:r>
        <w:rPr>
          <w:rStyle w:val="SectionNumber"/>
          <w:rFonts w:ascii="Noto Sans" w:hAnsi="Noto Sans" w:eastAsia="Noto Sans" w:cs="Noto Sans"/>
          <w:b/>
          <w:color w:val="008F87"/>
          <w:sz w:val="29"/>
        </w:rPr>
        <w:t xml:space="preserve">5.10</w:t>
      </w:r>
      <w:r>
        <w:rPr>
          <w:rFonts w:ascii="Noto Sans" w:hAnsi="Noto Sans" w:eastAsia="Noto Sans" w:cs="Noto Sans"/>
          <w:b/>
          <w:color w:val="008F87"/>
          <w:sz w:val="29"/>
        </w:rPr>
        <w:tab/>
      </w:r>
      <w:r>
        <w:rPr>
          <w:rFonts w:ascii="Noto Sans" w:hAnsi="Noto Sans" w:eastAsia="Noto Sans" w:cs="Noto Sans"/>
          <w:b/>
          <w:color w:val="008F87"/>
          <w:sz w:val="29"/>
        </w:rPr>
        <w:t xml:space="preserve">Chapter summary</w:t>
      </w:r>
    </w:p>
    <w:p>
      <w:pPr>
        <w:pStyle w:val="Compact"/>
        <w:numPr>
          <w:ilvl w:val="0"/>
          <w:numId w:val="1022"/>
        </w:numPr>
      </w:pPr>
      <w:r>
        <w:t xml:space="preserve">Conditional branches express rules and boundaries.</w:t>
      </w:r>
    </w:p>
    <w:p>
      <w:pPr>
        <w:pStyle w:val="Compact"/>
        <w:numPr>
          <w:ilvl w:val="0"/>
          <w:numId w:val="1022"/>
        </w:numPr>
      </w:pPr>
      <w:r>
        <w:t xml:space="preserve">Loops repeat work over sequences or until conditions change.</w:t>
      </w:r>
    </w:p>
    <w:p>
      <w:pPr>
        <w:pStyle w:val="Compact"/>
        <w:numPr>
          <w:ilvl w:val="0"/>
          <w:numId w:val="1022"/>
        </w:numPr>
      </w:pPr>
      <w:r>
        <w:t xml:space="preserve">Vectorization is useful when it improves clarity and performance.</w:t>
      </w:r>
    </w:p>
    <w:bookmarkEnd w:id="118"/>
    <w:bookmarkStart w:id="119" w:name="key-python-commands-4"/>
    <w:p>
      <w:pPr>
        <w:pStyle w:val="Heading2"/>
        <w:keepNext/>
      </w:pPr>
      <w:r>
        <w:rPr>
          <w:rStyle w:val="SectionNumber"/>
          <w:rFonts w:ascii="Noto Sans" w:hAnsi="Noto Sans" w:eastAsia="Noto Sans" w:cs="Noto Sans"/>
          <w:b/>
          <w:color w:val="008F87"/>
          <w:sz w:val="29"/>
        </w:rPr>
        <w:t xml:space="preserve">5.11</w:t>
      </w:r>
      <w:r>
        <w:rPr>
          <w:rFonts w:ascii="Noto Sans" w:hAnsi="Noto Sans" w:eastAsia="Noto Sans" w:cs="Noto Sans"/>
          <w:b/>
          <w:color w:val="008F87"/>
          <w:sz w:val="29"/>
        </w:rPr>
        <w:tab/>
      </w:r>
      <w:r>
        <w:rPr>
          <w:rFonts w:ascii="Noto Sans" w:hAnsi="Noto Sans" w:eastAsia="Noto Sans" w:cs="Noto Sans"/>
          <w:b/>
          <w:color w:val="008F87"/>
          <w:sz w:val="29"/>
        </w:rPr>
        <w:t xml:space="preserve">Key Python commands</w:t>
      </w:r>
    </w:p>
    <w:p>
      <w:pPr>
        <w:pStyle w:val="SourceCode"/>
        <w:keepLines/>
        <w:shd w:fill="F6F8FA" w:val="clear"/>
      </w:pPr>
      <w:r>
        <w:rPr>
          <w:rStyle w:val="BuiltInTok"/>
        </w:rPr>
        <w:t xml:space="preserve">print</w:t>
      </w:r>
      <w:r>
        <w:rPr>
          <w:rStyle w:val="NormalTok"/>
        </w:rPr>
        <w:t xml:space="preserve">(label)</w:t>
      </w:r>
      <w:r>
        <w:br/>
      </w:r>
      <w:r>
        <w:rPr>
          <w:rStyle w:val="BuiltInTok"/>
        </w:rPr>
        <w:t xml:space="preserve">print</w:t>
      </w:r>
      <w:r>
        <w:rPr>
          <w:rStyle w:val="NormalTok"/>
        </w:rPr>
        <w:t xml:space="preserve">(position, month, rate)</w:t>
      </w:r>
    </w:p>
    <w:bookmarkEnd w:id="119"/>
    <w:bookmarkEnd w:id="120"/>
    <w:bookmarkStart w:id="137" w:name="functions-modules-errors-and-testing"/>
    <w:p>
      <w:pPr>
        <w:pStyle w:val="Heading1"/>
        <w:keepNext/>
        <w:pageBreakBefore/>
      </w:pPr>
      <w:r>
        <w:rPr>
          <w:rStyle w:val="SectionNumber"/>
          <w:rFonts w:ascii="Noto Sans" w:hAnsi="Noto Sans" w:eastAsia="Noto Sans" w:cs="Noto Sans"/>
          <w:b/>
          <w:color w:val="0A2342"/>
          <w:sz w:val="43"/>
        </w:rPr>
        <w:t xml:space="preserve">6</w:t>
      </w:r>
      <w:r>
        <w:rPr>
          <w:rFonts w:ascii="Noto Sans" w:hAnsi="Noto Sans" w:eastAsia="Noto Sans" w:cs="Noto Sans"/>
          <w:b/>
          <w:color w:val="0A2342"/>
          <w:sz w:val="43"/>
        </w:rPr>
        <w:tab/>
      </w:r>
      <w:r>
        <w:rPr>
          <w:rFonts w:ascii="Noto Sans" w:hAnsi="Noto Sans" w:eastAsia="Noto Sans" w:cs="Noto Sans"/>
          <w:b/>
          <w:color w:val="0A2342"/>
          <w:sz w:val="43"/>
        </w:rPr>
        <w:t xml:space="preserve">Functions, Modules, Errors, and Testing</w:t>
      </w:r>
    </w:p>
    <w:p>
      <w:pPr>
        <w:pStyle w:val="FirstParagraph"/>
      </w:pPr>
      <w:r>
        <w:rPr>
          <w:i/>
          <w:iCs/>
        </w:rPr>
        <w:t xml:space="preserve">Opening question:</w:t>
      </w:r>
      <w:r>
        <w:t xml:space="preserve"> </w:t>
      </w:r>
      <w:r>
        <w:rPr>
          <w:b/>
          <w:bCs/>
        </w:rPr>
        <w:t xml:space="preserve">How can a calculation be trusted when it is reused in several chapters or projects?</w:t>
      </w:r>
    </w:p>
    <w:bookmarkStart w:id="121" w:name="learning-objectives-5"/>
    <w:p>
      <w:pPr>
        <w:pStyle w:val="Heading2"/>
        <w:keepNext/>
      </w:pPr>
      <w:r>
        <w:rPr>
          <w:rStyle w:val="SectionNumber"/>
          <w:rFonts w:ascii="Noto Sans" w:hAnsi="Noto Sans" w:eastAsia="Noto Sans" w:cs="Noto Sans"/>
          <w:b/>
          <w:color w:val="008F87"/>
          <w:sz w:val="29"/>
        </w:rPr>
        <w:t xml:space="preserve">6.1</w:t>
      </w:r>
      <w:r>
        <w:rPr>
          <w:rFonts w:ascii="Noto Sans" w:hAnsi="Noto Sans" w:eastAsia="Noto Sans" w:cs="Noto Sans"/>
          <w:b/>
          <w:color w:val="008F87"/>
          <w:sz w:val="29"/>
        </w:rPr>
        <w:tab/>
      </w:r>
      <w:r>
        <w:rPr>
          <w:rFonts w:ascii="Noto Sans" w:hAnsi="Noto Sans" w:eastAsia="Noto Sans" w:cs="Noto Sans"/>
          <w:b/>
          <w:color w:val="008F87"/>
          <w:sz w:val="29"/>
        </w:rPr>
        <w:t xml:space="preserve">Learning objectives</w:t>
      </w:r>
    </w:p>
    <w:p>
      <w:pPr>
        <w:pStyle w:val="Compact"/>
        <w:numPr>
          <w:ilvl w:val="0"/>
          <w:numId w:val="1023"/>
        </w:numPr>
      </w:pPr>
      <w:r>
        <w:t xml:space="preserve">Define reusable functions.</w:t>
      </w:r>
    </w:p>
    <w:p>
      <w:pPr>
        <w:pStyle w:val="Compact"/>
        <w:numPr>
          <w:ilvl w:val="0"/>
          <w:numId w:val="1023"/>
        </w:numPr>
      </w:pPr>
      <w:r>
        <w:t xml:space="preserve">Validate arguments and raise meaningful errors.</w:t>
      </w:r>
    </w:p>
    <w:p>
      <w:pPr>
        <w:pStyle w:val="Compact"/>
        <w:numPr>
          <w:ilvl w:val="0"/>
          <w:numId w:val="1023"/>
        </w:numPr>
      </w:pPr>
      <w:r>
        <w:t xml:space="preserve">Import modules without hidden state.</w:t>
      </w:r>
    </w:p>
    <w:p>
      <w:pPr>
        <w:pStyle w:val="Compact"/>
        <w:numPr>
          <w:ilvl w:val="0"/>
          <w:numId w:val="1023"/>
        </w:numPr>
      </w:pPr>
      <w:r>
        <w:t xml:space="preserve">Use assertions and tests for expected behaviour.</w:t>
      </w:r>
    </w:p>
    <w:p>
      <w:pPr>
        <w:pStyle w:val="FirstParagraph"/>
      </w:pPr>
      <w:r>
        <w:rPr>
          <w:b/>
          <w:bCs/>
        </w:rPr>
        <w:t xml:space="preserve">Prerequisites:</w:t>
      </w:r>
      <w:r>
        <w:t xml:space="preserve"> </w:t>
      </w:r>
      <w:r>
        <w:t xml:space="preserve">Chapters 3 to 5.</w:t>
      </w:r>
    </w:p>
    <w:p>
      <w:pPr>
        <w:pStyle w:val="BodyText"/>
      </w:pPr>
      <w:r>
        <w:rPr>
          <w:b/>
          <w:bCs/>
        </w:rPr>
        <w:t xml:space="preserve">Key terms:</w:t>
      </w:r>
      <w:r>
        <w:t xml:space="preserve"> </w:t>
      </w:r>
      <w:r>
        <w:t xml:space="preserve">function, argument, return value, exception, module, test.</w:t>
      </w:r>
    </w:p>
    <w:bookmarkEnd w:id="121"/>
    <w:bookmarkStart w:id="122" w:name="a-function-is-a-contract"/>
    <w:p>
      <w:pPr>
        <w:pStyle w:val="Heading2"/>
        <w:keepNext/>
      </w:pPr>
      <w:r>
        <w:rPr>
          <w:rStyle w:val="SectionNumber"/>
          <w:rFonts w:ascii="Noto Sans" w:hAnsi="Noto Sans" w:eastAsia="Noto Sans" w:cs="Noto Sans"/>
          <w:b/>
          <w:color w:val="008F87"/>
          <w:sz w:val="29"/>
        </w:rPr>
        <w:t xml:space="preserve">6.2</w:t>
      </w:r>
      <w:r>
        <w:rPr>
          <w:rFonts w:ascii="Noto Sans" w:hAnsi="Noto Sans" w:eastAsia="Noto Sans" w:cs="Noto Sans"/>
          <w:b/>
          <w:color w:val="008F87"/>
          <w:sz w:val="29"/>
        </w:rPr>
        <w:tab/>
      </w:r>
      <w:r>
        <w:rPr>
          <w:rFonts w:ascii="Noto Sans" w:hAnsi="Noto Sans" w:eastAsia="Noto Sans" w:cs="Noto Sans"/>
          <w:b/>
          <w:color w:val="008F87"/>
          <w:sz w:val="29"/>
        </w:rPr>
        <w:t xml:space="preserve">A function is a contract</w:t>
      </w:r>
    </w:p>
    <w:p>
      <w:pPr>
        <w:pStyle w:val="FirstParagraph"/>
      </w:pPr>
      <w:r>
        <w:t xml:space="preserve">A function has a name, inputs, a task, and a return value. A good function performs one coherent job and documents the units or conventions it expects. In a return calculation, for example, the analyst should state whether prices must be positive and whether the output is a decimal or percentage. Small functions reduce duplication and make it possible to test the logic independently from the surrounding notebook.</w:t>
      </w:r>
    </w:p>
    <w:bookmarkEnd w:id="122"/>
    <w:bookmarkStart w:id="123" w:name="X00691ab96246d7fd9b74ddb77ff976cbdea5aaa"/>
    <w:p>
      <w:pPr>
        <w:pStyle w:val="Heading2"/>
        <w:keepNext/>
      </w:pPr>
      <w:r>
        <w:rPr>
          <w:rStyle w:val="SectionNumber"/>
          <w:rFonts w:ascii="Noto Sans" w:hAnsi="Noto Sans" w:eastAsia="Noto Sans" w:cs="Noto Sans"/>
          <w:b/>
          <w:color w:val="008F87"/>
          <w:sz w:val="29"/>
        </w:rPr>
        <w:t xml:space="preserve">6.3</w:t>
      </w:r>
      <w:r>
        <w:rPr>
          <w:rFonts w:ascii="Noto Sans" w:hAnsi="Noto Sans" w:eastAsia="Noto Sans" w:cs="Noto Sans"/>
          <w:b/>
          <w:color w:val="008F87"/>
          <w:sz w:val="29"/>
        </w:rPr>
        <w:tab/>
      </w:r>
      <w:r>
        <w:rPr>
          <w:rFonts w:ascii="Noto Sans" w:hAnsi="Noto Sans" w:eastAsia="Noto Sans" w:cs="Noto Sans"/>
          <w:b/>
          <w:color w:val="008F87"/>
          <w:sz w:val="29"/>
        </w:rPr>
        <w:t xml:space="preserve">Errors should explain the violated assumption</w:t>
      </w:r>
    </w:p>
    <w:p>
      <w:pPr>
        <w:pStyle w:val="FirstParagraph"/>
      </w:pPr>
      <w:r>
        <w:t xml:space="preserve">Python exceptions are not enemies to suppress. A</w:t>
      </w:r>
      <w:r>
        <w:t xml:space="preserve"> </w:t>
      </w:r>
      <w:r>
        <w:rPr>
          <w:rStyle w:val="VerbatimChar"/>
        </w:rPr>
        <w:t xml:space="preserve">ValueError</w:t>
      </w:r>
      <w:r>
        <w:t xml:space="preserve"> </w:t>
      </w:r>
      <w:r>
        <w:t xml:space="preserve">can tell the student that a maturity is negative or that a price series contains zero. Catch an exception only when the program can respond meaningfully. A bare</w:t>
      </w:r>
      <w:r>
        <w:t xml:space="preserve"> </w:t>
      </w:r>
      <w:r>
        <w:rPr>
          <w:rStyle w:val="VerbatimChar"/>
        </w:rPr>
        <w:t xml:space="preserve">except</w:t>
      </w:r>
      <w:r>
        <w:t xml:space="preserve"> </w:t>
      </w:r>
      <w:r>
        <w:t xml:space="preserve">hides programming errors and may allow an invalid analysis to continue. Input validation belongs close to the function boundary, before a long calculation compounds the mistake.</w:t>
      </w:r>
    </w:p>
    <w:bookmarkEnd w:id="123"/>
    <w:bookmarkStart w:id="124" w:name="tests-protect-meaning"/>
    <w:p>
      <w:pPr>
        <w:pStyle w:val="Heading2"/>
        <w:keepNext/>
      </w:pPr>
      <w:r>
        <w:rPr>
          <w:rStyle w:val="SectionNumber"/>
          <w:rFonts w:ascii="Noto Sans" w:hAnsi="Noto Sans" w:eastAsia="Noto Sans" w:cs="Noto Sans"/>
          <w:b/>
          <w:color w:val="008F87"/>
          <w:sz w:val="29"/>
        </w:rPr>
        <w:t xml:space="preserve">6.4</w:t>
      </w:r>
      <w:r>
        <w:rPr>
          <w:rFonts w:ascii="Noto Sans" w:hAnsi="Noto Sans" w:eastAsia="Noto Sans" w:cs="Noto Sans"/>
          <w:b/>
          <w:color w:val="008F87"/>
          <w:sz w:val="29"/>
        </w:rPr>
        <w:tab/>
      </w:r>
      <w:r>
        <w:rPr>
          <w:rFonts w:ascii="Noto Sans" w:hAnsi="Noto Sans" w:eastAsia="Noto Sans" w:cs="Noto Sans"/>
          <w:b/>
          <w:color w:val="008F87"/>
          <w:sz w:val="29"/>
        </w:rPr>
        <w:t xml:space="preserve">Tests protect meaning</w:t>
      </w:r>
    </w:p>
    <w:p>
      <w:pPr>
        <w:pStyle w:val="FirstParagraph"/>
      </w:pPr>
      <w:r>
        <w:t xml:space="preserve">A test checks a property that should remain true when code changes. Exact expected values are useful for deterministic functions; inequalities and tolerances are better for floating-point or simulation results. Tests should cover normal cases, boundaries, and invalid inputs. The objective is not to prove a program perfect but to make its key assumptions executable and visible.</w:t>
      </w:r>
    </w:p>
    <w:bookmarkEnd w:id="124"/>
    <w:bookmarkStart w:id="127" w:name="python-demonstrations-5"/>
    <w:p>
      <w:pPr>
        <w:pStyle w:val="Heading2"/>
        <w:keepNext/>
      </w:pPr>
      <w:r>
        <w:rPr>
          <w:rStyle w:val="SectionNumber"/>
          <w:rFonts w:ascii="Noto Sans" w:hAnsi="Noto Sans" w:eastAsia="Noto Sans" w:cs="Noto Sans"/>
          <w:b/>
          <w:color w:val="008F87"/>
          <w:sz w:val="29"/>
        </w:rPr>
        <w:t xml:space="preserve">6.5</w:t>
      </w:r>
      <w:r>
        <w:rPr>
          <w:rFonts w:ascii="Noto Sans" w:hAnsi="Noto Sans" w:eastAsia="Noto Sans" w:cs="Noto Sans"/>
          <w:b/>
          <w:color w:val="008F87"/>
          <w:sz w:val="29"/>
        </w:rPr>
        <w:tab/>
      </w:r>
      <w:r>
        <w:rPr>
          <w:rFonts w:ascii="Noto Sans" w:hAnsi="Noto Sans" w:eastAsia="Noto Sans" w:cs="Noto Sans"/>
          <w:b/>
          <w:color w:val="008F87"/>
          <w:sz w:val="29"/>
        </w:rPr>
        <w:t xml:space="preserve">Python demonstrations</w:t>
      </w:r>
    </w:p>
    <w:bookmarkStart w:id="125" w:name="X06bdfe094c7bf8f93d7f3657b0c9162a449308d"/>
    <w:p>
      <w:pPr>
        <w:pStyle w:val="Heading3"/>
        <w:keepNext/>
      </w:pPr>
      <w:r>
        <w:rPr>
          <w:rStyle w:val="SectionNumber"/>
          <w:rFonts w:ascii="Noto Sans" w:hAnsi="Noto Sans" w:eastAsia="Noto Sans" w:cs="Noto Sans"/>
          <w:b/>
          <w:color w:val="0A2342"/>
          <w:sz w:val="23"/>
        </w:rPr>
        <w:t xml:space="preserve">6.5.1</w:t>
      </w:r>
      <w:r>
        <w:rPr>
          <w:rFonts w:ascii="Noto Sans" w:hAnsi="Noto Sans" w:eastAsia="Noto Sans" w:cs="Noto Sans"/>
          <w:b/>
          <w:color w:val="0A2342"/>
          <w:sz w:val="23"/>
        </w:rPr>
        <w:tab/>
      </w:r>
      <w:r>
        <w:rPr>
          <w:rFonts w:ascii="Noto Sans" w:hAnsi="Noto Sans" w:eastAsia="Noto Sans" w:cs="Noto Sans"/>
          <w:b/>
          <w:color w:val="0A2342"/>
          <w:sz w:val="23"/>
        </w:rPr>
        <w:t xml:space="preserve">Demonstration 6.1: A validated return function</w:t>
      </w:r>
    </w:p>
    <w:p>
      <w:pPr>
        <w:pStyle w:val="SourceCode"/>
        <w:shd w:fill="F6F8FA" w:val="clear"/>
      </w:pPr>
      <w:r>
        <w:rPr>
          <w:rStyle w:val="KeywordTok"/>
        </w:rPr>
        <w:t xml:space="preserve">def</w:t>
      </w:r>
      <w:r>
        <w:rPr>
          <w:rStyle w:val="NormalTok"/>
        </w:rPr>
        <w:t xml:space="preserve"> simple_return(start_price: </w:t>
      </w:r>
      <w:r>
        <w:rPr>
          <w:rStyle w:val="BuiltInTok"/>
        </w:rPr>
        <w:t xml:space="preserve">float</w:t>
      </w:r>
      <w:r>
        <w:rPr>
          <w:rStyle w:val="NormalTok"/>
        </w:rPr>
        <w:t xml:space="preserve">, end_price: </w:t>
      </w:r>
      <w:r>
        <w:rPr>
          <w:rStyle w:val="BuiltInTok"/>
        </w:rPr>
        <w:t xml:space="preserve">float</w:t>
      </w:r>
      <w:r>
        <w:rPr>
          <w:rStyle w:val="NormalTok"/>
        </w:rPr>
        <w:t xml:space="preserve">) </w:t>
      </w:r>
      <w:r>
        <w:rPr>
          <w:rStyle w:val="OperatorTok"/>
        </w:rPr>
        <w:t xml:space="preserve">-&gt;</w:t>
      </w:r>
      <w:r>
        <w:rPr>
          <w:rStyle w:val="NormalTok"/>
        </w:rPr>
        <w:t xml:space="preserve"> </w:t>
      </w:r>
      <w:r>
        <w:rPr>
          <w:rStyle w:val="BuiltInTok"/>
        </w:rPr>
        <w:t xml:space="preserve">float</w:t>
      </w:r>
      <w:r>
        <w:rPr>
          <w:rStyle w:val="NormalTok"/>
        </w:rPr>
        <w:t xml:space="preserve">:</w:t>
      </w:r>
      <w:r>
        <w:br/>
      </w:r>
      <w:r>
        <w:rPr>
          <w:rStyle w:val="NormalTok"/>
        </w:rPr>
        <w:t xml:space="preserve">    </w:t>
      </w:r>
      <w:r>
        <w:rPr>
          <w:rStyle w:val="CommentTok"/>
        </w:rPr>
        <w:t xml:space="preserve">"""Return the decimal holding-period return."""</w:t>
      </w:r>
      <w:r>
        <w:br/>
      </w:r>
      <w:r>
        <w:rPr>
          <w:rStyle w:val="NormalTok"/>
        </w:rPr>
        <w:t xml:space="preserve">    </w:t>
      </w:r>
      <w:r>
        <w:rPr>
          <w:rStyle w:val="ControlFlowTok"/>
        </w:rPr>
        <w:t xml:space="preserve">if</w:t>
      </w:r>
      <w:r>
        <w:rPr>
          <w:rStyle w:val="NormalTok"/>
        </w:rPr>
        <w:t xml:space="preserve"> start_price </w:t>
      </w:r>
      <w:r>
        <w:rPr>
          <w:rStyle w:val="OperatorTok"/>
        </w:rPr>
        <w:t xml:space="preserve">&lt;=</w:t>
      </w:r>
      <w:r>
        <w:rPr>
          <w:rStyle w:val="NormalTok"/>
        </w:rPr>
        <w:t xml:space="preserve"> </w:t>
      </w:r>
      <w:r>
        <w:rPr>
          <w:rStyle w:val="DecValTok"/>
        </w:rPr>
        <w:t xml:space="preserve">0</w:t>
      </w:r>
      <w:r>
        <w:rPr>
          <w:rStyle w:val="NormalTok"/>
        </w:rPr>
        <w:t xml:space="preserve">:</w:t>
      </w:r>
      <w:r>
        <w:br/>
      </w:r>
      <w:r>
        <w:rPr>
          <w:rStyle w:val="NormalTok"/>
        </w:rPr>
        <w:t xml:space="preserve">        </w:t>
      </w:r>
      <w:r>
        <w:rPr>
          <w:rStyle w:val="ControlFlowTok"/>
        </w:rPr>
        <w:t xml:space="preserve">raise</w:t>
      </w:r>
      <w:r>
        <w:rPr>
          <w:rStyle w:val="NormalTok"/>
        </w:rPr>
        <w:t xml:space="preserve"> </w:t>
      </w:r>
      <w:r>
        <w:rPr>
          <w:rStyle w:val="PreprocessorTok"/>
        </w:rPr>
        <w:t xml:space="preserve">ValueError</w:t>
      </w:r>
      <w:r>
        <w:rPr>
          <w:rStyle w:val="NormalTok"/>
        </w:rPr>
        <w:t xml:space="preserve">(</w:t>
      </w:r>
      <w:r>
        <w:rPr>
          <w:rStyle w:val="StringTok"/>
        </w:rPr>
        <w:t xml:space="preserve">"start_price must be positive"</w:t>
      </w:r>
      <w:r>
        <w:rPr>
          <w:rStyle w:val="NormalTok"/>
        </w:rPr>
        <w:t xml:space="preserve">)</w:t>
      </w:r>
      <w:r>
        <w:br/>
      </w:r>
      <w:r>
        <w:rPr>
          <w:rStyle w:val="NormalTok"/>
        </w:rPr>
        <w:t xml:space="preserve">    </w:t>
      </w:r>
      <w:r>
        <w:rPr>
          <w:rStyle w:val="ControlFlowTok"/>
        </w:rPr>
        <w:t xml:space="preserve">return</w:t>
      </w:r>
      <w:r>
        <w:rPr>
          <w:rStyle w:val="NormalTok"/>
        </w:rPr>
        <w:t xml:space="preserve"> end_price </w:t>
      </w:r>
      <w:r>
        <w:rPr>
          <w:rStyle w:val="OperatorTok"/>
        </w:rPr>
        <w:t xml:space="preserve">/</w:t>
      </w:r>
      <w:r>
        <w:rPr>
          <w:rStyle w:val="NormalTok"/>
        </w:rPr>
        <w:t xml:space="preserve"> start_price </w:t>
      </w:r>
      <w:r>
        <w:rPr>
          <w:rStyle w:val="OperatorTok"/>
        </w:rPr>
        <w:t xml:space="preserve">-</w:t>
      </w:r>
      <w:r>
        <w:rPr>
          <w:rStyle w:val="NormalTok"/>
        </w:rPr>
        <w:t xml:space="preserve"> </w:t>
      </w:r>
      <w:r>
        <w:rPr>
          <w:rStyle w:val="DecValTok"/>
        </w:rPr>
        <w:t xml:space="preserve">1</w:t>
      </w:r>
      <w:r>
        <w:br/>
      </w:r>
      <w:r>
        <w:br/>
      </w:r>
      <w:r>
        <w:rPr>
          <w:rStyle w:val="BuiltInTok"/>
        </w:rPr>
        <w:t xml:space="preserve">print</w:t>
      </w:r>
      <w:r>
        <w:rPr>
          <w:rStyle w:val="NormalTok"/>
        </w:rPr>
        <w:t xml:space="preserve">(simple_return(</w:t>
      </w:r>
      <w:r>
        <w:rPr>
          <w:rStyle w:val="DecValTok"/>
        </w:rPr>
        <w:t xml:space="preserve">100</w:t>
      </w:r>
      <w:r>
        <w:rPr>
          <w:rStyle w:val="NormalTok"/>
        </w:rPr>
        <w:t xml:space="preserve">, </w:t>
      </w:r>
      <w:r>
        <w:rPr>
          <w:rStyle w:val="DecValTok"/>
        </w:rPr>
        <w:t xml:space="preserve">105</w:t>
      </w:r>
      <w:r>
        <w:rPr>
          <w:rStyle w:val="NormalTok"/>
        </w:rPr>
        <w:t xml:space="preserve">))</w:t>
      </w:r>
    </w:p>
    <w:p>
      <w:pPr>
        <w:pStyle w:val="FirstParagraph"/>
      </w:pPr>
      <w:r>
        <w:rPr>
          <w:b/>
          <w:bCs/>
        </w:rPr>
        <w:t xml:space="preserve">Verified output</w:t>
      </w:r>
    </w:p>
    <w:p>
      <w:pPr>
        <w:pStyle w:val="SourceCode"/>
        <w:keepLines/>
        <w:shd w:fill="F6F8FA" w:val="clear"/>
      </w:pPr>
      <w:r>
        <w:rPr>
          <w:rStyle w:val="VerbatimChar"/>
        </w:rPr>
        <w:t xml:space="preserve">0.050000000000000044</w:t>
      </w:r>
    </w:p>
    <w:p>
      <w:pPr>
        <w:pStyle w:val="FirstParagraph"/>
      </w:pPr>
      <w:r>
        <w:rPr>
          <w:b/>
          <w:bCs/>
        </w:rPr>
        <w:t xml:space="preserve">Interpretation.</w:t>
      </w:r>
      <w:r>
        <w:t xml:space="preserve"> </w:t>
      </w:r>
      <w:r>
        <w:t xml:space="preserve">The tiny binary representation difference is normal. Formatting or</w:t>
      </w:r>
      <w:r>
        <w:t xml:space="preserve"> </w:t>
      </w:r>
      <w:r>
        <w:rPr>
          <w:rStyle w:val="VerbatimChar"/>
        </w:rPr>
        <w:t xml:space="preserve">math.isclose</w:t>
      </w:r>
      <w:r>
        <w:t xml:space="preserve"> </w:t>
      </w:r>
      <w:r>
        <w:t xml:space="preserve">is appropriate when comparing floating-point values.</w:t>
      </w:r>
    </w:p>
    <w:bookmarkEnd w:id="125"/>
    <w:bookmarkStart w:id="126" w:name="demonstration-6.2-a-lightweight-test"/>
    <w:p>
      <w:pPr>
        <w:pStyle w:val="Heading3"/>
        <w:keepNext/>
      </w:pPr>
      <w:r>
        <w:rPr>
          <w:rStyle w:val="SectionNumber"/>
          <w:rFonts w:ascii="Noto Sans" w:hAnsi="Noto Sans" w:eastAsia="Noto Sans" w:cs="Noto Sans"/>
          <w:b/>
          <w:color w:val="0A2342"/>
          <w:sz w:val="23"/>
        </w:rPr>
        <w:t xml:space="preserve">6.5.2</w:t>
      </w:r>
      <w:r>
        <w:rPr>
          <w:rFonts w:ascii="Noto Sans" w:hAnsi="Noto Sans" w:eastAsia="Noto Sans" w:cs="Noto Sans"/>
          <w:b/>
          <w:color w:val="0A2342"/>
          <w:sz w:val="23"/>
        </w:rPr>
        <w:tab/>
      </w:r>
      <w:r>
        <w:rPr>
          <w:rFonts w:ascii="Noto Sans" w:hAnsi="Noto Sans" w:eastAsia="Noto Sans" w:cs="Noto Sans"/>
          <w:b/>
          <w:color w:val="0A2342"/>
          <w:sz w:val="23"/>
        </w:rPr>
        <w:t xml:space="preserve">Demonstration 6.2: A lightweight test</w:t>
      </w:r>
    </w:p>
    <w:p>
      <w:pPr>
        <w:pStyle w:val="SourceCode"/>
        <w:keepLines/>
        <w:shd w:fill="F6F8FA" w:val="clear"/>
      </w:pPr>
      <w:r>
        <w:rPr>
          <w:rStyle w:val="ImportTok"/>
        </w:rPr>
        <w:t xml:space="preserve">import</w:t>
      </w:r>
      <w:r>
        <w:rPr>
          <w:rStyle w:val="NormalTok"/>
        </w:rPr>
        <w:t xml:space="preserve"> math</w:t>
      </w:r>
      <w:r>
        <w:br/>
      </w:r>
      <w:r>
        <w:br/>
      </w:r>
      <w:r>
        <w:rPr>
          <w:rStyle w:val="ControlFlowTok"/>
        </w:rPr>
        <w:t xml:space="preserve">assert</w:t>
      </w:r>
      <w:r>
        <w:rPr>
          <w:rStyle w:val="NormalTok"/>
        </w:rPr>
        <w:t xml:space="preserve"> math.isclose(simple_return(</w:t>
      </w:r>
      <w:r>
        <w:rPr>
          <w:rStyle w:val="DecValTok"/>
        </w:rPr>
        <w:t xml:space="preserve">100</w:t>
      </w:r>
      <w:r>
        <w:rPr>
          <w:rStyle w:val="NormalTok"/>
        </w:rPr>
        <w:t xml:space="preserve">, </w:t>
      </w:r>
      <w:r>
        <w:rPr>
          <w:rStyle w:val="DecValTok"/>
        </w:rPr>
        <w:t xml:space="preserve">105</w:t>
      </w:r>
      <w:r>
        <w:rPr>
          <w:rStyle w:val="NormalTok"/>
        </w:rPr>
        <w:t xml:space="preserve">), </w:t>
      </w:r>
      <w:r>
        <w:rPr>
          <w:rStyle w:val="FloatTok"/>
        </w:rPr>
        <w:t xml:space="preserve">0.05</w:t>
      </w:r>
      <w:r>
        <w:rPr>
          <w:rStyle w:val="NormalTok"/>
        </w:rPr>
        <w:t xml:space="preserve">)</w:t>
      </w:r>
      <w:r>
        <w:br/>
      </w:r>
      <w:r>
        <w:rPr>
          <w:rStyle w:val="ControlFlowTok"/>
        </w:rPr>
        <w:t xml:space="preserve">try</w:t>
      </w:r>
      <w:r>
        <w:rPr>
          <w:rStyle w:val="NormalTok"/>
        </w:rPr>
        <w:t xml:space="preserve">:</w:t>
      </w:r>
      <w:r>
        <w:br/>
      </w:r>
      <w:r>
        <w:rPr>
          <w:rStyle w:val="NormalTok"/>
        </w:rPr>
        <w:t xml:space="preserve">    simple_return(</w:t>
      </w:r>
      <w:r>
        <w:rPr>
          <w:rStyle w:val="DecValTok"/>
        </w:rPr>
        <w:t xml:space="preserve">0</w:t>
      </w:r>
      <w:r>
        <w:rPr>
          <w:rStyle w:val="NormalTok"/>
        </w:rPr>
        <w:t xml:space="preserve">, </w:t>
      </w:r>
      <w:r>
        <w:rPr>
          <w:rStyle w:val="DecValTok"/>
        </w:rPr>
        <w:t xml:space="preserve">105</w:t>
      </w:r>
      <w:r>
        <w:rPr>
          <w:rStyle w:val="NormalTok"/>
        </w:rPr>
        <w:t xml:space="preserve">)</w:t>
      </w:r>
      <w:r>
        <w:br/>
      </w:r>
      <w:r>
        <w:rPr>
          <w:rStyle w:val="ControlFlowTok"/>
        </w:rPr>
        <w:t xml:space="preserve">except</w:t>
      </w:r>
      <w:r>
        <w:rPr>
          <w:rStyle w:val="NormalTok"/>
        </w:rPr>
        <w:t xml:space="preserve"> </w:t>
      </w:r>
      <w:r>
        <w:rPr>
          <w:rStyle w:val="PreprocessorTok"/>
        </w:rPr>
        <w:t xml:space="preserve">ValueError</w:t>
      </w:r>
      <w:r>
        <w:rPr>
          <w:rStyle w:val="NormalTok"/>
        </w:rPr>
        <w:t xml:space="preserve"> </w:t>
      </w:r>
      <w:r>
        <w:rPr>
          <w:rStyle w:val="ImportTok"/>
        </w:rPr>
        <w:t xml:space="preserve">as</w:t>
      </w:r>
      <w:r>
        <w:rPr>
          <w:rStyle w:val="NormalTok"/>
        </w:rPr>
        <w:t xml:space="preserve"> err:</w:t>
      </w:r>
      <w:r>
        <w:br/>
      </w:r>
      <w:r>
        <w:rPr>
          <w:rStyle w:val="NormalTok"/>
        </w:rPr>
        <w:t xml:space="preserve">    </w:t>
      </w:r>
      <w:r>
        <w:rPr>
          <w:rStyle w:val="BuiltInTok"/>
        </w:rPr>
        <w:t xml:space="preserve">print</w:t>
      </w:r>
      <w:r>
        <w:rPr>
          <w:rStyle w:val="NormalTok"/>
        </w:rPr>
        <w:t xml:space="preserve">(err)</w:t>
      </w:r>
    </w:p>
    <w:p>
      <w:pPr>
        <w:pStyle w:val="FirstParagraph"/>
      </w:pPr>
      <w:r>
        <w:rPr>
          <w:b/>
          <w:bCs/>
        </w:rPr>
        <w:t xml:space="preserve">Verified output</w:t>
      </w:r>
    </w:p>
    <w:p>
      <w:pPr>
        <w:pStyle w:val="SourceCode"/>
        <w:keepLines/>
        <w:shd w:fill="F6F8FA" w:val="clear"/>
      </w:pPr>
      <w:r>
        <w:rPr>
          <w:rStyle w:val="VerbatimChar"/>
        </w:rPr>
        <w:t xml:space="preserve">start_price must be positive</w:t>
      </w:r>
    </w:p>
    <w:p>
      <w:pPr>
        <w:pStyle w:val="FirstParagraph"/>
      </w:pPr>
      <w:r>
        <w:rPr>
          <w:b/>
          <w:bCs/>
        </w:rPr>
        <w:t xml:space="preserve">Interpretation.</w:t>
      </w:r>
      <w:r>
        <w:t xml:space="preserve"> </w:t>
      </w:r>
      <w:r>
        <w:t xml:space="preserve">The first assertion protects the formula; the second check demonstrates that an invalid denominator is rejected.</w:t>
      </w:r>
    </w:p>
    <w:bookmarkEnd w:id="126"/>
    <w:bookmarkEnd w:id="127"/>
    <w:bookmarkStart w:id="131" w:name="visual-evidence-5"/>
    <w:p>
      <w:pPr>
        <w:pStyle w:val="Heading2"/>
        <w:keepNext/>
      </w:pPr>
      <w:r>
        <w:rPr>
          <w:rStyle w:val="SectionNumber"/>
          <w:rFonts w:ascii="Noto Sans" w:hAnsi="Noto Sans" w:eastAsia="Noto Sans" w:cs="Noto Sans"/>
          <w:b/>
          <w:color w:val="008F87"/>
          <w:sz w:val="29"/>
        </w:rPr>
        <w:t xml:space="preserve">6.6</w:t>
      </w:r>
      <w:r>
        <w:rPr>
          <w:rFonts w:ascii="Noto Sans" w:hAnsi="Noto Sans" w:eastAsia="Noto Sans" w:cs="Noto Sans"/>
          <w:b/>
          <w:color w:val="008F87"/>
          <w:sz w:val="29"/>
        </w:rPr>
        <w:tab/>
      </w:r>
      <w:r>
        <w:rPr>
          <w:rFonts w:ascii="Noto Sans" w:hAnsi="Noto Sans" w:eastAsia="Noto Sans" w:cs="Noto Sans"/>
          <w:b/>
          <w:color w:val="008F87"/>
          <w:sz w:val="29"/>
        </w:rPr>
        <w:t xml:space="preserve">Visual evidence</w:t>
      </w:r>
    </w:p>
    <w:p>
      <w:pPr>
        <w:pStyle w:val="FirstParagraph"/>
      </w:pPr>
      <w:r>
        <w:drawing>
          <wp:inline>
            <wp:extent cx="4907280" cy="2285710"/>
            <wp:effectExtent b="0" l="0" r="0" t="0"/>
            <wp:docPr descr="Image: rId128.png" title="" id="129" name="Picture"/>
            <a:graphic>
              <a:graphicData uri="http://schemas.openxmlformats.org/drawingml/2006/picture">
                <pic:pic>
                  <pic:nvPicPr>
                    <pic:cNvPr descr="figures/fig_06_function_pipeline.png" id="130" name="Picture"/>
                    <pic:cNvPicPr>
                      <a:picLocks noChangeArrowheads="1" noChangeAspect="1"/>
                    </pic:cNvPicPr>
                  </pic:nvPicPr>
                  <pic:blipFill>
                    <a:blip r:embed="rId128"/>
                    <a:stretch>
                      <a:fillRect/>
                    </a:stretch>
                  </pic:blipFill>
                  <pic:spPr bwMode="auto">
                    <a:xfrm>
                      <a:off x="0" y="0"/>
                      <a:ext cx="4907280" cy="2285710"/>
                    </a:xfrm>
                    <a:prstGeom prst="rect">
                      <a:avLst/>
                    </a:prstGeom>
                    <a:noFill/>
                    <a:ln w="9525">
                      <a:noFill/>
                      <a:headEnd/>
                      <a:tailEnd/>
                    </a:ln>
                  </pic:spPr>
                </pic:pic>
              </a:graphicData>
            </a:graphic>
          </wp:inline>
        </w:drawing>
      </w:r>
    </w:p>
    <w:p>
      <w:pPr>
        <w:pStyle w:val="Caption"/>
        <w:keepNext w:val="0"/>
        <w:jc w:val="center"/>
      </w:pPr>
      <w:r>
        <w:rPr>
          <w:b/>
          <w:bCs/>
        </w:rPr>
        <w:t xml:space="preserve">Figure 6.</w:t>
      </w:r>
      <w:r>
        <w:t xml:space="preserve"> </w:t>
      </w:r>
      <w:r>
        <w:t xml:space="preserve">A well-designed function validates inputs, performs one clear task, and returns a documented result.</w:t>
      </w:r>
    </w:p>
    <w:bookmarkEnd w:id="131"/>
    <w:bookmarkStart w:id="132" w:name="reference-table-5"/>
    <w:p>
      <w:pPr>
        <w:pStyle w:val="Heading2"/>
        <w:keepNext/>
      </w:pPr>
      <w:r>
        <w:rPr>
          <w:rStyle w:val="SectionNumber"/>
          <w:rFonts w:ascii="Noto Sans" w:hAnsi="Noto Sans" w:eastAsia="Noto Sans" w:cs="Noto Sans"/>
          <w:b/>
          <w:color w:val="008F87"/>
          <w:sz w:val="29"/>
        </w:rPr>
        <w:t xml:space="preserve">6.7</w:t>
      </w:r>
      <w:r>
        <w:rPr>
          <w:rFonts w:ascii="Noto Sans" w:hAnsi="Noto Sans" w:eastAsia="Noto Sans" w:cs="Noto Sans"/>
          <w:b/>
          <w:color w:val="008F87"/>
          <w:sz w:val="29"/>
        </w:rPr>
        <w:tab/>
      </w:r>
      <w:r>
        <w:rPr>
          <w:rFonts w:ascii="Noto Sans" w:hAnsi="Noto Sans" w:eastAsia="Noto Sans" w:cs="Noto Sans"/>
          <w:b/>
          <w:color w:val="008F87"/>
          <w:sz w:val="29"/>
        </w:rPr>
        <w:t xml:space="preserve">Reference table</w:t>
      </w:r>
    </w:p>
    <w:p>
      <w:pPr>
        <w:pStyle w:val="Caption"/>
        <w:keepNext/>
        <w:jc w:val="center"/>
      </w:pPr>
      <w:r>
        <w:rPr>
          <w:b/>
          <w:bCs/>
        </w:rPr>
        <w:t xml:space="preserve">Table 6. Chapter reference.</w:t>
      </w:r>
    </w:p>
    <w:tbl>
      <w:tblPr>
        <w:tblStyle w:val="Table"/>
        <w:tblW w:type="pct" w:w="5000"/>
        <w:jc w:val="center"/>
        <w:tblLayout w:type="autofit"/>
        <w:tblLook w:firstRow="1" w:lastRow="0" w:firstColumn="0" w:lastColumn="0" w:noHBand="0" w:noVBand="0" w:val="0020"/>
      </w:tblPr>
      <w:tblGrid>
        <w:gridCol w:w="2640"/>
        <w:gridCol w:w="2640"/>
        <w:gridCol w:w="2640"/>
      </w:tblGrid>
      <w:tr>
        <w:trPr>
          <w:tblHeader w:val="on"/>
          <w:tblHeader w:val="true"/>
          <w:cantSplit/>
        </w:trPr>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0A2342" w:val="clear"/>
          </w:tcPr>
          <w:p>
            <w:pPr>
              <w:pStyle w:val="Compact"/>
              <w:spacing w:before="30" w:after="30" w:line="240" w:lineRule="auto"/>
              <w:jc w:val="left"/>
            </w:pPr>
            <w:r>
              <w:rPr>
                <w:rFonts w:ascii="Noto Sans" w:hAnsi="Noto Sans" w:eastAsia="Noto Sans" w:cs="Noto Sans"/>
                <w:b/>
                <w:color w:val="FFFFFF"/>
                <w:sz w:val="16"/>
              </w:rPr>
              <w:t xml:space="preserve">Test type</w:t>
            </w:r>
          </w:p>
        </w:tc>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0A2342" w:val="clear"/>
          </w:tcPr>
          <w:p>
            <w:pPr>
              <w:pStyle w:val="Compact"/>
              <w:spacing w:before="30" w:after="30" w:line="240" w:lineRule="auto"/>
              <w:jc w:val="left"/>
            </w:pPr>
            <w:r>
              <w:rPr>
                <w:rFonts w:ascii="Noto Sans" w:hAnsi="Noto Sans" w:eastAsia="Noto Sans" w:cs="Noto Sans"/>
                <w:b/>
                <w:color w:val="FFFFFF"/>
                <w:sz w:val="16"/>
              </w:rPr>
              <w:t xml:space="preserve">Question</w:t>
            </w:r>
          </w:p>
        </w:tc>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0A2342" w:val="clear"/>
          </w:tcPr>
          <w:p>
            <w:pPr>
              <w:pStyle w:val="Compact"/>
              <w:spacing w:before="30" w:after="30" w:line="240" w:lineRule="auto"/>
              <w:jc w:val="left"/>
            </w:pPr>
            <w:r>
              <w:rPr>
                <w:rFonts w:ascii="Noto Sans" w:hAnsi="Noto Sans" w:eastAsia="Noto Sans" w:cs="Noto Sans"/>
                <w:b/>
                <w:color w:val="FFFFFF"/>
                <w:sz w:val="16"/>
              </w:rPr>
              <w:t xml:space="preserve">Example</w:t>
            </w:r>
          </w:p>
        </w:tc>
      </w:tr>
      <w:tr>
        <w:trPr>
          <w:cantSplit/>
        </w:trPr>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EEF4F8" w:val="clear"/>
          </w:tcPr>
          <w:p>
            <w:pPr>
              <w:pStyle w:val="Compact"/>
              <w:spacing w:before="30" w:after="30" w:line="240" w:lineRule="auto"/>
              <w:jc w:val="left"/>
            </w:pPr>
            <w:r>
              <w:rPr>
                <w:rFonts w:ascii="Noto Sans" w:hAnsi="Noto Sans" w:eastAsia="Noto Sans" w:cs="Noto Sans"/>
                <w:b w:val="0"/>
                <w:color w:val="18212B"/>
                <w:sz w:val="16"/>
              </w:rPr>
              <w:t xml:space="preserve">unit test</w:t>
            </w:r>
          </w:p>
        </w:tc>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EEF4F8" w:val="clear"/>
          </w:tcPr>
          <w:p>
            <w:pPr>
              <w:pStyle w:val="Compact"/>
              <w:spacing w:before="30" w:after="30" w:line="240" w:lineRule="auto"/>
              <w:jc w:val="left"/>
            </w:pPr>
            <w:r>
              <w:rPr>
                <w:rFonts w:ascii="Noto Sans" w:hAnsi="Noto Sans" w:eastAsia="Noto Sans" w:cs="Noto Sans"/>
                <w:b w:val="0"/>
                <w:color w:val="18212B"/>
                <w:sz w:val="16"/>
              </w:rPr>
              <w:t xml:space="preserve">Does one function behave correctly?</w:t>
            </w:r>
          </w:p>
        </w:tc>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EEF4F8" w:val="clear"/>
          </w:tcPr>
          <w:p>
            <w:pPr>
              <w:pStyle w:val="Compact"/>
              <w:spacing w:before="30" w:after="30" w:line="240" w:lineRule="auto"/>
              <w:jc w:val="left"/>
            </w:pPr>
            <w:r>
              <w:rPr>
                <w:rFonts w:ascii="Noto Sans" w:hAnsi="Noto Sans" w:eastAsia="Noto Sans" w:cs="Noto Sans"/>
                <w:b w:val="0"/>
                <w:color w:val="18212B"/>
                <w:sz w:val="16"/>
              </w:rPr>
              <w:t xml:space="preserve">simple_return(100, 105)</w:t>
            </w:r>
          </w:p>
        </w:tc>
      </w:tr>
      <w:tr>
        <w:trPr>
          <w:cantSplit/>
        </w:trPr>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FFFFFF" w:val="clear"/>
          </w:tcPr>
          <w:p>
            <w:pPr>
              <w:pStyle w:val="Compact"/>
              <w:spacing w:before="30" w:after="30" w:line="240" w:lineRule="auto"/>
              <w:jc w:val="left"/>
            </w:pPr>
            <w:r>
              <w:rPr>
                <w:rFonts w:ascii="Noto Sans" w:hAnsi="Noto Sans" w:eastAsia="Noto Sans" w:cs="Noto Sans"/>
                <w:b w:val="0"/>
                <w:color w:val="18212B"/>
                <w:sz w:val="16"/>
              </w:rPr>
              <w:t xml:space="preserve">boundary test</w:t>
            </w:r>
          </w:p>
        </w:tc>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FFFFFF" w:val="clear"/>
          </w:tcPr>
          <w:p>
            <w:pPr>
              <w:pStyle w:val="Compact"/>
              <w:spacing w:before="30" w:after="30" w:line="240" w:lineRule="auto"/>
              <w:jc w:val="left"/>
            </w:pPr>
            <w:r>
              <w:rPr>
                <w:rFonts w:ascii="Noto Sans" w:hAnsi="Noto Sans" w:eastAsia="Noto Sans" w:cs="Noto Sans"/>
                <w:b w:val="0"/>
                <w:color w:val="18212B"/>
                <w:sz w:val="16"/>
              </w:rPr>
              <w:t xml:space="preserve">What happens at an edge?</w:t>
            </w:r>
          </w:p>
        </w:tc>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FFFFFF" w:val="clear"/>
          </w:tcPr>
          <w:p>
            <w:pPr>
              <w:pStyle w:val="Compact"/>
              <w:spacing w:before="30" w:after="30" w:line="240" w:lineRule="auto"/>
              <w:jc w:val="left"/>
            </w:pPr>
            <w:r>
              <w:rPr>
                <w:rFonts w:ascii="Noto Sans" w:hAnsi="Noto Sans" w:eastAsia="Noto Sans" w:cs="Noto Sans"/>
                <w:b w:val="0"/>
                <w:color w:val="18212B"/>
                <w:sz w:val="16"/>
              </w:rPr>
              <w:t xml:space="preserve">zero years</w:t>
            </w:r>
          </w:p>
        </w:tc>
      </w:tr>
      <w:tr>
        <w:trPr>
          <w:cantSplit/>
        </w:trPr>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EEF4F8" w:val="clear"/>
          </w:tcPr>
          <w:p>
            <w:pPr>
              <w:pStyle w:val="Compact"/>
              <w:spacing w:before="30" w:after="30" w:line="240" w:lineRule="auto"/>
              <w:jc w:val="left"/>
            </w:pPr>
            <w:r>
              <w:rPr>
                <w:rFonts w:ascii="Noto Sans" w:hAnsi="Noto Sans" w:eastAsia="Noto Sans" w:cs="Noto Sans"/>
                <w:b w:val="0"/>
                <w:color w:val="18212B"/>
                <w:sz w:val="16"/>
              </w:rPr>
              <w:t xml:space="preserve">error test</w:t>
            </w:r>
          </w:p>
        </w:tc>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EEF4F8" w:val="clear"/>
          </w:tcPr>
          <w:p>
            <w:pPr>
              <w:pStyle w:val="Compact"/>
              <w:spacing w:before="30" w:after="30" w:line="240" w:lineRule="auto"/>
              <w:jc w:val="left"/>
            </w:pPr>
            <w:r>
              <w:rPr>
                <w:rFonts w:ascii="Noto Sans" w:hAnsi="Noto Sans" w:eastAsia="Noto Sans" w:cs="Noto Sans"/>
                <w:b w:val="0"/>
                <w:color w:val="18212B"/>
                <w:sz w:val="16"/>
              </w:rPr>
              <w:t xml:space="preserve">Is invalid input rejected?</w:t>
            </w:r>
          </w:p>
        </w:tc>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EEF4F8" w:val="clear"/>
          </w:tcPr>
          <w:p>
            <w:pPr>
              <w:pStyle w:val="Compact"/>
              <w:spacing w:before="30" w:after="30" w:line="240" w:lineRule="auto"/>
              <w:jc w:val="left"/>
            </w:pPr>
            <w:r>
              <w:rPr>
                <w:rFonts w:ascii="Noto Sans" w:hAnsi="Noto Sans" w:eastAsia="Noto Sans" w:cs="Noto Sans"/>
                <w:b w:val="0"/>
                <w:color w:val="18212B"/>
                <w:sz w:val="16"/>
              </w:rPr>
              <w:t xml:space="preserve">negative price</w:t>
            </w:r>
          </w:p>
        </w:tc>
      </w:tr>
      <w:tr>
        <w:trPr>
          <w:cantSplit/>
        </w:trPr>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FFFFFF" w:val="clear"/>
          </w:tcPr>
          <w:p>
            <w:pPr>
              <w:pStyle w:val="Compact"/>
              <w:spacing w:before="30" w:after="30" w:line="240" w:lineRule="auto"/>
              <w:jc w:val="left"/>
            </w:pPr>
            <w:r>
              <w:rPr>
                <w:rFonts w:ascii="Noto Sans" w:hAnsi="Noto Sans" w:eastAsia="Noto Sans" w:cs="Noto Sans"/>
                <w:b w:val="0"/>
                <w:color w:val="18212B"/>
                <w:sz w:val="16"/>
              </w:rPr>
              <w:t xml:space="preserve">smoke test</w:t>
            </w:r>
          </w:p>
        </w:tc>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FFFFFF" w:val="clear"/>
          </w:tcPr>
          <w:p>
            <w:pPr>
              <w:pStyle w:val="Compact"/>
              <w:spacing w:before="30" w:after="30" w:line="240" w:lineRule="auto"/>
              <w:jc w:val="left"/>
            </w:pPr>
            <w:r>
              <w:rPr>
                <w:rFonts w:ascii="Noto Sans" w:hAnsi="Noto Sans" w:eastAsia="Noto Sans" w:cs="Noto Sans"/>
                <w:b w:val="0"/>
                <w:color w:val="18212B"/>
                <w:sz w:val="16"/>
              </w:rPr>
              <w:t xml:space="preserve">Does the workflow run?</w:t>
            </w:r>
          </w:p>
        </w:tc>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FFFFFF" w:val="clear"/>
          </w:tcPr>
          <w:p>
            <w:pPr>
              <w:pStyle w:val="Compact"/>
              <w:spacing w:before="30" w:after="30" w:line="240" w:lineRule="auto"/>
              <w:jc w:val="left"/>
            </w:pPr>
            <w:r>
              <w:rPr>
                <w:rFonts w:ascii="Noto Sans" w:hAnsi="Noto Sans" w:eastAsia="Noto Sans" w:cs="Noto Sans"/>
                <w:b w:val="0"/>
                <w:color w:val="18212B"/>
                <w:sz w:val="16"/>
              </w:rPr>
              <w:t xml:space="preserve">build all figures</w:t>
            </w:r>
          </w:p>
        </w:tc>
      </w:tr>
    </w:tbl>
    <w:p>
      <w:pPr>
        <w:pStyle w:val="BlockText"/>
        <w:shd w:fill="EAF7F5" w:val="clear"/>
        <w:pBdr>
          <w:left w:val="single" w:sz="18" w:space="8" w:color="008F87"/>
        </w:pBdr>
      </w:pPr>
      <w:r>
        <w:rPr>
          <w:b/>
          <w:bCs/>
        </w:rPr>
        <w:t xml:space="preserve">Why This Matters</w:t>
      </w:r>
    </w:p>
    <w:p>
      <w:pPr>
        <w:pStyle w:val="BlockText"/>
        <w:shd w:fill="EAF7F5" w:val="clear"/>
        <w:pBdr>
          <w:left w:val="single" w:sz="18" w:space="8" w:color="008F87"/>
        </w:pBdr>
      </w:pPr>
      <w:r>
        <w:t xml:space="preserve">Functions and tests convert isolated notebook cells into reusable analytical components.</w:t>
      </w:r>
    </w:p>
    <w:p>
      <w:pPr>
        <w:pStyle w:val="BlockText"/>
        <w:shd w:fill="EAF7F5" w:val="clear"/>
        <w:pBdr>
          <w:left w:val="single" w:sz="18" w:space="8" w:color="008F87"/>
        </w:pBdr>
      </w:pPr>
      <w:r>
        <w:rPr>
          <w:b/>
          <w:bCs/>
        </w:rPr>
        <w:t xml:space="preserve">Common Mistake</w:t>
      </w:r>
    </w:p>
    <w:p>
      <w:pPr>
        <w:pStyle w:val="BlockText"/>
        <w:shd w:fill="EAF7F5" w:val="clear"/>
        <w:pBdr>
          <w:left w:val="single" w:sz="18" w:space="8" w:color="008F87"/>
        </w:pBdr>
      </w:pPr>
      <w:r>
        <w:t xml:space="preserve">Catching every exception and continuing. The notebook may finish while the analysis silently loses observations or substitutes bad values.</w:t>
      </w:r>
    </w:p>
    <w:p>
      <w:pPr>
        <w:pStyle w:val="BlockText"/>
        <w:shd w:fill="EAF7F5" w:val="clear"/>
        <w:pBdr>
          <w:left w:val="single" w:sz="18" w:space="8" w:color="008F87"/>
        </w:pBdr>
      </w:pPr>
      <w:r>
        <w:rPr>
          <w:b/>
          <w:bCs/>
        </w:rPr>
        <w:t xml:space="preserve">Ceteris LAB Tip</w:t>
      </w:r>
    </w:p>
    <w:p>
      <w:pPr>
        <w:pStyle w:val="BlockText"/>
        <w:shd w:fill="EAF7F5" w:val="clear"/>
        <w:pBdr>
          <w:left w:val="single" w:sz="18" w:space="8" w:color="008F87"/>
        </w:pBdr>
      </w:pPr>
      <w:r>
        <w:t xml:space="preserve">Write the test before optimizing the function. A faster wrong answer remains wrong at higher speed.</w:t>
      </w:r>
    </w:p>
    <w:p>
      <w:pPr>
        <w:pStyle w:val="BlockText"/>
        <w:shd w:fill="EAF7F5" w:val="clear"/>
        <w:pBdr>
          <w:left w:val="single" w:sz="18" w:space="8" w:color="008F87"/>
        </w:pBdr>
      </w:pPr>
      <w:r>
        <w:rPr>
          <w:b/>
          <w:bCs/>
        </w:rPr>
        <w:t xml:space="preserve">R-to-Python / Source Bridge</w:t>
      </w:r>
    </w:p>
    <w:p>
      <w:pPr>
        <w:pStyle w:val="BlockText"/>
        <w:shd w:fill="EAF7F5" w:val="clear"/>
        <w:pBdr>
          <w:left w:val="single" w:sz="18" w:space="8" w:color="008F87"/>
        </w:pBdr>
      </w:pPr>
      <w:r>
        <w:t xml:space="preserve">Several original lecture examples depended on external custom R scripts. This book replaces opaque dependencies with documented Python functions and validation tests.</w:t>
      </w:r>
    </w:p>
    <w:bookmarkEnd w:id="132"/>
    <w:bookmarkStart w:id="133" w:name="guided-practice-5"/>
    <w:p>
      <w:pPr>
        <w:pStyle w:val="Heading2"/>
        <w:keepNext/>
      </w:pPr>
      <w:r>
        <w:rPr>
          <w:rStyle w:val="SectionNumber"/>
          <w:rFonts w:ascii="Noto Sans" w:hAnsi="Noto Sans" w:eastAsia="Noto Sans" w:cs="Noto Sans"/>
          <w:b/>
          <w:color w:val="008F87"/>
          <w:sz w:val="29"/>
        </w:rPr>
        <w:t xml:space="preserve">6.8</w:t>
      </w:r>
      <w:r>
        <w:rPr>
          <w:rFonts w:ascii="Noto Sans" w:hAnsi="Noto Sans" w:eastAsia="Noto Sans" w:cs="Noto Sans"/>
          <w:b/>
          <w:color w:val="008F87"/>
          <w:sz w:val="29"/>
        </w:rPr>
        <w:tab/>
      </w:r>
      <w:r>
        <w:rPr>
          <w:rFonts w:ascii="Noto Sans" w:hAnsi="Noto Sans" w:eastAsia="Noto Sans" w:cs="Noto Sans"/>
          <w:b/>
          <w:color w:val="008F87"/>
          <w:sz w:val="29"/>
        </w:rPr>
        <w:t xml:space="preserve">Guided practice</w:t>
      </w:r>
    </w:p>
    <w:p>
      <w:pPr>
        <w:pStyle w:val="Compact"/>
        <w:numPr>
          <w:ilvl w:val="0"/>
          <w:numId w:val="1024"/>
        </w:numPr>
      </w:pPr>
      <w:r>
        <w:t xml:space="preserve">Re-run Demonstration 6.1 and change one input while keeping the analytical question fixed.</w:t>
      </w:r>
    </w:p>
    <w:p>
      <w:pPr>
        <w:pStyle w:val="Compact"/>
        <w:numPr>
          <w:ilvl w:val="0"/>
          <w:numId w:val="1024"/>
        </w:numPr>
      </w:pPr>
      <w:r>
        <w:t xml:space="preserve">Explain in two sentences how the output supports, or fails to support, the chapter opening question.</w:t>
      </w:r>
    </w:p>
    <w:p>
      <w:pPr>
        <w:pStyle w:val="Compact"/>
        <w:numPr>
          <w:ilvl w:val="0"/>
          <w:numId w:val="1024"/>
        </w:numPr>
      </w:pPr>
      <w:r>
        <w:t xml:space="preserve">Add one validation check that would prevent a plausible error.</w:t>
      </w:r>
    </w:p>
    <w:bookmarkEnd w:id="133"/>
    <w:bookmarkStart w:id="134" w:name="exercises-5"/>
    <w:p>
      <w:pPr>
        <w:pStyle w:val="Heading2"/>
        <w:keepNext/>
      </w:pPr>
      <w:r>
        <w:rPr>
          <w:rStyle w:val="SectionNumber"/>
          <w:rFonts w:ascii="Noto Sans" w:hAnsi="Noto Sans" w:eastAsia="Noto Sans" w:cs="Noto Sans"/>
          <w:b/>
          <w:color w:val="008F87"/>
          <w:sz w:val="29"/>
        </w:rPr>
        <w:t xml:space="preserve">6.9</w:t>
      </w:r>
      <w:r>
        <w:rPr>
          <w:rFonts w:ascii="Noto Sans" w:hAnsi="Noto Sans" w:eastAsia="Noto Sans" w:cs="Noto Sans"/>
          <w:b/>
          <w:color w:val="008F87"/>
          <w:sz w:val="29"/>
        </w:rPr>
        <w:tab/>
      </w:r>
      <w:r>
        <w:rPr>
          <w:rFonts w:ascii="Noto Sans" w:hAnsi="Noto Sans" w:eastAsia="Noto Sans" w:cs="Noto Sans"/>
          <w:b/>
          <w:color w:val="008F87"/>
          <w:sz w:val="29"/>
        </w:rPr>
        <w:t xml:space="preserve">Exercises</w:t>
      </w:r>
    </w:p>
    <w:p>
      <w:pPr>
        <w:pStyle w:val="Compact"/>
        <w:numPr>
          <w:ilvl w:val="0"/>
          <w:numId w:val="1025"/>
        </w:numPr>
      </w:pPr>
      <w:r>
        <w:t xml:space="preserve">Write a function that annualizes monthly volatility.</w:t>
      </w:r>
    </w:p>
    <w:p>
      <w:pPr>
        <w:pStyle w:val="Compact"/>
        <w:numPr>
          <w:ilvl w:val="0"/>
          <w:numId w:val="1025"/>
        </w:numPr>
      </w:pPr>
      <w:r>
        <w:t xml:space="preserve">Raise an error when frequency is not positive.</w:t>
      </w:r>
    </w:p>
    <w:p>
      <w:pPr>
        <w:pStyle w:val="Compact"/>
        <w:numPr>
          <w:ilvl w:val="0"/>
          <w:numId w:val="1025"/>
        </w:numPr>
      </w:pPr>
      <w:r>
        <w:t xml:space="preserve">Test the function at a known value.</w:t>
      </w:r>
    </w:p>
    <w:p>
      <w:pPr>
        <w:pStyle w:val="Compact"/>
        <w:numPr>
          <w:ilvl w:val="0"/>
          <w:numId w:val="1025"/>
        </w:numPr>
      </w:pPr>
      <w:r>
        <w:t xml:space="preserve">Move two related functions into a module and import them.</w:t>
      </w:r>
    </w:p>
    <w:bookmarkEnd w:id="134"/>
    <w:bookmarkStart w:id="135" w:name="chapter-summary-5"/>
    <w:p>
      <w:pPr>
        <w:pStyle w:val="Heading2"/>
        <w:keepNext/>
      </w:pPr>
      <w:r>
        <w:rPr>
          <w:rStyle w:val="SectionNumber"/>
          <w:rFonts w:ascii="Noto Sans" w:hAnsi="Noto Sans" w:eastAsia="Noto Sans" w:cs="Noto Sans"/>
          <w:b/>
          <w:color w:val="008F87"/>
          <w:sz w:val="29"/>
        </w:rPr>
        <w:t xml:space="preserve">6.10</w:t>
      </w:r>
      <w:r>
        <w:rPr>
          <w:rFonts w:ascii="Noto Sans" w:hAnsi="Noto Sans" w:eastAsia="Noto Sans" w:cs="Noto Sans"/>
          <w:b/>
          <w:color w:val="008F87"/>
          <w:sz w:val="29"/>
        </w:rPr>
        <w:tab/>
      </w:r>
      <w:r>
        <w:rPr>
          <w:rFonts w:ascii="Noto Sans" w:hAnsi="Noto Sans" w:eastAsia="Noto Sans" w:cs="Noto Sans"/>
          <w:b/>
          <w:color w:val="008F87"/>
          <w:sz w:val="29"/>
        </w:rPr>
        <w:t xml:space="preserve">Chapter summary</w:t>
      </w:r>
    </w:p>
    <w:p>
      <w:pPr>
        <w:pStyle w:val="Compact"/>
        <w:numPr>
          <w:ilvl w:val="0"/>
          <w:numId w:val="1026"/>
        </w:numPr>
      </w:pPr>
      <w:r>
        <w:t xml:space="preserve">Functions define reusable contracts.</w:t>
      </w:r>
    </w:p>
    <w:p>
      <w:pPr>
        <w:pStyle w:val="Compact"/>
        <w:numPr>
          <w:ilvl w:val="0"/>
          <w:numId w:val="1026"/>
        </w:numPr>
      </w:pPr>
      <w:r>
        <w:t xml:space="preserve">Meaningful exceptions expose violated assumptions.</w:t>
      </w:r>
    </w:p>
    <w:p>
      <w:pPr>
        <w:pStyle w:val="Compact"/>
        <w:numPr>
          <w:ilvl w:val="0"/>
          <w:numId w:val="1026"/>
        </w:numPr>
      </w:pPr>
      <w:r>
        <w:t xml:space="preserve">Tests make key expectations executable.</w:t>
      </w:r>
    </w:p>
    <w:bookmarkEnd w:id="135"/>
    <w:bookmarkStart w:id="136" w:name="key-python-commands-5"/>
    <w:p>
      <w:pPr>
        <w:pStyle w:val="Heading2"/>
        <w:keepNext/>
      </w:pPr>
      <w:r>
        <w:rPr>
          <w:rStyle w:val="SectionNumber"/>
          <w:rFonts w:ascii="Noto Sans" w:hAnsi="Noto Sans" w:eastAsia="Noto Sans" w:cs="Noto Sans"/>
          <w:b/>
          <w:color w:val="008F87"/>
          <w:sz w:val="29"/>
        </w:rPr>
        <w:t xml:space="preserve">6.11</w:t>
      </w:r>
      <w:r>
        <w:rPr>
          <w:rFonts w:ascii="Noto Sans" w:hAnsi="Noto Sans" w:eastAsia="Noto Sans" w:cs="Noto Sans"/>
          <w:b/>
          <w:color w:val="008F87"/>
          <w:sz w:val="29"/>
        </w:rPr>
        <w:tab/>
      </w:r>
      <w:r>
        <w:rPr>
          <w:rFonts w:ascii="Noto Sans" w:hAnsi="Noto Sans" w:eastAsia="Noto Sans" w:cs="Noto Sans"/>
          <w:b/>
          <w:color w:val="008F87"/>
          <w:sz w:val="29"/>
        </w:rPr>
        <w:t xml:space="preserve">Key Python commands</w:t>
      </w:r>
    </w:p>
    <w:p>
      <w:pPr>
        <w:pStyle w:val="SourceCode"/>
        <w:keepLines/>
        <w:shd w:fill="F6F8FA" w:val="clear"/>
      </w:pPr>
      <w:r>
        <w:rPr>
          <w:rStyle w:val="KeywordTok"/>
        </w:rPr>
        <w:t xml:space="preserve">def</w:t>
      </w:r>
      <w:r>
        <w:rPr>
          <w:rStyle w:val="NormalTok"/>
        </w:rPr>
        <w:t xml:space="preserve"> simple_return(start_price: </w:t>
      </w:r>
      <w:r>
        <w:rPr>
          <w:rStyle w:val="BuiltInTok"/>
        </w:rPr>
        <w:t xml:space="preserve">float</w:t>
      </w:r>
      <w:r>
        <w:rPr>
          <w:rStyle w:val="NormalTok"/>
        </w:rPr>
        <w:t xml:space="preserve">, end_price: </w:t>
      </w:r>
      <w:r>
        <w:rPr>
          <w:rStyle w:val="BuiltInTok"/>
        </w:rPr>
        <w:t xml:space="preserve">float</w:t>
      </w:r>
      <w:r>
        <w:rPr>
          <w:rStyle w:val="NormalTok"/>
        </w:rPr>
        <w:t xml:space="preserve">) </w:t>
      </w:r>
      <w:r>
        <w:rPr>
          <w:rStyle w:val="OperatorTok"/>
        </w:rPr>
        <w:t xml:space="preserve">-&gt;</w:t>
      </w:r>
      <w:r>
        <w:rPr>
          <w:rStyle w:val="NormalTok"/>
        </w:rPr>
        <w:t xml:space="preserve"> </w:t>
      </w:r>
      <w:r>
        <w:rPr>
          <w:rStyle w:val="BuiltInTok"/>
        </w:rPr>
        <w:t xml:space="preserve">float</w:t>
      </w:r>
      <w:r>
        <w:rPr>
          <w:rStyle w:val="NormalTok"/>
        </w:rPr>
        <w:t xml:space="preserve">:</w:t>
      </w:r>
      <w:r>
        <w:br/>
      </w:r>
      <w:r>
        <w:rPr>
          <w:rStyle w:val="ControlFlowTok"/>
        </w:rPr>
        <w:t xml:space="preserve">raise</w:t>
      </w:r>
      <w:r>
        <w:rPr>
          <w:rStyle w:val="NormalTok"/>
        </w:rPr>
        <w:t xml:space="preserve"> </w:t>
      </w:r>
      <w:r>
        <w:rPr>
          <w:rStyle w:val="PreprocessorTok"/>
        </w:rPr>
        <w:t xml:space="preserve">ValueError</w:t>
      </w:r>
      <w:r>
        <w:rPr>
          <w:rStyle w:val="NormalTok"/>
        </w:rPr>
        <w:t xml:space="preserve">(</w:t>
      </w:r>
      <w:r>
        <w:rPr>
          <w:rStyle w:val="StringTok"/>
        </w:rPr>
        <w:t xml:space="preserve">"start_price must be positive"</w:t>
      </w:r>
      <w:r>
        <w:rPr>
          <w:rStyle w:val="NormalTok"/>
        </w:rPr>
        <w:t xml:space="preserve">)</w:t>
      </w:r>
      <w:r>
        <w:br/>
      </w:r>
      <w:r>
        <w:rPr>
          <w:rStyle w:val="BuiltInTok"/>
        </w:rPr>
        <w:t xml:space="preserve">print</w:t>
      </w:r>
      <w:r>
        <w:rPr>
          <w:rStyle w:val="NormalTok"/>
        </w:rPr>
        <w:t xml:space="preserve">(simple_return(</w:t>
      </w:r>
      <w:r>
        <w:rPr>
          <w:rStyle w:val="DecValTok"/>
        </w:rPr>
        <w:t xml:space="preserve">100</w:t>
      </w:r>
      <w:r>
        <w:rPr>
          <w:rStyle w:val="NormalTok"/>
        </w:rPr>
        <w:t xml:space="preserve">, </w:t>
      </w:r>
      <w:r>
        <w:rPr>
          <w:rStyle w:val="DecValTok"/>
        </w:rPr>
        <w:t xml:space="preserve">105</w:t>
      </w:r>
      <w:r>
        <w:rPr>
          <w:rStyle w:val="NormalTok"/>
        </w:rPr>
        <w:t xml:space="preserve">))</w:t>
      </w:r>
      <w:r>
        <w:br/>
      </w:r>
      <w:r>
        <w:rPr>
          <w:rStyle w:val="ImportTok"/>
        </w:rPr>
        <w:t xml:space="preserve">import</w:t>
      </w:r>
      <w:r>
        <w:rPr>
          <w:rStyle w:val="NormalTok"/>
        </w:rPr>
        <w:t xml:space="preserve"> math</w:t>
      </w:r>
      <w:r>
        <w:br/>
      </w:r>
      <w:r>
        <w:rPr>
          <w:rStyle w:val="ControlFlowTok"/>
        </w:rPr>
        <w:t xml:space="preserve">assert</w:t>
      </w:r>
      <w:r>
        <w:rPr>
          <w:rStyle w:val="NormalTok"/>
        </w:rPr>
        <w:t xml:space="preserve"> math.isclose(simple_return(</w:t>
      </w:r>
      <w:r>
        <w:rPr>
          <w:rStyle w:val="DecValTok"/>
        </w:rPr>
        <w:t xml:space="preserve">100</w:t>
      </w:r>
      <w:r>
        <w:rPr>
          <w:rStyle w:val="NormalTok"/>
        </w:rPr>
        <w:t xml:space="preserve">, </w:t>
      </w:r>
      <w:r>
        <w:rPr>
          <w:rStyle w:val="DecValTok"/>
        </w:rPr>
        <w:t xml:space="preserve">105</w:t>
      </w:r>
      <w:r>
        <w:rPr>
          <w:rStyle w:val="NormalTok"/>
        </w:rPr>
        <w:t xml:space="preserve">), </w:t>
      </w:r>
      <w:r>
        <w:rPr>
          <w:rStyle w:val="FloatTok"/>
        </w:rPr>
        <w:t xml:space="preserve">0.05</w:t>
      </w:r>
      <w:r>
        <w:rPr>
          <w:rStyle w:val="NormalTok"/>
        </w:rPr>
        <w:t xml:space="preserve">)</w:t>
      </w:r>
      <w:r>
        <w:br/>
      </w:r>
      <w:r>
        <w:rPr>
          <w:rStyle w:val="NormalTok"/>
        </w:rPr>
        <w:t xml:space="preserve">simple_return(</w:t>
      </w:r>
      <w:r>
        <w:rPr>
          <w:rStyle w:val="DecValTok"/>
        </w:rPr>
        <w:t xml:space="preserve">0</w:t>
      </w:r>
      <w:r>
        <w:rPr>
          <w:rStyle w:val="NormalTok"/>
        </w:rPr>
        <w:t xml:space="preserve">, </w:t>
      </w:r>
      <w:r>
        <w:rPr>
          <w:rStyle w:val="DecValTok"/>
        </w:rPr>
        <w:t xml:space="preserve">105</w:t>
      </w:r>
      <w:r>
        <w:rPr>
          <w:rStyle w:val="NormalTok"/>
        </w:rPr>
        <w:t xml:space="preserve">)</w:t>
      </w:r>
    </w:p>
    <w:bookmarkEnd w:id="136"/>
    <w:bookmarkEnd w:id="137"/>
    <w:bookmarkStart w:id="153" w:name="files-paths-projects-and-reproducibility"/>
    <w:p>
      <w:pPr>
        <w:pStyle w:val="Heading1"/>
        <w:keepNext/>
        <w:pageBreakBefore/>
      </w:pPr>
      <w:r>
        <w:rPr>
          <w:rStyle w:val="SectionNumber"/>
          <w:rFonts w:ascii="Noto Sans" w:hAnsi="Noto Sans" w:eastAsia="Noto Sans" w:cs="Noto Sans"/>
          <w:b/>
          <w:color w:val="0A2342"/>
          <w:sz w:val="43"/>
        </w:rPr>
        <w:t xml:space="preserve">7</w:t>
      </w:r>
      <w:r>
        <w:rPr>
          <w:rFonts w:ascii="Noto Sans" w:hAnsi="Noto Sans" w:eastAsia="Noto Sans" w:cs="Noto Sans"/>
          <w:b/>
          <w:color w:val="0A2342"/>
          <w:sz w:val="43"/>
        </w:rPr>
        <w:tab/>
      </w:r>
      <w:r>
        <w:rPr>
          <w:rFonts w:ascii="Noto Sans" w:hAnsi="Noto Sans" w:eastAsia="Noto Sans" w:cs="Noto Sans"/>
          <w:b/>
          <w:color w:val="0A2342"/>
          <w:sz w:val="43"/>
        </w:rPr>
        <w:t xml:space="preserve">Files, Paths, Projects, and Reproducibility</w:t>
      </w:r>
    </w:p>
    <w:p>
      <w:pPr>
        <w:pStyle w:val="FirstParagraph"/>
      </w:pPr>
      <w:r>
        <w:rPr>
          <w:i/>
          <w:iCs/>
        </w:rPr>
        <w:t xml:space="preserve">Opening question:</w:t>
      </w:r>
      <w:r>
        <w:t xml:space="preserve"> </w:t>
      </w:r>
      <w:r>
        <w:rPr>
          <w:b/>
          <w:bCs/>
        </w:rPr>
        <w:t xml:space="preserve">How can a project find its data tomorrow, on another computer, and after being uploaded to a website?</w:t>
      </w:r>
    </w:p>
    <w:bookmarkStart w:id="138" w:name="learning-objectives-6"/>
    <w:p>
      <w:pPr>
        <w:pStyle w:val="Heading2"/>
        <w:keepNext/>
      </w:pPr>
      <w:r>
        <w:rPr>
          <w:rStyle w:val="SectionNumber"/>
          <w:rFonts w:ascii="Noto Sans" w:hAnsi="Noto Sans" w:eastAsia="Noto Sans" w:cs="Noto Sans"/>
          <w:b/>
          <w:color w:val="008F87"/>
          <w:sz w:val="29"/>
        </w:rPr>
        <w:t xml:space="preserve">7.1</w:t>
      </w:r>
      <w:r>
        <w:rPr>
          <w:rFonts w:ascii="Noto Sans" w:hAnsi="Noto Sans" w:eastAsia="Noto Sans" w:cs="Noto Sans"/>
          <w:b/>
          <w:color w:val="008F87"/>
          <w:sz w:val="29"/>
        </w:rPr>
        <w:tab/>
      </w:r>
      <w:r>
        <w:rPr>
          <w:rFonts w:ascii="Noto Sans" w:hAnsi="Noto Sans" w:eastAsia="Noto Sans" w:cs="Noto Sans"/>
          <w:b/>
          <w:color w:val="008F87"/>
          <w:sz w:val="29"/>
        </w:rPr>
        <w:t xml:space="preserve">Learning objectives</w:t>
      </w:r>
    </w:p>
    <w:p>
      <w:pPr>
        <w:pStyle w:val="Compact"/>
        <w:numPr>
          <w:ilvl w:val="0"/>
          <w:numId w:val="1027"/>
        </w:numPr>
      </w:pPr>
      <w:r>
        <w:t xml:space="preserve">Build a portable project tree.</w:t>
      </w:r>
    </w:p>
    <w:p>
      <w:pPr>
        <w:pStyle w:val="Compact"/>
        <w:numPr>
          <w:ilvl w:val="0"/>
          <w:numId w:val="1027"/>
        </w:numPr>
      </w:pPr>
      <w:r>
        <w:t xml:space="preserve">Use pathlib and relative paths.</w:t>
      </w:r>
    </w:p>
    <w:p>
      <w:pPr>
        <w:pStyle w:val="Compact"/>
        <w:numPr>
          <w:ilvl w:val="0"/>
          <w:numId w:val="1027"/>
        </w:numPr>
      </w:pPr>
      <w:r>
        <w:t xml:space="preserve">Separate raw, frozen, processed, and generated files.</w:t>
      </w:r>
    </w:p>
    <w:p>
      <w:pPr>
        <w:pStyle w:val="Compact"/>
        <w:numPr>
          <w:ilvl w:val="0"/>
          <w:numId w:val="1027"/>
        </w:numPr>
      </w:pPr>
      <w:r>
        <w:t xml:space="preserve">Record versions, sources, and random seeds.</w:t>
      </w:r>
    </w:p>
    <w:p>
      <w:pPr>
        <w:pStyle w:val="FirstParagraph"/>
      </w:pPr>
      <w:r>
        <w:rPr>
          <w:b/>
          <w:bCs/>
        </w:rPr>
        <w:t xml:space="preserve">Prerequisites:</w:t>
      </w:r>
      <w:r>
        <w:t xml:space="preserve"> </w:t>
      </w:r>
      <w:r>
        <w:t xml:space="preserve">Chapter 6.</w:t>
      </w:r>
    </w:p>
    <w:p>
      <w:pPr>
        <w:pStyle w:val="BodyText"/>
      </w:pPr>
      <w:r>
        <w:rPr>
          <w:b/>
          <w:bCs/>
        </w:rPr>
        <w:t xml:space="preserve">Key terms:</w:t>
      </w:r>
      <w:r>
        <w:t xml:space="preserve"> </w:t>
      </w:r>
      <w:r>
        <w:t xml:space="preserve">pathlib, relative path, project root, metadata, version control, seed.</w:t>
      </w:r>
    </w:p>
    <w:bookmarkEnd w:id="138"/>
    <w:bookmarkStart w:id="139" w:name="a-project-is-a-map-not-a-pile"/>
    <w:p>
      <w:pPr>
        <w:pStyle w:val="Heading2"/>
        <w:keepNext/>
      </w:pPr>
      <w:r>
        <w:rPr>
          <w:rStyle w:val="SectionNumber"/>
          <w:rFonts w:ascii="Noto Sans" w:hAnsi="Noto Sans" w:eastAsia="Noto Sans" w:cs="Noto Sans"/>
          <w:b/>
          <w:color w:val="008F87"/>
          <w:sz w:val="29"/>
        </w:rPr>
        <w:t xml:space="preserve">7.2</w:t>
      </w:r>
      <w:r>
        <w:rPr>
          <w:rFonts w:ascii="Noto Sans" w:hAnsi="Noto Sans" w:eastAsia="Noto Sans" w:cs="Noto Sans"/>
          <w:b/>
          <w:color w:val="008F87"/>
          <w:sz w:val="29"/>
        </w:rPr>
        <w:tab/>
      </w:r>
      <w:r>
        <w:rPr>
          <w:rFonts w:ascii="Noto Sans" w:hAnsi="Noto Sans" w:eastAsia="Noto Sans" w:cs="Noto Sans"/>
          <w:b/>
          <w:color w:val="008F87"/>
          <w:sz w:val="29"/>
        </w:rPr>
        <w:t xml:space="preserve">A project is a map, not a pile</w:t>
      </w:r>
    </w:p>
    <w:p>
      <w:pPr>
        <w:pStyle w:val="FirstParagraph"/>
      </w:pPr>
      <w:r>
        <w:t xml:space="preserve">A reproducible project separates source data, processed data, scripts, notebooks, figures, tables, and documentation. The directory names act as a map for both humans and code. Raw or frozen data should not be overwritten by a cleaning script. Generated figures should be reproducible from code. Temporary caches and credentials should not be included in a public package.</w:t>
      </w:r>
    </w:p>
    <w:bookmarkEnd w:id="139"/>
    <w:bookmarkStart w:id="140" w:name="relative-paths-travel"/>
    <w:p>
      <w:pPr>
        <w:pStyle w:val="Heading2"/>
        <w:keepNext/>
      </w:pPr>
      <w:r>
        <w:rPr>
          <w:rStyle w:val="SectionNumber"/>
          <w:rFonts w:ascii="Noto Sans" w:hAnsi="Noto Sans" w:eastAsia="Noto Sans" w:cs="Noto Sans"/>
          <w:b/>
          <w:color w:val="008F87"/>
          <w:sz w:val="29"/>
        </w:rPr>
        <w:t xml:space="preserve">7.3</w:t>
      </w:r>
      <w:r>
        <w:rPr>
          <w:rFonts w:ascii="Noto Sans" w:hAnsi="Noto Sans" w:eastAsia="Noto Sans" w:cs="Noto Sans"/>
          <w:b/>
          <w:color w:val="008F87"/>
          <w:sz w:val="29"/>
        </w:rPr>
        <w:tab/>
      </w:r>
      <w:r>
        <w:rPr>
          <w:rFonts w:ascii="Noto Sans" w:hAnsi="Noto Sans" w:eastAsia="Noto Sans" w:cs="Noto Sans"/>
          <w:b/>
          <w:color w:val="008F87"/>
          <w:sz w:val="29"/>
        </w:rPr>
        <w:t xml:space="preserve">Relative paths travel</w:t>
      </w:r>
    </w:p>
    <w:p>
      <w:pPr>
        <w:pStyle w:val="FirstParagraph"/>
      </w:pPr>
      <w:r>
        <w:t xml:space="preserve">A hard-coded path such as</w:t>
      </w:r>
      <w:r>
        <w:t xml:space="preserve"> </w:t>
      </w:r>
      <w:r>
        <w:rPr>
          <w:rStyle w:val="VerbatimChar"/>
        </w:rPr>
        <w:t xml:space="preserve">C:/Users/name/Desktop/data.csv</w:t>
      </w:r>
      <w:r>
        <w:t xml:space="preserve"> </w:t>
      </w:r>
      <w:r>
        <w:t xml:space="preserve">describes one computer. A relative path such as</w:t>
      </w:r>
      <w:r>
        <w:t xml:space="preserve"> </w:t>
      </w:r>
      <w:r>
        <w:rPr>
          <w:rStyle w:val="VerbatimChar"/>
        </w:rPr>
        <w:t xml:space="preserve">data/frozen/series.csv</w:t>
      </w:r>
      <w:r>
        <w:t xml:space="preserve"> </w:t>
      </w:r>
      <w:r>
        <w:t xml:space="preserve">describes the file’s role within the project.</w:t>
      </w:r>
      <w:r>
        <w:t xml:space="preserve"> </w:t>
      </w:r>
      <w:r>
        <w:rPr>
          <w:rStyle w:val="VerbatimChar"/>
        </w:rPr>
        <w:t xml:space="preserve">pathlib.Path</w:t>
      </w:r>
      <w:r>
        <w:t xml:space="preserve"> </w:t>
      </w:r>
      <w:r>
        <w:t xml:space="preserve">provides cross-platform path construction and file operations. The project root should be established once rather than changed repeatedly with working-directory commands.</w:t>
      </w:r>
    </w:p>
    <w:bookmarkEnd w:id="140"/>
    <w:bookmarkStart w:id="141" w:name="reproducibility-includes-provenance"/>
    <w:p>
      <w:pPr>
        <w:pStyle w:val="Heading2"/>
        <w:keepNext/>
      </w:pPr>
      <w:r>
        <w:rPr>
          <w:rStyle w:val="SectionNumber"/>
          <w:rFonts w:ascii="Noto Sans" w:hAnsi="Noto Sans" w:eastAsia="Noto Sans" w:cs="Noto Sans"/>
          <w:b/>
          <w:color w:val="008F87"/>
          <w:sz w:val="29"/>
        </w:rPr>
        <w:t xml:space="preserve">7.4</w:t>
      </w:r>
      <w:r>
        <w:rPr>
          <w:rFonts w:ascii="Noto Sans" w:hAnsi="Noto Sans" w:eastAsia="Noto Sans" w:cs="Noto Sans"/>
          <w:b/>
          <w:color w:val="008F87"/>
          <w:sz w:val="29"/>
        </w:rPr>
        <w:tab/>
      </w:r>
      <w:r>
        <w:rPr>
          <w:rFonts w:ascii="Noto Sans" w:hAnsi="Noto Sans" w:eastAsia="Noto Sans" w:cs="Noto Sans"/>
          <w:b/>
          <w:color w:val="008F87"/>
          <w:sz w:val="29"/>
        </w:rPr>
        <w:t xml:space="preserve">Reproducibility includes provenance</w:t>
      </w:r>
    </w:p>
    <w:p>
      <w:pPr>
        <w:pStyle w:val="FirstParagraph"/>
      </w:pPr>
      <w:r>
        <w:t xml:space="preserve">Saving code is not enough. The analyst should record where each dataset came from, the retrieval date, the series identifier, the transformations applied, and whether redistribution is permitted. Environment files record package versions. Random seeds stabilize demonstrations. Git records the evolution of text and code, although large or restricted data may require a separate governance plan.</w:t>
      </w:r>
    </w:p>
    <w:bookmarkEnd w:id="141"/>
    <w:bookmarkStart w:id="144" w:name="python-demonstrations-6"/>
    <w:p>
      <w:pPr>
        <w:pStyle w:val="Heading2"/>
        <w:keepNext/>
      </w:pPr>
      <w:r>
        <w:rPr>
          <w:rStyle w:val="SectionNumber"/>
          <w:rFonts w:ascii="Noto Sans" w:hAnsi="Noto Sans" w:eastAsia="Noto Sans" w:cs="Noto Sans"/>
          <w:b/>
          <w:color w:val="008F87"/>
          <w:sz w:val="29"/>
        </w:rPr>
        <w:t xml:space="preserve">7.5</w:t>
      </w:r>
      <w:r>
        <w:rPr>
          <w:rFonts w:ascii="Noto Sans" w:hAnsi="Noto Sans" w:eastAsia="Noto Sans" w:cs="Noto Sans"/>
          <w:b/>
          <w:color w:val="008F87"/>
          <w:sz w:val="29"/>
        </w:rPr>
        <w:tab/>
      </w:r>
      <w:r>
        <w:rPr>
          <w:rFonts w:ascii="Noto Sans" w:hAnsi="Noto Sans" w:eastAsia="Noto Sans" w:cs="Noto Sans"/>
          <w:b/>
          <w:color w:val="008F87"/>
          <w:sz w:val="29"/>
        </w:rPr>
        <w:t xml:space="preserve">Python demonstrations</w:t>
      </w:r>
    </w:p>
    <w:bookmarkStart w:id="142" w:name="demonstration-7.1-build-portable-paths"/>
    <w:p>
      <w:pPr>
        <w:pStyle w:val="Heading3"/>
        <w:keepNext/>
      </w:pPr>
      <w:r>
        <w:rPr>
          <w:rStyle w:val="SectionNumber"/>
          <w:rFonts w:ascii="Noto Sans" w:hAnsi="Noto Sans" w:eastAsia="Noto Sans" w:cs="Noto Sans"/>
          <w:b/>
          <w:color w:val="0A2342"/>
          <w:sz w:val="23"/>
        </w:rPr>
        <w:t xml:space="preserve">7.5.1</w:t>
      </w:r>
      <w:r>
        <w:rPr>
          <w:rFonts w:ascii="Noto Sans" w:hAnsi="Noto Sans" w:eastAsia="Noto Sans" w:cs="Noto Sans"/>
          <w:b/>
          <w:color w:val="0A2342"/>
          <w:sz w:val="23"/>
        </w:rPr>
        <w:tab/>
      </w:r>
      <w:r>
        <w:rPr>
          <w:rFonts w:ascii="Noto Sans" w:hAnsi="Noto Sans" w:eastAsia="Noto Sans" w:cs="Noto Sans"/>
          <w:b/>
          <w:color w:val="0A2342"/>
          <w:sz w:val="23"/>
        </w:rPr>
        <w:t xml:space="preserve">Demonstration 7.1: Build portable paths</w:t>
      </w:r>
    </w:p>
    <w:p>
      <w:pPr>
        <w:pStyle w:val="SourceCode"/>
        <w:keepLines/>
        <w:shd w:fill="F6F8FA" w:val="clear"/>
      </w:pPr>
      <w:r>
        <w:rPr>
          <w:rStyle w:val="ImportTok"/>
        </w:rPr>
        <w:t xml:space="preserve">from</w:t>
      </w:r>
      <w:r>
        <w:rPr>
          <w:rStyle w:val="NormalTok"/>
        </w:rPr>
        <w:t xml:space="preserve"> pathlib </w:t>
      </w:r>
      <w:r>
        <w:rPr>
          <w:rStyle w:val="ImportTok"/>
        </w:rPr>
        <w:t xml:space="preserve">import</w:t>
      </w:r>
      <w:r>
        <w:rPr>
          <w:rStyle w:val="NormalTok"/>
        </w:rPr>
        <w:t xml:space="preserve"> Path</w:t>
      </w:r>
      <w:r>
        <w:br/>
      </w:r>
      <w:r>
        <w:br/>
      </w:r>
      <w:r>
        <w:rPr>
          <w:rStyle w:val="NormalTok"/>
        </w:rPr>
        <w:t xml:space="preserve">root </w:t>
      </w:r>
      <w:r>
        <w:rPr>
          <w:rStyle w:val="OperatorTok"/>
        </w:rPr>
        <w:t xml:space="preserve">=</w:t>
      </w:r>
      <w:r>
        <w:rPr>
          <w:rStyle w:val="NormalTok"/>
        </w:rPr>
        <w:t xml:space="preserve"> Path.cwd()</w:t>
      </w:r>
      <w:r>
        <w:br/>
      </w:r>
      <w:r>
        <w:rPr>
          <w:rStyle w:val="NormalTok"/>
        </w:rPr>
        <w:t xml:space="preserve">figure_path </w:t>
      </w:r>
      <w:r>
        <w:rPr>
          <w:rStyle w:val="OperatorTok"/>
        </w:rPr>
        <w:t xml:space="preserve">=</w:t>
      </w:r>
      <w:r>
        <w:rPr>
          <w:rStyle w:val="NormalTok"/>
        </w:rPr>
        <w:t xml:space="preserve"> root </w:t>
      </w:r>
      <w:r>
        <w:rPr>
          <w:rStyle w:val="OperatorTok"/>
        </w:rPr>
        <w:t xml:space="preserve">/</w:t>
      </w:r>
      <w:r>
        <w:rPr>
          <w:rStyle w:val="NormalTok"/>
        </w:rPr>
        <w:t xml:space="preserve"> </w:t>
      </w:r>
      <w:r>
        <w:rPr>
          <w:rStyle w:val="StringTok"/>
        </w:rPr>
        <w:t xml:space="preserve">"figures"</w:t>
      </w:r>
      <w:r>
        <w:rPr>
          <w:rStyle w:val="NormalTok"/>
        </w:rPr>
        <w:t xml:space="preserve"> </w:t>
      </w:r>
      <w:r>
        <w:rPr>
          <w:rStyle w:val="OperatorTok"/>
        </w:rPr>
        <w:t xml:space="preserve">/</w:t>
      </w:r>
      <w:r>
        <w:rPr>
          <w:rStyle w:val="NormalTok"/>
        </w:rPr>
        <w:t xml:space="preserve"> </w:t>
      </w:r>
      <w:r>
        <w:rPr>
          <w:rStyle w:val="StringTok"/>
        </w:rPr>
        <w:t xml:space="preserve">"example.png"</w:t>
      </w:r>
      <w:r>
        <w:br/>
      </w:r>
      <w:r>
        <w:rPr>
          <w:rStyle w:val="BuiltInTok"/>
        </w:rPr>
        <w:t xml:space="preserve">print</w:t>
      </w:r>
      <w:r>
        <w:rPr>
          <w:rStyle w:val="NormalTok"/>
        </w:rPr>
        <w:t xml:space="preserve">(figure_path.suffix)</w:t>
      </w:r>
      <w:r>
        <w:br/>
      </w:r>
      <w:r>
        <w:rPr>
          <w:rStyle w:val="BuiltInTok"/>
        </w:rPr>
        <w:t xml:space="preserve">print</w:t>
      </w:r>
      <w:r>
        <w:rPr>
          <w:rStyle w:val="NormalTok"/>
        </w:rPr>
        <w:t xml:space="preserve">(figure_path.parent.name)</w:t>
      </w:r>
    </w:p>
    <w:p>
      <w:pPr>
        <w:pStyle w:val="FirstParagraph"/>
      </w:pPr>
      <w:r>
        <w:rPr>
          <w:b/>
          <w:bCs/>
        </w:rPr>
        <w:t xml:space="preserve">Verified output</w:t>
      </w:r>
    </w:p>
    <w:p>
      <w:pPr>
        <w:pStyle w:val="SourceCode"/>
        <w:keepLines/>
        <w:shd w:fill="F6F8FA" w:val="clear"/>
      </w:pPr>
      <w:r>
        <w:rPr>
          <w:rStyle w:val="VerbatimChar"/>
        </w:rPr>
        <w:t xml:space="preserve">.png</w:t>
      </w:r>
      <w:r>
        <w:br/>
      </w:r>
      <w:r>
        <w:rPr>
          <w:rStyle w:val="VerbatimChar"/>
        </w:rPr>
        <w:t xml:space="preserve">figures</w:t>
      </w:r>
    </w:p>
    <w:p>
      <w:pPr>
        <w:pStyle w:val="FirstParagraph"/>
      </w:pPr>
      <w:r>
        <w:rPr>
          <w:b/>
          <w:bCs/>
        </w:rPr>
        <w:t xml:space="preserve">Interpretation.</w:t>
      </w:r>
      <w:r>
        <w:t xml:space="preserve"> </w:t>
      </w:r>
      <w:r>
        <w:t xml:space="preserve">The path expresses the file type and project role without assuming an operating system.</w:t>
      </w:r>
    </w:p>
    <w:bookmarkEnd w:id="142"/>
    <w:bookmarkStart w:id="143" w:name="X4fb9bb81f0b16c09b1f26368f4d68adc2ce4005"/>
    <w:p>
      <w:pPr>
        <w:pStyle w:val="Heading3"/>
        <w:keepNext/>
      </w:pPr>
      <w:r>
        <w:rPr>
          <w:rStyle w:val="SectionNumber"/>
          <w:rFonts w:ascii="Noto Sans" w:hAnsi="Noto Sans" w:eastAsia="Noto Sans" w:cs="Noto Sans"/>
          <w:b/>
          <w:color w:val="0A2342"/>
          <w:sz w:val="23"/>
        </w:rPr>
        <w:t xml:space="preserve">7.5.2</w:t>
      </w:r>
      <w:r>
        <w:rPr>
          <w:rFonts w:ascii="Noto Sans" w:hAnsi="Noto Sans" w:eastAsia="Noto Sans" w:cs="Noto Sans"/>
          <w:b/>
          <w:color w:val="0A2342"/>
          <w:sz w:val="23"/>
        </w:rPr>
        <w:tab/>
      </w:r>
      <w:r>
        <w:rPr>
          <w:rFonts w:ascii="Noto Sans" w:hAnsi="Noto Sans" w:eastAsia="Noto Sans" w:cs="Noto Sans"/>
          <w:b/>
          <w:color w:val="0A2342"/>
          <w:sz w:val="23"/>
        </w:rPr>
        <w:t xml:space="preserve">Demonstration 7.2: Write metadata beside data</w:t>
      </w:r>
    </w:p>
    <w:p>
      <w:pPr>
        <w:pStyle w:val="SourceCode"/>
        <w:shd w:fill="F6F8FA" w:val="clear"/>
      </w:pPr>
      <w:r>
        <w:rPr>
          <w:rStyle w:val="ImportTok"/>
        </w:rPr>
        <w:t xml:space="preserve">import</w:t>
      </w:r>
      <w:r>
        <w:rPr>
          <w:rStyle w:val="NormalTok"/>
        </w:rPr>
        <w:t xml:space="preserve"> json</w:t>
      </w:r>
      <w:r>
        <w:br/>
      </w:r>
      <w:r>
        <w:rPr>
          <w:rStyle w:val="ImportTok"/>
        </w:rPr>
        <w:t xml:space="preserve">from</w:t>
      </w:r>
      <w:r>
        <w:rPr>
          <w:rStyle w:val="NormalTok"/>
        </w:rPr>
        <w:t xml:space="preserve"> pathlib </w:t>
      </w:r>
      <w:r>
        <w:rPr>
          <w:rStyle w:val="ImportTok"/>
        </w:rPr>
        <w:t xml:space="preserve">import</w:t>
      </w:r>
      <w:r>
        <w:rPr>
          <w:rStyle w:val="NormalTok"/>
        </w:rPr>
        <w:t xml:space="preserve"> Path</w:t>
      </w:r>
      <w:r>
        <w:br/>
      </w:r>
      <w:r>
        <w:br/>
      </w:r>
      <w:r>
        <w:rPr>
          <w:rStyle w:val="NormalTok"/>
        </w:rPr>
        <w:t xml:space="preserve">metadata </w:t>
      </w:r>
      <w:r>
        <w:rPr>
          <w:rStyle w:val="OperatorTok"/>
        </w:rPr>
        <w:t xml:space="preserve">=</w:t>
      </w:r>
      <w:r>
        <w:rPr>
          <w:rStyle w:val="NormalTok"/>
        </w:rPr>
        <w:t xml:space="preserve"> {</w:t>
      </w:r>
      <w:r>
        <w:br/>
      </w:r>
      <w:r>
        <w:rPr>
          <w:rStyle w:val="NormalTok"/>
        </w:rPr>
        <w:t xml:space="preserve">    </w:t>
      </w:r>
      <w:r>
        <w:rPr>
          <w:rStyle w:val="StringTok"/>
        </w:rPr>
        <w:t xml:space="preserve">"provider"</w:t>
      </w:r>
      <w:r>
        <w:rPr>
          <w:rStyle w:val="NormalTok"/>
        </w:rPr>
        <w:t xml:space="preserve">: </w:t>
      </w:r>
      <w:r>
        <w:rPr>
          <w:rStyle w:val="StringTok"/>
        </w:rPr>
        <w:t xml:space="preserve">"Bank of Canada"</w:t>
      </w:r>
      <w:r>
        <w:rPr>
          <w:rStyle w:val="NormalTok"/>
        </w:rPr>
        <w:t xml:space="preserve">,</w:t>
      </w:r>
      <w:r>
        <w:br/>
      </w:r>
      <w:r>
        <w:rPr>
          <w:rStyle w:val="NormalTok"/>
        </w:rPr>
        <w:t xml:space="preserve">    </w:t>
      </w:r>
      <w:r>
        <w:rPr>
          <w:rStyle w:val="StringTok"/>
        </w:rPr>
        <w:t xml:space="preserve">"series"</w:t>
      </w:r>
      <w:r>
        <w:rPr>
          <w:rStyle w:val="NormalTok"/>
        </w:rPr>
        <w:t xml:space="preserve">: </w:t>
      </w:r>
      <w:r>
        <w:rPr>
          <w:rStyle w:val="StringTok"/>
        </w:rPr>
        <w:t xml:space="preserve">"FXUSDCAD"</w:t>
      </w:r>
      <w:r>
        <w:rPr>
          <w:rStyle w:val="NormalTok"/>
        </w:rPr>
        <w:t xml:space="preserve">,</w:t>
      </w:r>
      <w:r>
        <w:br/>
      </w:r>
      <w:r>
        <w:rPr>
          <w:rStyle w:val="NormalTok"/>
        </w:rPr>
        <w:t xml:space="preserve">    </w:t>
      </w:r>
      <w:r>
        <w:rPr>
          <w:rStyle w:val="StringTok"/>
        </w:rPr>
        <w:t xml:space="preserve">"retrieved"</w:t>
      </w:r>
      <w:r>
        <w:rPr>
          <w:rStyle w:val="NormalTok"/>
        </w:rPr>
        <w:t xml:space="preserve">: </w:t>
      </w:r>
      <w:r>
        <w:rPr>
          <w:rStyle w:val="StringTok"/>
        </w:rPr>
        <w:t xml:space="preserve">"2026-08-15"</w:t>
      </w:r>
      <w:r>
        <w:rPr>
          <w:rStyle w:val="NormalTok"/>
        </w:rPr>
        <w:t xml:space="preserve">,</w:t>
      </w:r>
      <w:r>
        <w:br/>
      </w:r>
      <w:r>
        <w:rPr>
          <w:rStyle w:val="NormalTok"/>
        </w:rPr>
        <w:t xml:space="preserve">}</w:t>
      </w:r>
      <w:r>
        <w:br/>
      </w:r>
      <w:r>
        <w:rPr>
          <w:rStyle w:val="NormalTok"/>
        </w:rPr>
        <w:t xml:space="preserve">path </w:t>
      </w:r>
      <w:r>
        <w:rPr>
          <w:rStyle w:val="OperatorTok"/>
        </w:rPr>
        <w:t xml:space="preserve">=</w:t>
      </w:r>
      <w:r>
        <w:rPr>
          <w:rStyle w:val="NormalTok"/>
        </w:rPr>
        <w:t xml:space="preserve"> Path(</w:t>
      </w:r>
      <w:r>
        <w:rPr>
          <w:rStyle w:val="StringTok"/>
        </w:rPr>
        <w:t xml:space="preserve">"data/metadata/example.json"</w:t>
      </w:r>
      <w:r>
        <w:rPr>
          <w:rStyle w:val="NormalTok"/>
        </w:rPr>
        <w:t xml:space="preserve">)</w:t>
      </w:r>
      <w:r>
        <w:br/>
      </w:r>
      <w:r>
        <w:rPr>
          <w:rStyle w:val="NormalTok"/>
        </w:rPr>
        <w:t xml:space="preserve">path.parent.mkdir(parents</w:t>
      </w:r>
      <w:r>
        <w:rPr>
          <w:rStyle w:val="OperatorTok"/>
        </w:rPr>
        <w:t xml:space="preserve">=</w:t>
      </w:r>
      <w:r>
        <w:rPr>
          <w:rStyle w:val="VariableTok"/>
        </w:rPr>
        <w:t xml:space="preserve">True</w:t>
      </w:r>
      <w:r>
        <w:rPr>
          <w:rStyle w:val="NormalTok"/>
        </w:rPr>
        <w:t xml:space="preserve">, exist_ok</w:t>
      </w:r>
      <w:r>
        <w:rPr>
          <w:rStyle w:val="OperatorTok"/>
        </w:rPr>
        <w:t xml:space="preserve">=</w:t>
      </w:r>
      <w:r>
        <w:rPr>
          <w:rStyle w:val="VariableTok"/>
        </w:rPr>
        <w:t xml:space="preserve">True</w:t>
      </w:r>
      <w:r>
        <w:rPr>
          <w:rStyle w:val="NormalTok"/>
        </w:rPr>
        <w:t xml:space="preserve">)</w:t>
      </w:r>
      <w:r>
        <w:br/>
      </w:r>
      <w:r>
        <w:rPr>
          <w:rStyle w:val="NormalTok"/>
        </w:rPr>
        <w:t xml:space="preserve">path.write_text(json.dumps(metadata, indent</w:t>
      </w:r>
      <w:r>
        <w:rPr>
          <w:rStyle w:val="OperatorTok"/>
        </w:rPr>
        <w:t xml:space="preserve">=</w:t>
      </w:r>
      <w:r>
        <w:rPr>
          <w:rStyle w:val="DecValTok"/>
        </w:rPr>
        <w:t xml:space="preserve">2</w:t>
      </w:r>
      <w:r>
        <w:rPr>
          <w:rStyle w:val="NormalTok"/>
        </w:rPr>
        <w:t xml:space="preserve">), encoding</w:t>
      </w:r>
      <w:r>
        <w:rPr>
          <w:rStyle w:val="OperatorTok"/>
        </w:rPr>
        <w:t xml:space="preserve">=</w:t>
      </w:r>
      <w:r>
        <w:rPr>
          <w:rStyle w:val="StringTok"/>
        </w:rPr>
        <w:t xml:space="preserve">"utf-8"</w:t>
      </w:r>
      <w:r>
        <w:rPr>
          <w:rStyle w:val="NormalTok"/>
        </w:rPr>
        <w:t xml:space="preserve">)</w:t>
      </w:r>
      <w:r>
        <w:br/>
      </w:r>
      <w:r>
        <w:rPr>
          <w:rStyle w:val="BuiltInTok"/>
        </w:rPr>
        <w:t xml:space="preserve">print</w:t>
      </w:r>
      <w:r>
        <w:rPr>
          <w:rStyle w:val="NormalTok"/>
        </w:rPr>
        <w:t xml:space="preserve">(path.exists())</w:t>
      </w:r>
    </w:p>
    <w:p>
      <w:pPr>
        <w:pStyle w:val="FirstParagraph"/>
      </w:pPr>
      <w:r>
        <w:rPr>
          <w:b/>
          <w:bCs/>
        </w:rPr>
        <w:t xml:space="preserve">Verified output</w:t>
      </w:r>
    </w:p>
    <w:p>
      <w:pPr>
        <w:pStyle w:val="SourceCode"/>
        <w:keepLines/>
        <w:shd w:fill="F6F8FA" w:val="clear"/>
      </w:pPr>
      <w:r>
        <w:rPr>
          <w:rStyle w:val="VerbatimChar"/>
        </w:rPr>
        <w:t xml:space="preserve">True</w:t>
      </w:r>
    </w:p>
    <w:p>
      <w:pPr>
        <w:pStyle w:val="FirstParagraph"/>
      </w:pPr>
      <w:r>
        <w:rPr>
          <w:b/>
          <w:bCs/>
        </w:rPr>
        <w:t xml:space="preserve">Interpretation.</w:t>
      </w:r>
      <w:r>
        <w:t xml:space="preserve"> </w:t>
      </w:r>
      <w:r>
        <w:t xml:space="preserve">Metadata becomes a first-class project artifact rather than a memory held by one analyst.</w:t>
      </w:r>
    </w:p>
    <w:bookmarkEnd w:id="143"/>
    <w:bookmarkEnd w:id="144"/>
    <w:bookmarkStart w:id="147" w:name="visual-evidence-6"/>
    <w:p>
      <w:pPr>
        <w:pStyle w:val="Heading2"/>
        <w:keepNext/>
      </w:pPr>
      <w:r>
        <w:rPr>
          <w:rStyle w:val="SectionNumber"/>
          <w:rFonts w:ascii="Noto Sans" w:hAnsi="Noto Sans" w:eastAsia="Noto Sans" w:cs="Noto Sans"/>
          <w:b/>
          <w:color w:val="008F87"/>
          <w:sz w:val="29"/>
        </w:rPr>
        <w:t xml:space="preserve">7.6</w:t>
      </w:r>
      <w:r>
        <w:rPr>
          <w:rFonts w:ascii="Noto Sans" w:hAnsi="Noto Sans" w:eastAsia="Noto Sans" w:cs="Noto Sans"/>
          <w:b/>
          <w:color w:val="008F87"/>
          <w:sz w:val="29"/>
        </w:rPr>
        <w:tab/>
      </w:r>
      <w:r>
        <w:rPr>
          <w:rFonts w:ascii="Noto Sans" w:hAnsi="Noto Sans" w:eastAsia="Noto Sans" w:cs="Noto Sans"/>
          <w:b/>
          <w:color w:val="008F87"/>
          <w:sz w:val="29"/>
        </w:rPr>
        <w:t xml:space="preserve">Visual evidence</w:t>
      </w:r>
    </w:p>
    <w:p>
      <w:pPr>
        <w:pStyle w:val="FirstParagraph"/>
      </w:pPr>
      <w:r>
        <w:drawing>
          <wp:inline>
            <wp:extent cx="4907280" cy="3054431"/>
            <wp:effectExtent b="0" l="0" r="0" t="0"/>
            <wp:docPr descr="Image: rId60.png" title="" id="145" name="Picture"/>
            <a:graphic>
              <a:graphicData uri="http://schemas.openxmlformats.org/drawingml/2006/picture">
                <pic:pic>
                  <pic:nvPicPr>
                    <pic:cNvPr descr="figures/fig_07_project_tree.png" id="146" name="Picture"/>
                    <pic:cNvPicPr>
                      <a:picLocks noChangeArrowheads="1" noChangeAspect="1"/>
                    </pic:cNvPicPr>
                  </pic:nvPicPr>
                  <pic:blipFill>
                    <a:blip r:embed="rId60"/>
                    <a:stretch>
                      <a:fillRect/>
                    </a:stretch>
                  </pic:blipFill>
                  <pic:spPr bwMode="auto">
                    <a:xfrm>
                      <a:off x="0" y="0"/>
                      <a:ext cx="4907280" cy="3054431"/>
                    </a:xfrm>
                    <a:prstGeom prst="rect">
                      <a:avLst/>
                    </a:prstGeom>
                    <a:noFill/>
                    <a:ln w="9525">
                      <a:noFill/>
                      <a:headEnd/>
                      <a:tailEnd/>
                    </a:ln>
                  </pic:spPr>
                </pic:pic>
              </a:graphicData>
            </a:graphic>
          </wp:inline>
        </w:drawing>
      </w:r>
    </w:p>
    <w:p>
      <w:pPr>
        <w:pStyle w:val="Caption"/>
        <w:keepNext w:val="0"/>
        <w:jc w:val="center"/>
      </w:pPr>
      <w:r>
        <w:rPr>
          <w:b/>
          <w:bCs/>
        </w:rPr>
        <w:t xml:space="preserve">Figure 7.</w:t>
      </w:r>
      <w:r>
        <w:t xml:space="preserve"> </w:t>
      </w:r>
      <w:r>
        <w:t xml:space="preserve">Recommended project layout using relative paths rather than personal working directories.</w:t>
      </w:r>
    </w:p>
    <w:bookmarkEnd w:id="147"/>
    <w:bookmarkStart w:id="148" w:name="reference-table-6"/>
    <w:p>
      <w:pPr>
        <w:pStyle w:val="Heading2"/>
        <w:keepNext/>
      </w:pPr>
      <w:r>
        <w:rPr>
          <w:rStyle w:val="SectionNumber"/>
          <w:rFonts w:ascii="Noto Sans" w:hAnsi="Noto Sans" w:eastAsia="Noto Sans" w:cs="Noto Sans"/>
          <w:b/>
          <w:color w:val="008F87"/>
          <w:sz w:val="29"/>
        </w:rPr>
        <w:t xml:space="preserve">7.7</w:t>
      </w:r>
      <w:r>
        <w:rPr>
          <w:rFonts w:ascii="Noto Sans" w:hAnsi="Noto Sans" w:eastAsia="Noto Sans" w:cs="Noto Sans"/>
          <w:b/>
          <w:color w:val="008F87"/>
          <w:sz w:val="29"/>
        </w:rPr>
        <w:tab/>
      </w:r>
      <w:r>
        <w:rPr>
          <w:rFonts w:ascii="Noto Sans" w:hAnsi="Noto Sans" w:eastAsia="Noto Sans" w:cs="Noto Sans"/>
          <w:b/>
          <w:color w:val="008F87"/>
          <w:sz w:val="29"/>
        </w:rPr>
        <w:t xml:space="preserve">Reference table</w:t>
      </w:r>
    </w:p>
    <w:p>
      <w:pPr>
        <w:pStyle w:val="Caption"/>
        <w:keepNext/>
        <w:jc w:val="center"/>
      </w:pPr>
      <w:r>
        <w:rPr>
          <w:b/>
          <w:bCs/>
        </w:rPr>
        <w:t xml:space="preserve">Table 7. Chapter reference.</w:t>
      </w:r>
    </w:p>
    <w:tbl>
      <w:tblPr>
        <w:tblStyle w:val="Table"/>
        <w:tblW w:type="auto" w:w="0"/>
        <w:jc w:val="center"/>
        <w:tblLayout w:type="autofit"/>
        <w:tblLook w:firstRow="1" w:lastRow="0" w:firstColumn="0" w:lastColumn="0" w:noHBand="0" w:noVBand="0" w:val="0020"/>
      </w:tblPr>
      <w:tblGrid>
        <w:gridCol w:w="2640"/>
        <w:gridCol w:w="2640"/>
        <w:gridCol w:w="2640"/>
      </w:tblGrid>
      <w:tr>
        <w:trPr>
          <w:tblHeader w:val="on"/>
          <w:tblHeader w:val="true"/>
          <w:cantSplit/>
        </w:trPr>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0A2342" w:val="clear"/>
          </w:tcPr>
          <w:p>
            <w:pPr>
              <w:pStyle w:val="Compact"/>
              <w:spacing w:before="30" w:after="30" w:line="240" w:lineRule="auto"/>
              <w:jc w:val="left"/>
            </w:pPr>
            <w:r>
              <w:rPr>
                <w:rFonts w:ascii="Noto Sans" w:hAnsi="Noto Sans" w:eastAsia="Noto Sans" w:cs="Noto Sans"/>
                <w:b/>
                <w:color w:val="FFFFFF"/>
                <w:sz w:val="16"/>
              </w:rPr>
              <w:t xml:space="preserve">Folder</w:t>
            </w:r>
          </w:p>
        </w:tc>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0A2342" w:val="clear"/>
          </w:tcPr>
          <w:p>
            <w:pPr>
              <w:pStyle w:val="Compact"/>
              <w:spacing w:before="30" w:after="30" w:line="240" w:lineRule="auto"/>
              <w:jc w:val="left"/>
            </w:pPr>
            <w:r>
              <w:rPr>
                <w:rFonts w:ascii="Noto Sans" w:hAnsi="Noto Sans" w:eastAsia="Noto Sans" w:cs="Noto Sans"/>
                <w:b/>
                <w:color w:val="FFFFFF"/>
                <w:sz w:val="16"/>
              </w:rPr>
              <w:t xml:space="preserve">Purpose</w:t>
            </w:r>
          </w:p>
        </w:tc>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0A2342" w:val="clear"/>
          </w:tcPr>
          <w:p>
            <w:pPr>
              <w:pStyle w:val="Compact"/>
              <w:spacing w:before="30" w:after="30" w:line="240" w:lineRule="auto"/>
              <w:jc w:val="left"/>
            </w:pPr>
            <w:r>
              <w:rPr>
                <w:rFonts w:ascii="Noto Sans" w:hAnsi="Noto Sans" w:eastAsia="Noto Sans" w:cs="Noto Sans"/>
                <w:b/>
                <w:color w:val="FFFFFF"/>
                <w:sz w:val="16"/>
              </w:rPr>
              <w:t xml:space="preserve">Rule</w:t>
            </w:r>
          </w:p>
        </w:tc>
      </w:tr>
      <w:tr>
        <w:trPr>
          <w:cantSplit/>
        </w:trPr>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EEF4F8" w:val="clear"/>
          </w:tcPr>
          <w:p>
            <w:pPr>
              <w:pStyle w:val="Compact"/>
              <w:spacing w:before="30" w:after="30" w:line="240" w:lineRule="auto"/>
              <w:jc w:val="left"/>
            </w:pPr>
            <w:r>
              <w:rPr>
                <w:rFonts w:ascii="Noto Sans" w:hAnsi="Noto Sans" w:eastAsia="Noto Sans" w:cs="Noto Sans"/>
                <w:b w:val="0"/>
                <w:color w:val="18212B"/>
                <w:sz w:val="16"/>
              </w:rPr>
              <w:t xml:space="preserve">data/raw</w:t>
            </w:r>
          </w:p>
        </w:tc>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EEF4F8" w:val="clear"/>
          </w:tcPr>
          <w:p>
            <w:pPr>
              <w:pStyle w:val="Compact"/>
              <w:spacing w:before="30" w:after="30" w:line="240" w:lineRule="auto"/>
              <w:jc w:val="left"/>
            </w:pPr>
            <w:r>
              <w:rPr>
                <w:rFonts w:ascii="Noto Sans" w:hAnsi="Noto Sans" w:eastAsia="Noto Sans" w:cs="Noto Sans"/>
                <w:b w:val="0"/>
                <w:color w:val="18212B"/>
                <w:sz w:val="16"/>
              </w:rPr>
              <w:t xml:space="preserve">untouched acquisition</w:t>
            </w:r>
          </w:p>
        </w:tc>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EEF4F8" w:val="clear"/>
          </w:tcPr>
          <w:p>
            <w:pPr>
              <w:pStyle w:val="Compact"/>
              <w:spacing w:before="30" w:after="30" w:line="240" w:lineRule="auto"/>
              <w:jc w:val="left"/>
            </w:pPr>
            <w:r>
              <w:rPr>
                <w:rFonts w:ascii="Noto Sans" w:hAnsi="Noto Sans" w:eastAsia="Noto Sans" w:cs="Noto Sans"/>
                <w:b w:val="0"/>
                <w:color w:val="18212B"/>
                <w:sz w:val="16"/>
              </w:rPr>
              <w:t xml:space="preserve">never edit manually</w:t>
            </w:r>
          </w:p>
        </w:tc>
      </w:tr>
      <w:tr>
        <w:trPr>
          <w:cantSplit/>
        </w:trPr>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FFFFFF" w:val="clear"/>
          </w:tcPr>
          <w:p>
            <w:pPr>
              <w:pStyle w:val="Compact"/>
              <w:spacing w:before="30" w:after="30" w:line="240" w:lineRule="auto"/>
              <w:jc w:val="left"/>
            </w:pPr>
            <w:r>
              <w:rPr>
                <w:rFonts w:ascii="Noto Sans" w:hAnsi="Noto Sans" w:eastAsia="Noto Sans" w:cs="Noto Sans"/>
                <w:b w:val="0"/>
                <w:color w:val="18212B"/>
                <w:sz w:val="16"/>
              </w:rPr>
              <w:t xml:space="preserve">data/frozen</w:t>
            </w:r>
          </w:p>
        </w:tc>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FFFFFF" w:val="clear"/>
          </w:tcPr>
          <w:p>
            <w:pPr>
              <w:pStyle w:val="Compact"/>
              <w:spacing w:before="30" w:after="30" w:line="240" w:lineRule="auto"/>
              <w:jc w:val="left"/>
            </w:pPr>
            <w:r>
              <w:rPr>
                <w:rFonts w:ascii="Noto Sans" w:hAnsi="Noto Sans" w:eastAsia="Noto Sans" w:cs="Noto Sans"/>
                <w:b w:val="0"/>
                <w:color w:val="18212B"/>
                <w:sz w:val="16"/>
              </w:rPr>
              <w:t xml:space="preserve">redistributable snapshot</w:t>
            </w:r>
          </w:p>
        </w:tc>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FFFFFF" w:val="clear"/>
          </w:tcPr>
          <w:p>
            <w:pPr>
              <w:pStyle w:val="Compact"/>
              <w:spacing w:before="30" w:after="30" w:line="240" w:lineRule="auto"/>
              <w:jc w:val="left"/>
            </w:pPr>
            <w:r>
              <w:rPr>
                <w:rFonts w:ascii="Noto Sans" w:hAnsi="Noto Sans" w:eastAsia="Noto Sans" w:cs="Noto Sans"/>
                <w:b w:val="0"/>
                <w:color w:val="18212B"/>
                <w:sz w:val="16"/>
              </w:rPr>
              <w:t xml:space="preserve">record source and date</w:t>
            </w:r>
          </w:p>
        </w:tc>
      </w:tr>
      <w:tr>
        <w:trPr>
          <w:cantSplit/>
        </w:trPr>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EEF4F8" w:val="clear"/>
          </w:tcPr>
          <w:p>
            <w:pPr>
              <w:pStyle w:val="Compact"/>
              <w:spacing w:before="30" w:after="30" w:line="240" w:lineRule="auto"/>
              <w:jc w:val="left"/>
            </w:pPr>
            <w:r>
              <w:rPr>
                <w:rFonts w:ascii="Noto Sans" w:hAnsi="Noto Sans" w:eastAsia="Noto Sans" w:cs="Noto Sans"/>
                <w:b w:val="0"/>
                <w:color w:val="18212B"/>
                <w:sz w:val="16"/>
              </w:rPr>
              <w:t xml:space="preserve">data/processed</w:t>
            </w:r>
          </w:p>
        </w:tc>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EEF4F8" w:val="clear"/>
          </w:tcPr>
          <w:p>
            <w:pPr>
              <w:pStyle w:val="Compact"/>
              <w:spacing w:before="30" w:after="30" w:line="240" w:lineRule="auto"/>
              <w:jc w:val="left"/>
            </w:pPr>
            <w:r>
              <w:rPr>
                <w:rFonts w:ascii="Noto Sans" w:hAnsi="Noto Sans" w:eastAsia="Noto Sans" w:cs="Noto Sans"/>
                <w:b w:val="0"/>
                <w:color w:val="18212B"/>
                <w:sz w:val="16"/>
              </w:rPr>
              <w:t xml:space="preserve">analysis-ready outputs</w:t>
            </w:r>
          </w:p>
        </w:tc>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EEF4F8" w:val="clear"/>
          </w:tcPr>
          <w:p>
            <w:pPr>
              <w:pStyle w:val="Compact"/>
              <w:spacing w:before="30" w:after="30" w:line="240" w:lineRule="auto"/>
              <w:jc w:val="left"/>
            </w:pPr>
            <w:r>
              <w:rPr>
                <w:rFonts w:ascii="Noto Sans" w:hAnsi="Noto Sans" w:eastAsia="Noto Sans" w:cs="Noto Sans"/>
                <w:b w:val="0"/>
                <w:color w:val="18212B"/>
                <w:sz w:val="16"/>
              </w:rPr>
              <w:t xml:space="preserve">rebuild from code</w:t>
            </w:r>
          </w:p>
        </w:tc>
      </w:tr>
      <w:tr>
        <w:trPr>
          <w:cantSplit/>
        </w:trPr>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FFFFFF" w:val="clear"/>
          </w:tcPr>
          <w:p>
            <w:pPr>
              <w:pStyle w:val="Compact"/>
              <w:spacing w:before="30" w:after="30" w:line="240" w:lineRule="auto"/>
              <w:jc w:val="left"/>
            </w:pPr>
            <w:r>
              <w:rPr>
                <w:rFonts w:ascii="Noto Sans" w:hAnsi="Noto Sans" w:eastAsia="Noto Sans" w:cs="Noto Sans"/>
                <w:b w:val="0"/>
                <w:color w:val="18212B"/>
                <w:sz w:val="16"/>
              </w:rPr>
              <w:t xml:space="preserve">scripts</w:t>
            </w:r>
          </w:p>
        </w:tc>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FFFFFF" w:val="clear"/>
          </w:tcPr>
          <w:p>
            <w:pPr>
              <w:pStyle w:val="Compact"/>
              <w:spacing w:before="30" w:after="30" w:line="240" w:lineRule="auto"/>
              <w:jc w:val="left"/>
            </w:pPr>
            <w:r>
              <w:rPr>
                <w:rFonts w:ascii="Noto Sans" w:hAnsi="Noto Sans" w:eastAsia="Noto Sans" w:cs="Noto Sans"/>
                <w:b w:val="0"/>
                <w:color w:val="18212B"/>
                <w:sz w:val="16"/>
              </w:rPr>
              <w:t xml:space="preserve">reusable programs</w:t>
            </w:r>
          </w:p>
        </w:tc>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FFFFFF" w:val="clear"/>
          </w:tcPr>
          <w:p>
            <w:pPr>
              <w:pStyle w:val="Compact"/>
              <w:spacing w:before="30" w:after="30" w:line="240" w:lineRule="auto"/>
              <w:jc w:val="left"/>
            </w:pPr>
            <w:r>
              <w:rPr>
                <w:rFonts w:ascii="Noto Sans" w:hAnsi="Noto Sans" w:eastAsia="Noto Sans" w:cs="Noto Sans"/>
                <w:b w:val="0"/>
                <w:color w:val="18212B"/>
                <w:sz w:val="16"/>
              </w:rPr>
              <w:t xml:space="preserve">no credentials</w:t>
            </w:r>
          </w:p>
        </w:tc>
      </w:tr>
      <w:tr>
        <w:trPr>
          <w:cantSplit/>
        </w:trPr>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EEF4F8" w:val="clear"/>
          </w:tcPr>
          <w:p>
            <w:pPr>
              <w:pStyle w:val="Compact"/>
              <w:spacing w:before="30" w:after="30" w:line="240" w:lineRule="auto"/>
              <w:jc w:val="left"/>
            </w:pPr>
            <w:r>
              <w:rPr>
                <w:rFonts w:ascii="Noto Sans" w:hAnsi="Noto Sans" w:eastAsia="Noto Sans" w:cs="Noto Sans"/>
                <w:b w:val="0"/>
                <w:color w:val="18212B"/>
                <w:sz w:val="16"/>
              </w:rPr>
              <w:t xml:space="preserve">notebooks</w:t>
            </w:r>
          </w:p>
        </w:tc>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EEF4F8" w:val="clear"/>
          </w:tcPr>
          <w:p>
            <w:pPr>
              <w:pStyle w:val="Compact"/>
              <w:spacing w:before="30" w:after="30" w:line="240" w:lineRule="auto"/>
              <w:jc w:val="left"/>
            </w:pPr>
            <w:r>
              <w:rPr>
                <w:rFonts w:ascii="Noto Sans" w:hAnsi="Noto Sans" w:eastAsia="Noto Sans" w:cs="Noto Sans"/>
                <w:b w:val="0"/>
                <w:color w:val="18212B"/>
                <w:sz w:val="16"/>
              </w:rPr>
              <w:t xml:space="preserve">guided analysis</w:t>
            </w:r>
          </w:p>
        </w:tc>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EEF4F8" w:val="clear"/>
          </w:tcPr>
          <w:p>
            <w:pPr>
              <w:pStyle w:val="Compact"/>
              <w:spacing w:before="30" w:after="30" w:line="240" w:lineRule="auto"/>
              <w:jc w:val="left"/>
            </w:pPr>
            <w:r>
              <w:rPr>
                <w:rFonts w:ascii="Noto Sans" w:hAnsi="Noto Sans" w:eastAsia="Noto Sans" w:cs="Noto Sans"/>
                <w:b w:val="0"/>
                <w:color w:val="18212B"/>
                <w:sz w:val="16"/>
              </w:rPr>
              <w:t xml:space="preserve">run top to bottom</w:t>
            </w:r>
          </w:p>
        </w:tc>
      </w:tr>
      <w:tr>
        <w:trPr>
          <w:cantSplit/>
        </w:trPr>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FFFFFF" w:val="clear"/>
          </w:tcPr>
          <w:p>
            <w:pPr>
              <w:pStyle w:val="Compact"/>
              <w:spacing w:before="30" w:after="30" w:line="240" w:lineRule="auto"/>
              <w:jc w:val="left"/>
            </w:pPr>
            <w:r>
              <w:rPr>
                <w:rFonts w:ascii="Noto Sans" w:hAnsi="Noto Sans" w:eastAsia="Noto Sans" w:cs="Noto Sans"/>
                <w:b w:val="0"/>
                <w:color w:val="18212B"/>
                <w:sz w:val="16"/>
              </w:rPr>
              <w:t xml:space="preserve">figures/tables</w:t>
            </w:r>
          </w:p>
        </w:tc>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FFFFFF" w:val="clear"/>
          </w:tcPr>
          <w:p>
            <w:pPr>
              <w:pStyle w:val="Compact"/>
              <w:spacing w:before="30" w:after="30" w:line="240" w:lineRule="auto"/>
              <w:jc w:val="left"/>
            </w:pPr>
            <w:r>
              <w:rPr>
                <w:rFonts w:ascii="Noto Sans" w:hAnsi="Noto Sans" w:eastAsia="Noto Sans" w:cs="Noto Sans"/>
                <w:b w:val="0"/>
                <w:color w:val="18212B"/>
                <w:sz w:val="16"/>
              </w:rPr>
              <w:t xml:space="preserve">generated products</w:t>
            </w:r>
          </w:p>
        </w:tc>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FFFFFF" w:val="clear"/>
          </w:tcPr>
          <w:p>
            <w:pPr>
              <w:pStyle w:val="Compact"/>
              <w:spacing w:before="30" w:after="30" w:line="240" w:lineRule="auto"/>
              <w:jc w:val="left"/>
            </w:pPr>
            <w:r>
              <w:rPr>
                <w:rFonts w:ascii="Noto Sans" w:hAnsi="Noto Sans" w:eastAsia="Noto Sans" w:cs="Noto Sans"/>
                <w:b w:val="0"/>
                <w:color w:val="18212B"/>
                <w:sz w:val="16"/>
              </w:rPr>
              <w:t xml:space="preserve">do not hand-edit</w:t>
            </w:r>
          </w:p>
        </w:tc>
      </w:tr>
    </w:tbl>
    <w:p>
      <w:pPr>
        <w:pStyle w:val="BlockText"/>
        <w:shd w:fill="EAF7F5" w:val="clear"/>
        <w:pBdr>
          <w:left w:val="single" w:sz="18" w:space="8" w:color="008F87"/>
        </w:pBdr>
      </w:pPr>
      <w:r>
        <w:rPr>
          <w:b/>
          <w:bCs/>
        </w:rPr>
        <w:t xml:space="preserve">Why This Matters</w:t>
      </w:r>
    </w:p>
    <w:p>
      <w:pPr>
        <w:pStyle w:val="BlockText"/>
        <w:shd w:fill="EAF7F5" w:val="clear"/>
        <w:pBdr>
          <w:left w:val="single" w:sz="18" w:space="8" w:color="008F87"/>
        </w:pBdr>
      </w:pPr>
      <w:r>
        <w:t xml:space="preserve">A portable project can be rebuilt, inspected, and taught without reconstructing someone else’s desktop.</w:t>
      </w:r>
    </w:p>
    <w:p>
      <w:pPr>
        <w:pStyle w:val="BlockText"/>
        <w:shd w:fill="EAF7F5" w:val="clear"/>
        <w:pBdr>
          <w:left w:val="single" w:sz="18" w:space="8" w:color="008F87"/>
        </w:pBdr>
      </w:pPr>
      <w:r>
        <w:rPr>
          <w:b/>
          <w:bCs/>
        </w:rPr>
        <w:t xml:space="preserve">Common Mistake</w:t>
      </w:r>
    </w:p>
    <w:p>
      <w:pPr>
        <w:pStyle w:val="BlockText"/>
        <w:shd w:fill="EAF7F5" w:val="clear"/>
        <w:pBdr>
          <w:left w:val="single" w:sz="18" w:space="8" w:color="008F87"/>
        </w:pBdr>
      </w:pPr>
      <w:r>
        <w:t xml:space="preserve">Changing the working directory inside multiple notebook cells. The result depends on execution order and becomes difficult to diagnose.</w:t>
      </w:r>
    </w:p>
    <w:p>
      <w:pPr>
        <w:pStyle w:val="BlockText"/>
        <w:shd w:fill="EAF7F5" w:val="clear"/>
        <w:pBdr>
          <w:left w:val="single" w:sz="18" w:space="8" w:color="008F87"/>
        </w:pBdr>
      </w:pPr>
      <w:r>
        <w:rPr>
          <w:b/>
          <w:bCs/>
        </w:rPr>
        <w:t xml:space="preserve">Ceteris LAB Tip</w:t>
      </w:r>
    </w:p>
    <w:p>
      <w:pPr>
        <w:pStyle w:val="BlockText"/>
        <w:shd w:fill="EAF7F5" w:val="clear"/>
        <w:pBdr>
          <w:left w:val="single" w:sz="18" w:space="8" w:color="008F87"/>
        </w:pBdr>
      </w:pPr>
      <w:r>
        <w:t xml:space="preserve">Design the folder tree before downloading data. A clear destination discourages accidental mixing of raw and processed files.</w:t>
      </w:r>
    </w:p>
    <w:p>
      <w:pPr>
        <w:pStyle w:val="BlockText"/>
        <w:shd w:fill="EAF7F5" w:val="clear"/>
        <w:pBdr>
          <w:left w:val="single" w:sz="18" w:space="8" w:color="008F87"/>
        </w:pBdr>
      </w:pPr>
      <w:r>
        <w:rPr>
          <w:b/>
          <w:bCs/>
        </w:rPr>
        <w:t xml:space="preserve">R-to-Python / Source Bridge</w:t>
      </w:r>
    </w:p>
    <w:p>
      <w:pPr>
        <w:pStyle w:val="BlockText"/>
        <w:shd w:fill="EAF7F5" w:val="clear"/>
        <w:pBdr>
          <w:left w:val="single" w:sz="18" w:space="8" w:color="008F87"/>
        </w:pBdr>
      </w:pPr>
      <w:r>
        <w:t xml:space="preserve">The source notes recommended</w:t>
      </w:r>
      <w:r>
        <w:t xml:space="preserve"> </w:t>
      </w:r>
      <w:r>
        <w:rPr>
          <w:rStyle w:val="VerbatimChar"/>
        </w:rPr>
        <w:t xml:space="preserve">setwd()</w:t>
      </w:r>
      <w:r>
        <w:t xml:space="preserve"> </w:t>
      </w:r>
      <w:r>
        <w:t xml:space="preserve">and personal directories. The new workflow eliminates that brittle dependency and underpins every notebook in the public package.</w:t>
      </w:r>
    </w:p>
    <w:bookmarkEnd w:id="148"/>
    <w:bookmarkStart w:id="149" w:name="guided-practice-6"/>
    <w:p>
      <w:pPr>
        <w:pStyle w:val="Heading2"/>
        <w:keepNext/>
      </w:pPr>
      <w:r>
        <w:rPr>
          <w:rStyle w:val="SectionNumber"/>
          <w:rFonts w:ascii="Noto Sans" w:hAnsi="Noto Sans" w:eastAsia="Noto Sans" w:cs="Noto Sans"/>
          <w:b/>
          <w:color w:val="008F87"/>
          <w:sz w:val="29"/>
        </w:rPr>
        <w:t xml:space="preserve">7.8</w:t>
      </w:r>
      <w:r>
        <w:rPr>
          <w:rFonts w:ascii="Noto Sans" w:hAnsi="Noto Sans" w:eastAsia="Noto Sans" w:cs="Noto Sans"/>
          <w:b/>
          <w:color w:val="008F87"/>
          <w:sz w:val="29"/>
        </w:rPr>
        <w:tab/>
      </w:r>
      <w:r>
        <w:rPr>
          <w:rFonts w:ascii="Noto Sans" w:hAnsi="Noto Sans" w:eastAsia="Noto Sans" w:cs="Noto Sans"/>
          <w:b/>
          <w:color w:val="008F87"/>
          <w:sz w:val="29"/>
        </w:rPr>
        <w:t xml:space="preserve">Guided practice</w:t>
      </w:r>
    </w:p>
    <w:p>
      <w:pPr>
        <w:pStyle w:val="Compact"/>
        <w:numPr>
          <w:ilvl w:val="0"/>
          <w:numId w:val="1028"/>
        </w:numPr>
      </w:pPr>
      <w:r>
        <w:t xml:space="preserve">Re-run Demonstration 7.1 and change one input while keeping the analytical question fixed.</w:t>
      </w:r>
    </w:p>
    <w:p>
      <w:pPr>
        <w:pStyle w:val="Compact"/>
        <w:numPr>
          <w:ilvl w:val="0"/>
          <w:numId w:val="1028"/>
        </w:numPr>
      </w:pPr>
      <w:r>
        <w:t xml:space="preserve">Explain in two sentences how the output supports, or fails to support, the chapter opening question.</w:t>
      </w:r>
    </w:p>
    <w:p>
      <w:pPr>
        <w:pStyle w:val="Compact"/>
        <w:numPr>
          <w:ilvl w:val="0"/>
          <w:numId w:val="1028"/>
        </w:numPr>
      </w:pPr>
      <w:r>
        <w:t xml:space="preserve">Add one validation check that would prevent a plausible error.</w:t>
      </w:r>
    </w:p>
    <w:bookmarkEnd w:id="149"/>
    <w:bookmarkStart w:id="150" w:name="exercises-6"/>
    <w:p>
      <w:pPr>
        <w:pStyle w:val="Heading2"/>
        <w:keepNext/>
      </w:pPr>
      <w:r>
        <w:rPr>
          <w:rStyle w:val="SectionNumber"/>
          <w:rFonts w:ascii="Noto Sans" w:hAnsi="Noto Sans" w:eastAsia="Noto Sans" w:cs="Noto Sans"/>
          <w:b/>
          <w:color w:val="008F87"/>
          <w:sz w:val="29"/>
        </w:rPr>
        <w:t xml:space="preserve">7.9</w:t>
      </w:r>
      <w:r>
        <w:rPr>
          <w:rFonts w:ascii="Noto Sans" w:hAnsi="Noto Sans" w:eastAsia="Noto Sans" w:cs="Noto Sans"/>
          <w:b/>
          <w:color w:val="008F87"/>
          <w:sz w:val="29"/>
        </w:rPr>
        <w:tab/>
      </w:r>
      <w:r>
        <w:rPr>
          <w:rFonts w:ascii="Noto Sans" w:hAnsi="Noto Sans" w:eastAsia="Noto Sans" w:cs="Noto Sans"/>
          <w:b/>
          <w:color w:val="008F87"/>
          <w:sz w:val="29"/>
        </w:rPr>
        <w:t xml:space="preserve">Exercises</w:t>
      </w:r>
    </w:p>
    <w:p>
      <w:pPr>
        <w:pStyle w:val="Compact"/>
        <w:numPr>
          <w:ilvl w:val="0"/>
          <w:numId w:val="1029"/>
        </w:numPr>
      </w:pPr>
      <w:r>
        <w:t xml:space="preserve">Create the project tree shown in the table.</w:t>
      </w:r>
    </w:p>
    <w:p>
      <w:pPr>
        <w:pStyle w:val="Compact"/>
        <w:numPr>
          <w:ilvl w:val="0"/>
          <w:numId w:val="1029"/>
        </w:numPr>
      </w:pPr>
      <w:r>
        <w:t xml:space="preserve">Write a JSON metadata file for a dataset.</w:t>
      </w:r>
    </w:p>
    <w:p>
      <w:pPr>
        <w:pStyle w:val="Compact"/>
        <w:numPr>
          <w:ilvl w:val="0"/>
          <w:numId w:val="1029"/>
        </w:numPr>
      </w:pPr>
      <w:r>
        <w:t xml:space="preserve">Explain why frozen and processed data are different.</w:t>
      </w:r>
    </w:p>
    <w:p>
      <w:pPr>
        <w:pStyle w:val="Compact"/>
        <w:numPr>
          <w:ilvl w:val="0"/>
          <w:numId w:val="1029"/>
        </w:numPr>
      </w:pPr>
      <w:r>
        <w:t xml:space="preserve">Initialize a Git repository and identify files that should be ignored.</w:t>
      </w:r>
    </w:p>
    <w:bookmarkEnd w:id="150"/>
    <w:bookmarkStart w:id="151" w:name="chapter-summary-6"/>
    <w:p>
      <w:pPr>
        <w:pStyle w:val="Heading2"/>
        <w:keepNext/>
      </w:pPr>
      <w:r>
        <w:rPr>
          <w:rStyle w:val="SectionNumber"/>
          <w:rFonts w:ascii="Noto Sans" w:hAnsi="Noto Sans" w:eastAsia="Noto Sans" w:cs="Noto Sans"/>
          <w:b/>
          <w:color w:val="008F87"/>
          <w:sz w:val="29"/>
        </w:rPr>
        <w:t xml:space="preserve">7.10</w:t>
      </w:r>
      <w:r>
        <w:rPr>
          <w:rFonts w:ascii="Noto Sans" w:hAnsi="Noto Sans" w:eastAsia="Noto Sans" w:cs="Noto Sans"/>
          <w:b/>
          <w:color w:val="008F87"/>
          <w:sz w:val="29"/>
        </w:rPr>
        <w:tab/>
      </w:r>
      <w:r>
        <w:rPr>
          <w:rFonts w:ascii="Noto Sans" w:hAnsi="Noto Sans" w:eastAsia="Noto Sans" w:cs="Noto Sans"/>
          <w:b/>
          <w:color w:val="008F87"/>
          <w:sz w:val="29"/>
        </w:rPr>
        <w:t xml:space="preserve">Chapter summary</w:t>
      </w:r>
    </w:p>
    <w:p>
      <w:pPr>
        <w:pStyle w:val="Compact"/>
        <w:numPr>
          <w:ilvl w:val="0"/>
          <w:numId w:val="1030"/>
        </w:numPr>
      </w:pPr>
      <w:r>
        <w:t xml:space="preserve">Project structure is part of the analytical method.</w:t>
      </w:r>
    </w:p>
    <w:p>
      <w:pPr>
        <w:pStyle w:val="Compact"/>
        <w:numPr>
          <w:ilvl w:val="0"/>
          <w:numId w:val="1030"/>
        </w:numPr>
      </w:pPr>
      <w:r>
        <w:t xml:space="preserve">Relative paths make workflows portable.</w:t>
      </w:r>
    </w:p>
    <w:p>
      <w:pPr>
        <w:pStyle w:val="Compact"/>
        <w:numPr>
          <w:ilvl w:val="0"/>
          <w:numId w:val="1030"/>
        </w:numPr>
      </w:pPr>
      <w:r>
        <w:t xml:space="preserve">Provenance and environment records are necessary for reproducibility.</w:t>
      </w:r>
    </w:p>
    <w:bookmarkEnd w:id="151"/>
    <w:bookmarkStart w:id="152" w:name="key-python-commands-6"/>
    <w:p>
      <w:pPr>
        <w:pStyle w:val="Heading2"/>
        <w:keepNext/>
      </w:pPr>
      <w:r>
        <w:rPr>
          <w:rStyle w:val="SectionNumber"/>
          <w:rFonts w:ascii="Noto Sans" w:hAnsi="Noto Sans" w:eastAsia="Noto Sans" w:cs="Noto Sans"/>
          <w:b/>
          <w:color w:val="008F87"/>
          <w:sz w:val="29"/>
        </w:rPr>
        <w:t xml:space="preserve">7.11</w:t>
      </w:r>
      <w:r>
        <w:rPr>
          <w:rFonts w:ascii="Noto Sans" w:hAnsi="Noto Sans" w:eastAsia="Noto Sans" w:cs="Noto Sans"/>
          <w:b/>
          <w:color w:val="008F87"/>
          <w:sz w:val="29"/>
        </w:rPr>
        <w:tab/>
      </w:r>
      <w:r>
        <w:rPr>
          <w:rFonts w:ascii="Noto Sans" w:hAnsi="Noto Sans" w:eastAsia="Noto Sans" w:cs="Noto Sans"/>
          <w:b/>
          <w:color w:val="008F87"/>
          <w:sz w:val="29"/>
        </w:rPr>
        <w:t xml:space="preserve">Key Python commands</w:t>
      </w:r>
    </w:p>
    <w:p>
      <w:pPr>
        <w:pStyle w:val="SourceCode"/>
        <w:keepLines/>
        <w:shd w:fill="F6F8FA" w:val="clear"/>
      </w:pPr>
      <w:r>
        <w:rPr>
          <w:rStyle w:val="ImportTok"/>
        </w:rPr>
        <w:t xml:space="preserve">from</w:t>
      </w:r>
      <w:r>
        <w:rPr>
          <w:rStyle w:val="NormalTok"/>
        </w:rPr>
        <w:t xml:space="preserve"> pathlib </w:t>
      </w:r>
      <w:r>
        <w:rPr>
          <w:rStyle w:val="ImportTok"/>
        </w:rPr>
        <w:t xml:space="preserve">import</w:t>
      </w:r>
      <w:r>
        <w:rPr>
          <w:rStyle w:val="NormalTok"/>
        </w:rPr>
        <w:t xml:space="preserve"> Path</w:t>
      </w:r>
      <w:r>
        <w:br/>
      </w:r>
      <w:r>
        <w:rPr>
          <w:rStyle w:val="NormalTok"/>
        </w:rPr>
        <w:t xml:space="preserve">root </w:t>
      </w:r>
      <w:r>
        <w:rPr>
          <w:rStyle w:val="OperatorTok"/>
        </w:rPr>
        <w:t xml:space="preserve">=</w:t>
      </w:r>
      <w:r>
        <w:rPr>
          <w:rStyle w:val="NormalTok"/>
        </w:rPr>
        <w:t xml:space="preserve"> Path.cwd()</w:t>
      </w:r>
      <w:r>
        <w:br/>
      </w:r>
      <w:r>
        <w:rPr>
          <w:rStyle w:val="BuiltInTok"/>
        </w:rPr>
        <w:t xml:space="preserve">print</w:t>
      </w:r>
      <w:r>
        <w:rPr>
          <w:rStyle w:val="NormalTok"/>
        </w:rPr>
        <w:t xml:space="preserve">(figure_path.suffix)</w:t>
      </w:r>
      <w:r>
        <w:br/>
      </w:r>
      <w:r>
        <w:rPr>
          <w:rStyle w:val="BuiltInTok"/>
        </w:rPr>
        <w:t xml:space="preserve">print</w:t>
      </w:r>
      <w:r>
        <w:rPr>
          <w:rStyle w:val="NormalTok"/>
        </w:rPr>
        <w:t xml:space="preserve">(figure_path.parent.name)</w:t>
      </w:r>
      <w:r>
        <w:br/>
      </w:r>
      <w:r>
        <w:rPr>
          <w:rStyle w:val="ImportTok"/>
        </w:rPr>
        <w:t xml:space="preserve">import</w:t>
      </w:r>
      <w:r>
        <w:rPr>
          <w:rStyle w:val="NormalTok"/>
        </w:rPr>
        <w:t xml:space="preserve"> json</w:t>
      </w:r>
      <w:r>
        <w:br/>
      </w:r>
      <w:r>
        <w:rPr>
          <w:rStyle w:val="ImportTok"/>
        </w:rPr>
        <w:t xml:space="preserve">from</w:t>
      </w:r>
      <w:r>
        <w:rPr>
          <w:rStyle w:val="NormalTok"/>
        </w:rPr>
        <w:t xml:space="preserve"> pathlib </w:t>
      </w:r>
      <w:r>
        <w:rPr>
          <w:rStyle w:val="ImportTok"/>
        </w:rPr>
        <w:t xml:space="preserve">import</w:t>
      </w:r>
      <w:r>
        <w:rPr>
          <w:rStyle w:val="NormalTok"/>
        </w:rPr>
        <w:t xml:space="preserve"> Path</w:t>
      </w:r>
    </w:p>
    <w:bookmarkEnd w:id="152"/>
    <w:bookmarkEnd w:id="153"/>
    <w:bookmarkStart w:id="171" w:name="numpy-and-numerical-computing"/>
    <w:p>
      <w:pPr>
        <w:pStyle w:val="Heading1"/>
        <w:keepNext/>
        <w:pageBreakBefore/>
      </w:pPr>
      <w:r>
        <w:rPr>
          <w:rStyle w:val="SectionNumber"/>
          <w:rFonts w:ascii="Noto Sans" w:hAnsi="Noto Sans" w:eastAsia="Noto Sans" w:cs="Noto Sans"/>
          <w:b/>
          <w:color w:val="0A2342"/>
          <w:sz w:val="43"/>
        </w:rPr>
        <w:t xml:space="preserve">8</w:t>
      </w:r>
      <w:r>
        <w:rPr>
          <w:rFonts w:ascii="Noto Sans" w:hAnsi="Noto Sans" w:eastAsia="Noto Sans" w:cs="Noto Sans"/>
          <w:b/>
          <w:color w:val="0A2342"/>
          <w:sz w:val="43"/>
        </w:rPr>
        <w:tab/>
      </w:r>
      <w:r>
        <w:rPr>
          <w:rFonts w:ascii="Noto Sans" w:hAnsi="Noto Sans" w:eastAsia="Noto Sans" w:cs="Noto Sans"/>
          <w:b/>
          <w:color w:val="0A2342"/>
          <w:sz w:val="43"/>
        </w:rPr>
        <w:t xml:space="preserve">NumPy and Numerical Computing</w:t>
      </w:r>
    </w:p>
    <w:p>
      <w:pPr>
        <w:pStyle w:val="FirstParagraph"/>
      </w:pPr>
      <w:r>
        <w:rPr>
          <w:i/>
          <w:iCs/>
        </w:rPr>
        <w:t xml:space="preserve">Opening question:</w:t>
      </w:r>
      <w:r>
        <w:t xml:space="preserve"> </w:t>
      </w:r>
      <w:r>
        <w:rPr>
          <w:b/>
          <w:bCs/>
        </w:rPr>
        <w:t xml:space="preserve">Why are numerical arrays faster and more expressive than repeatedly updating Python lists?</w:t>
      </w:r>
    </w:p>
    <w:bookmarkStart w:id="154" w:name="learning-objectives-7"/>
    <w:p>
      <w:pPr>
        <w:pStyle w:val="Heading2"/>
        <w:keepNext/>
      </w:pPr>
      <w:r>
        <w:rPr>
          <w:rStyle w:val="SectionNumber"/>
          <w:rFonts w:ascii="Noto Sans" w:hAnsi="Noto Sans" w:eastAsia="Noto Sans" w:cs="Noto Sans"/>
          <w:b/>
          <w:color w:val="008F87"/>
          <w:sz w:val="29"/>
        </w:rPr>
        <w:t xml:space="preserve">8.1</w:t>
      </w:r>
      <w:r>
        <w:rPr>
          <w:rFonts w:ascii="Noto Sans" w:hAnsi="Noto Sans" w:eastAsia="Noto Sans" w:cs="Noto Sans"/>
          <w:b/>
          <w:color w:val="008F87"/>
          <w:sz w:val="29"/>
        </w:rPr>
        <w:tab/>
      </w:r>
      <w:r>
        <w:rPr>
          <w:rFonts w:ascii="Noto Sans" w:hAnsi="Noto Sans" w:eastAsia="Noto Sans" w:cs="Noto Sans"/>
          <w:b/>
          <w:color w:val="008F87"/>
          <w:sz w:val="29"/>
        </w:rPr>
        <w:t xml:space="preserve">Learning objectives</w:t>
      </w:r>
    </w:p>
    <w:p>
      <w:pPr>
        <w:pStyle w:val="Compact"/>
        <w:numPr>
          <w:ilvl w:val="0"/>
          <w:numId w:val="1031"/>
        </w:numPr>
      </w:pPr>
      <w:r>
        <w:t xml:space="preserve">Create NumPy arrays.</w:t>
      </w:r>
    </w:p>
    <w:p>
      <w:pPr>
        <w:pStyle w:val="Compact"/>
        <w:numPr>
          <w:ilvl w:val="0"/>
          <w:numId w:val="1031"/>
        </w:numPr>
      </w:pPr>
      <w:r>
        <w:t xml:space="preserve">Understand shape, dtype, broadcasting, and vectorization.</w:t>
      </w:r>
    </w:p>
    <w:p>
      <w:pPr>
        <w:pStyle w:val="Compact"/>
        <w:numPr>
          <w:ilvl w:val="0"/>
          <w:numId w:val="1031"/>
        </w:numPr>
      </w:pPr>
      <w:r>
        <w:t xml:space="preserve">Generate reproducible random samples.</w:t>
      </w:r>
    </w:p>
    <w:p>
      <w:pPr>
        <w:pStyle w:val="Compact"/>
        <w:numPr>
          <w:ilvl w:val="0"/>
          <w:numId w:val="1031"/>
        </w:numPr>
      </w:pPr>
      <w:r>
        <w:t xml:space="preserve">Perform matrix and linear-algebra operations.</w:t>
      </w:r>
    </w:p>
    <w:p>
      <w:pPr>
        <w:pStyle w:val="FirstParagraph"/>
      </w:pPr>
      <w:r>
        <w:rPr>
          <w:b/>
          <w:bCs/>
        </w:rPr>
        <w:t xml:space="preserve">Prerequisites:</w:t>
      </w:r>
      <w:r>
        <w:t xml:space="preserve"> </w:t>
      </w:r>
      <w:r>
        <w:t xml:space="preserve">Chapters 3 to 7.</w:t>
      </w:r>
    </w:p>
    <w:p>
      <w:pPr>
        <w:pStyle w:val="BodyText"/>
      </w:pPr>
      <w:r>
        <w:rPr>
          <w:b/>
          <w:bCs/>
        </w:rPr>
        <w:t xml:space="preserve">Key terms:</w:t>
      </w:r>
      <w:r>
        <w:t xml:space="preserve"> </w:t>
      </w:r>
      <w:r>
        <w:t xml:space="preserve">ndarray, shape, dtype, vectorization, broadcasting, random generator.</w:t>
      </w:r>
    </w:p>
    <w:bookmarkEnd w:id="154"/>
    <w:bookmarkStart w:id="155" w:name="X7fbd683d57042e9e20581d62f2fbc7ac387e24c"/>
    <w:p>
      <w:pPr>
        <w:pStyle w:val="Heading2"/>
        <w:keepNext/>
      </w:pPr>
      <w:r>
        <w:rPr>
          <w:rStyle w:val="SectionNumber"/>
          <w:rFonts w:ascii="Noto Sans" w:hAnsi="Noto Sans" w:eastAsia="Noto Sans" w:cs="Noto Sans"/>
          <w:b/>
          <w:color w:val="008F87"/>
          <w:sz w:val="29"/>
        </w:rPr>
        <w:t xml:space="preserve">8.2</w:t>
      </w:r>
      <w:r>
        <w:rPr>
          <w:rFonts w:ascii="Noto Sans" w:hAnsi="Noto Sans" w:eastAsia="Noto Sans" w:cs="Noto Sans"/>
          <w:b/>
          <w:color w:val="008F87"/>
          <w:sz w:val="29"/>
        </w:rPr>
        <w:tab/>
      </w:r>
      <w:r>
        <w:rPr>
          <w:rFonts w:ascii="Noto Sans" w:hAnsi="Noto Sans" w:eastAsia="Noto Sans" w:cs="Noto Sans"/>
          <w:b/>
          <w:color w:val="008F87"/>
          <w:sz w:val="29"/>
        </w:rPr>
        <w:t xml:space="preserve">Arrays are homogeneous numerical structures</w:t>
      </w:r>
    </w:p>
    <w:p>
      <w:pPr>
        <w:pStyle w:val="FirstParagraph"/>
      </w:pPr>
      <w:r>
        <w:t xml:space="preserve">A NumPy array stores values of a common data type in a regular shape. That constraint enables compact memory representation and compiled numerical operations. A one-dimensional array can represent returns; a two-dimensional array can represent observations by variables; higher dimensions appear in images and neural networks. Shape is part of meaning, so analysts should inspect it before matrix multiplication or model fitting</w:t>
      </w:r>
      <w:r>
        <w:t xml:space="preserve"> </w:t>
      </w:r>
      <w:r>
        <w:t xml:space="preserve">(NumPy Developers 2026)</w:t>
      </w:r>
      <w:r>
        <w:t xml:space="preserve">.</w:t>
      </w:r>
    </w:p>
    <w:bookmarkEnd w:id="155"/>
    <w:bookmarkStart w:id="156" w:name="X55dd1f84fd37c17340a338825436b2ec0d9b5fd"/>
    <w:p>
      <w:pPr>
        <w:pStyle w:val="Heading2"/>
        <w:keepNext/>
      </w:pPr>
      <w:r>
        <w:rPr>
          <w:rStyle w:val="SectionNumber"/>
          <w:rFonts w:ascii="Noto Sans" w:hAnsi="Noto Sans" w:eastAsia="Noto Sans" w:cs="Noto Sans"/>
          <w:b/>
          <w:color w:val="008F87"/>
          <w:sz w:val="29"/>
        </w:rPr>
        <w:t xml:space="preserve">8.3</w:t>
      </w:r>
      <w:r>
        <w:rPr>
          <w:rFonts w:ascii="Noto Sans" w:hAnsi="Noto Sans" w:eastAsia="Noto Sans" w:cs="Noto Sans"/>
          <w:b/>
          <w:color w:val="008F87"/>
          <w:sz w:val="29"/>
        </w:rPr>
        <w:tab/>
      </w:r>
      <w:r>
        <w:rPr>
          <w:rFonts w:ascii="Noto Sans" w:hAnsi="Noto Sans" w:eastAsia="Noto Sans" w:cs="Noto Sans"/>
          <w:b/>
          <w:color w:val="008F87"/>
          <w:sz w:val="29"/>
        </w:rPr>
        <w:t xml:space="preserve">Vectorization states the calculation directly</w:t>
      </w:r>
    </w:p>
    <w:p>
      <w:pPr>
        <w:pStyle w:val="FirstParagraph"/>
      </w:pPr>
      <w:r>
        <w:t xml:space="preserve">The expression</w:t>
      </w:r>
      <w:r>
        <w:t xml:space="preserve"> </w:t>
      </w:r>
      <w:r>
        <w:rPr>
          <w:rStyle w:val="VerbatimChar"/>
        </w:rPr>
        <w:t xml:space="preserve">prices[1:] / prices[:-1] - 1</w:t>
      </w:r>
      <w:r>
        <w:t xml:space="preserve"> </w:t>
      </w:r>
      <w:r>
        <w:t xml:space="preserve">computes a complete return vector without manually managing an index. Vectorization often improves speed because the loop occurs in optimized compiled code. It also exposes the mathematical operation. Broadcasting extends compatible shapes automatically, for example subtracting a column mean from every row. Convenience must be paired with shape checks because an unintended broadcast can produce a plausible but wrong array.</w:t>
      </w:r>
    </w:p>
    <w:bookmarkEnd w:id="156"/>
    <w:bookmarkStart w:id="157" w:name="X643fa42ad2577c57551f12fcd14dff0cece71cd"/>
    <w:p>
      <w:pPr>
        <w:pStyle w:val="Heading2"/>
        <w:keepNext/>
      </w:pPr>
      <w:r>
        <w:rPr>
          <w:rStyle w:val="SectionNumber"/>
          <w:rFonts w:ascii="Noto Sans" w:hAnsi="Noto Sans" w:eastAsia="Noto Sans" w:cs="Noto Sans"/>
          <w:b/>
          <w:color w:val="008F87"/>
          <w:sz w:val="29"/>
        </w:rPr>
        <w:t xml:space="preserve">8.4</w:t>
      </w:r>
      <w:r>
        <w:rPr>
          <w:rFonts w:ascii="Noto Sans" w:hAnsi="Noto Sans" w:eastAsia="Noto Sans" w:cs="Noto Sans"/>
          <w:b/>
          <w:color w:val="008F87"/>
          <w:sz w:val="29"/>
        </w:rPr>
        <w:tab/>
      </w:r>
      <w:r>
        <w:rPr>
          <w:rFonts w:ascii="Noto Sans" w:hAnsi="Noto Sans" w:eastAsia="Noto Sans" w:cs="Noto Sans"/>
          <w:b/>
          <w:color w:val="008F87"/>
          <w:sz w:val="29"/>
        </w:rPr>
        <w:t xml:space="preserve">Randomness should be local and reproducible</w:t>
      </w:r>
    </w:p>
    <w:p>
      <w:pPr>
        <w:pStyle w:val="FirstParagraph"/>
      </w:pPr>
      <w:r>
        <w:t xml:space="preserve">Modern NumPy uses a random generator object. Creating</w:t>
      </w:r>
      <w:r>
        <w:t xml:space="preserve"> </w:t>
      </w:r>
      <w:r>
        <w:rPr>
          <w:rStyle w:val="VerbatimChar"/>
        </w:rPr>
        <w:t xml:space="preserve">rng = np.random.default_rng(seed)</w:t>
      </w:r>
      <w:r>
        <w:t xml:space="preserve"> </w:t>
      </w:r>
      <w:r>
        <w:t xml:space="preserve">keeps the random state explicit and avoids changing a global generator used elsewhere. A seed reproduces a demonstration, not the uncertainty of the real world. Simulation results should still report Monte Carlo error and be checked across additional seeds when conclusions might depend on one stream.</w:t>
      </w:r>
    </w:p>
    <w:bookmarkEnd w:id="157"/>
    <w:bookmarkStart w:id="158" w:name="core-equations"/>
    <w:p>
      <w:pPr>
        <w:pStyle w:val="Heading2"/>
        <w:keepNext/>
      </w:pPr>
      <w:r>
        <w:rPr>
          <w:rStyle w:val="SectionNumber"/>
          <w:rFonts w:ascii="Noto Sans" w:hAnsi="Noto Sans" w:eastAsia="Noto Sans" w:cs="Noto Sans"/>
          <w:b/>
          <w:color w:val="008F87"/>
          <w:sz w:val="29"/>
        </w:rPr>
        <w:t xml:space="preserve">8.5</w:t>
      </w:r>
      <w:r>
        <w:rPr>
          <w:rFonts w:ascii="Noto Sans" w:hAnsi="Noto Sans" w:eastAsia="Noto Sans" w:cs="Noto Sans"/>
          <w:b/>
          <w:color w:val="008F87"/>
          <w:sz w:val="29"/>
        </w:rPr>
        <w:tab/>
      </w:r>
      <w:r>
        <w:rPr>
          <w:rFonts w:ascii="Noto Sans" w:hAnsi="Noto Sans" w:eastAsia="Noto Sans" w:cs="Noto Sans"/>
          <w:b/>
          <w:color w:val="008F87"/>
          <w:sz w:val="29"/>
        </w:rPr>
        <w:t xml:space="preserve">Core equations</w:t>
      </w:r>
    </w:p>
    <w:p>
      <w:pPr>
        <w:pStyle w:val="FirstParagraph"/>
      </w:pPr>
      <w:r>
        <w:rPr>
          <w:b/>
          <w:bCs/>
        </w:rPr>
        <w:t xml:space="preserve">Portfolio return</w:t>
      </w:r>
    </w:p>
    <w:p>
      <w:pPr>
        <w:pStyle w:val="BodyText"/>
      </w:pPr>
      <m:oMathPara>
        <m:oMathParaPr>
          <m:jc m:val="center"/>
        </m:oMathParaPr>
        <m:oMath>
          <m:sSub>
            <m:e>
              <m:r>
                <m:t>r</m:t>
              </m:r>
            </m:e>
            <m:sub>
              <m:r>
                <m:t>p</m:t>
              </m:r>
              <m:r>
                <m:rPr>
                  <m:sty m:val="p"/>
                </m:rPr>
                <m:t>,</m:t>
              </m:r>
              <m:r>
                <m:t>t</m:t>
              </m:r>
            </m:sub>
          </m:sSub>
          <m:r>
            <m:rPr>
              <m:sty m:val="p"/>
            </m:rPr>
            <m:t>=</m:t>
          </m:r>
          <m:sSup>
            <m:e>
              <m:r>
                <m:rPr>
                  <m:sty m:val="b"/>
                </m:rPr>
                <m:t>w</m:t>
              </m:r>
            </m:e>
            <m:sup>
              <m:r>
                <m:rPr>
                  <m:sty m:val="p"/>
                </m:rPr>
                <m:t>⊤</m:t>
              </m:r>
            </m:sup>
          </m:sSup>
          <m:sSub>
            <m:e>
              <m:r>
                <m:rPr>
                  <m:sty m:val="b"/>
                </m:rPr>
                <m:t>r</m:t>
              </m:r>
            </m:e>
            <m:sub>
              <m:r>
                <m:t>t</m:t>
              </m:r>
            </m:sub>
          </m:sSub>
        </m:oMath>
      </m:oMathPara>
    </w:p>
    <w:p>
      <w:pPr>
        <w:pStyle w:val="FirstParagraph"/>
      </w:pPr>
      <w:r>
        <w:t xml:space="preserve">A weight vector and asset-return vector are combined through a dot product.</w:t>
      </w:r>
    </w:p>
    <w:bookmarkEnd w:id="158"/>
    <w:bookmarkStart w:id="161" w:name="python-demonstrations-7"/>
    <w:p>
      <w:pPr>
        <w:pStyle w:val="Heading2"/>
        <w:keepNext/>
      </w:pPr>
      <w:r>
        <w:rPr>
          <w:rStyle w:val="SectionNumber"/>
          <w:rFonts w:ascii="Noto Sans" w:hAnsi="Noto Sans" w:eastAsia="Noto Sans" w:cs="Noto Sans"/>
          <w:b/>
          <w:color w:val="008F87"/>
          <w:sz w:val="29"/>
        </w:rPr>
        <w:t xml:space="preserve">8.6</w:t>
      </w:r>
      <w:r>
        <w:rPr>
          <w:rFonts w:ascii="Noto Sans" w:hAnsi="Noto Sans" w:eastAsia="Noto Sans" w:cs="Noto Sans"/>
          <w:b/>
          <w:color w:val="008F87"/>
          <w:sz w:val="29"/>
        </w:rPr>
        <w:tab/>
      </w:r>
      <w:r>
        <w:rPr>
          <w:rFonts w:ascii="Noto Sans" w:hAnsi="Noto Sans" w:eastAsia="Noto Sans" w:cs="Noto Sans"/>
          <w:b/>
          <w:color w:val="008F87"/>
          <w:sz w:val="29"/>
        </w:rPr>
        <w:t xml:space="preserve">Python demonstrations</w:t>
      </w:r>
    </w:p>
    <w:bookmarkStart w:id="159" w:name="X386b951ad34a1ee6339bdb46056bf5abd2fb968"/>
    <w:p>
      <w:pPr>
        <w:pStyle w:val="Heading3"/>
        <w:keepNext/>
      </w:pPr>
      <w:r>
        <w:rPr>
          <w:rStyle w:val="SectionNumber"/>
          <w:rFonts w:ascii="Noto Sans" w:hAnsi="Noto Sans" w:eastAsia="Noto Sans" w:cs="Noto Sans"/>
          <w:b/>
          <w:color w:val="0A2342"/>
          <w:sz w:val="23"/>
        </w:rPr>
        <w:t xml:space="preserve">8.6.1</w:t>
      </w:r>
      <w:r>
        <w:rPr>
          <w:rFonts w:ascii="Noto Sans" w:hAnsi="Noto Sans" w:eastAsia="Noto Sans" w:cs="Noto Sans"/>
          <w:b/>
          <w:color w:val="0A2342"/>
          <w:sz w:val="23"/>
        </w:rPr>
        <w:tab/>
      </w:r>
      <w:r>
        <w:rPr>
          <w:rFonts w:ascii="Noto Sans" w:hAnsi="Noto Sans" w:eastAsia="Noto Sans" w:cs="Noto Sans"/>
          <w:b/>
          <w:color w:val="0A2342"/>
          <w:sz w:val="23"/>
        </w:rPr>
        <w:t xml:space="preserve">Demonstration 8.1: Vectorized return calculation</w:t>
      </w:r>
    </w:p>
    <w:p>
      <w:pPr>
        <w:pStyle w:val="SourceCode"/>
        <w:keepLines/>
        <w:shd w:fill="F6F8FA" w:val="clear"/>
      </w:pPr>
      <w:r>
        <w:rPr>
          <w:rStyle w:val="ImportTok"/>
        </w:rPr>
        <w:t xml:space="preserve">import</w:t>
      </w:r>
      <w:r>
        <w:rPr>
          <w:rStyle w:val="NormalTok"/>
        </w:rPr>
        <w:t xml:space="preserve"> numpy </w:t>
      </w:r>
      <w:r>
        <w:rPr>
          <w:rStyle w:val="ImportTok"/>
        </w:rPr>
        <w:t xml:space="preserve">as</w:t>
      </w:r>
      <w:r>
        <w:rPr>
          <w:rStyle w:val="NormalTok"/>
        </w:rPr>
        <w:t xml:space="preserve"> np</w:t>
      </w:r>
      <w:r>
        <w:br/>
      </w:r>
      <w:r>
        <w:br/>
      </w:r>
      <w:r>
        <w:rPr>
          <w:rStyle w:val="NormalTok"/>
        </w:rPr>
        <w:t xml:space="preserve">prices </w:t>
      </w:r>
      <w:r>
        <w:rPr>
          <w:rStyle w:val="OperatorTok"/>
        </w:rPr>
        <w:t xml:space="preserve">=</w:t>
      </w:r>
      <w:r>
        <w:rPr>
          <w:rStyle w:val="NormalTok"/>
        </w:rPr>
        <w:t xml:space="preserve"> np.array([</w:t>
      </w:r>
      <w:r>
        <w:rPr>
          <w:rStyle w:val="FloatTok"/>
        </w:rPr>
        <w:t xml:space="preserve">100.0</w:t>
      </w:r>
      <w:r>
        <w:rPr>
          <w:rStyle w:val="NormalTok"/>
        </w:rPr>
        <w:t xml:space="preserve">, </w:t>
      </w:r>
      <w:r>
        <w:rPr>
          <w:rStyle w:val="FloatTok"/>
        </w:rPr>
        <w:t xml:space="preserve">102.0</w:t>
      </w:r>
      <w:r>
        <w:rPr>
          <w:rStyle w:val="NormalTok"/>
        </w:rPr>
        <w:t xml:space="preserve">, </w:t>
      </w:r>
      <w:r>
        <w:rPr>
          <w:rStyle w:val="FloatTok"/>
        </w:rPr>
        <w:t xml:space="preserve">101.0</w:t>
      </w:r>
      <w:r>
        <w:rPr>
          <w:rStyle w:val="NormalTok"/>
        </w:rPr>
        <w:t xml:space="preserve">, </w:t>
      </w:r>
      <w:r>
        <w:rPr>
          <w:rStyle w:val="FloatTok"/>
        </w:rPr>
        <w:t xml:space="preserve">104.0</w:t>
      </w:r>
      <w:r>
        <w:rPr>
          <w:rStyle w:val="NormalTok"/>
        </w:rPr>
        <w:t xml:space="preserve">])</w:t>
      </w:r>
      <w:r>
        <w:br/>
      </w:r>
      <w:r>
        <w:rPr>
          <w:rStyle w:val="NormalTok"/>
        </w:rPr>
        <w:t xml:space="preserve">returns </w:t>
      </w:r>
      <w:r>
        <w:rPr>
          <w:rStyle w:val="OperatorTok"/>
        </w:rPr>
        <w:t xml:space="preserve">=</w:t>
      </w:r>
      <w:r>
        <w:rPr>
          <w:rStyle w:val="NormalTok"/>
        </w:rPr>
        <w:t xml:space="preserve"> prices[</w:t>
      </w:r>
      <w:r>
        <w:rPr>
          <w:rStyle w:val="DecValTok"/>
        </w:rPr>
        <w:t xml:space="preserve">1</w:t>
      </w:r>
      <w:r>
        <w:rPr>
          <w:rStyle w:val="NormalTok"/>
        </w:rPr>
        <w:t xml:space="preserve">:] </w:t>
      </w:r>
      <w:r>
        <w:rPr>
          <w:rStyle w:val="OperatorTok"/>
        </w:rPr>
        <w:t xml:space="preserve">/</w:t>
      </w:r>
      <w:r>
        <w:rPr>
          <w:rStyle w:val="NormalTok"/>
        </w:rPr>
        <w:t xml:space="preserve"> prices[:</w:t>
      </w:r>
      <w:r>
        <w:rPr>
          <w:rStyle w:val="OperatorTok"/>
        </w:rPr>
        <w:t xml:space="preserve">-</w:t>
      </w:r>
      <w:r>
        <w:rPr>
          <w:rStyle w:val="DecValTok"/>
        </w:rPr>
        <w:t xml:space="preserve">1</w:t>
      </w:r>
      <w:r>
        <w:rPr>
          <w:rStyle w:val="NormalTok"/>
        </w:rPr>
        <w:t xml:space="preserve">] </w:t>
      </w:r>
      <w:r>
        <w:rPr>
          <w:rStyle w:val="OperatorTok"/>
        </w:rPr>
        <w:t xml:space="preserve">-</w:t>
      </w:r>
      <w:r>
        <w:rPr>
          <w:rStyle w:val="NormalTok"/>
        </w:rPr>
        <w:t xml:space="preserve"> </w:t>
      </w:r>
      <w:r>
        <w:rPr>
          <w:rStyle w:val="DecValTok"/>
        </w:rPr>
        <w:t xml:space="preserve">1</w:t>
      </w:r>
      <w:r>
        <w:br/>
      </w:r>
      <w:r>
        <w:rPr>
          <w:rStyle w:val="BuiltInTok"/>
        </w:rPr>
        <w:t xml:space="preserve">print</w:t>
      </w:r>
      <w:r>
        <w:rPr>
          <w:rStyle w:val="NormalTok"/>
        </w:rPr>
        <w:t xml:space="preserve">(np.</w:t>
      </w:r>
      <w:r>
        <w:rPr>
          <w:rStyle w:val="BuiltInTok"/>
        </w:rPr>
        <w:t xml:space="preserve">round</w:t>
      </w:r>
      <w:r>
        <w:rPr>
          <w:rStyle w:val="NormalTok"/>
        </w:rPr>
        <w:t xml:space="preserve">(returns, </w:t>
      </w:r>
      <w:r>
        <w:rPr>
          <w:rStyle w:val="DecValTok"/>
        </w:rPr>
        <w:t xml:space="preserve">4</w:t>
      </w:r>
      <w:r>
        <w:rPr>
          <w:rStyle w:val="NormalTok"/>
        </w:rPr>
        <w:t xml:space="preserve">))</w:t>
      </w:r>
    </w:p>
    <w:p>
      <w:pPr>
        <w:pStyle w:val="FirstParagraph"/>
      </w:pPr>
      <w:r>
        <w:rPr>
          <w:b/>
          <w:bCs/>
        </w:rPr>
        <w:t xml:space="preserve">Verified output</w:t>
      </w:r>
    </w:p>
    <w:p>
      <w:pPr>
        <w:pStyle w:val="SourceCode"/>
        <w:keepLines/>
        <w:shd w:fill="F6F8FA" w:val="clear"/>
      </w:pPr>
      <w:r>
        <w:rPr>
          <w:rStyle w:val="VerbatimChar"/>
        </w:rPr>
        <w:t xml:space="preserve">[ 0.02   -0.0098  0.0297]</w:t>
      </w:r>
    </w:p>
    <w:p>
      <w:pPr>
        <w:pStyle w:val="FirstParagraph"/>
      </w:pPr>
      <w:r>
        <w:rPr>
          <w:b/>
          <w:bCs/>
        </w:rPr>
        <w:t xml:space="preserve">Interpretation.</w:t>
      </w:r>
      <w:r>
        <w:t xml:space="preserve"> </w:t>
      </w:r>
      <w:r>
        <w:t xml:space="preserve">Each return compares adjacent prices. The output has one fewer observation than the price array.</w:t>
      </w:r>
    </w:p>
    <w:bookmarkEnd w:id="159"/>
    <w:bookmarkStart w:id="160" w:name="Xe9ab10f83e94bed0d9be109c89f3adf31032279"/>
    <w:p>
      <w:pPr>
        <w:pStyle w:val="Heading3"/>
        <w:keepNext/>
      </w:pPr>
      <w:r>
        <w:rPr>
          <w:rStyle w:val="SectionNumber"/>
          <w:rFonts w:ascii="Noto Sans" w:hAnsi="Noto Sans" w:eastAsia="Noto Sans" w:cs="Noto Sans"/>
          <w:b/>
          <w:color w:val="0A2342"/>
          <w:sz w:val="23"/>
        </w:rPr>
        <w:t xml:space="preserve">8.6.2</w:t>
      </w:r>
      <w:r>
        <w:rPr>
          <w:rFonts w:ascii="Noto Sans" w:hAnsi="Noto Sans" w:eastAsia="Noto Sans" w:cs="Noto Sans"/>
          <w:b/>
          <w:color w:val="0A2342"/>
          <w:sz w:val="23"/>
        </w:rPr>
        <w:tab/>
      </w:r>
      <w:r>
        <w:rPr>
          <w:rFonts w:ascii="Noto Sans" w:hAnsi="Noto Sans" w:eastAsia="Noto Sans" w:cs="Noto Sans"/>
          <w:b/>
          <w:color w:val="0A2342"/>
          <w:sz w:val="23"/>
        </w:rPr>
        <w:t xml:space="preserve">Demonstration 8.2: A reproducible portfolio simulation</w:t>
      </w:r>
    </w:p>
    <w:p>
      <w:pPr>
        <w:pStyle w:val="SourceCode"/>
        <w:keepLines/>
        <w:shd w:fill="F6F8FA" w:val="clear"/>
      </w:pPr>
      <w:r>
        <w:rPr>
          <w:rStyle w:val="ImportTok"/>
        </w:rPr>
        <w:t xml:space="preserve">import</w:t>
      </w:r>
      <w:r>
        <w:rPr>
          <w:rStyle w:val="NormalTok"/>
        </w:rPr>
        <w:t xml:space="preserve"> numpy </w:t>
      </w:r>
      <w:r>
        <w:rPr>
          <w:rStyle w:val="ImportTok"/>
        </w:rPr>
        <w:t xml:space="preserve">as</w:t>
      </w:r>
      <w:r>
        <w:rPr>
          <w:rStyle w:val="NormalTok"/>
        </w:rPr>
        <w:t xml:space="preserve"> np</w:t>
      </w:r>
      <w:r>
        <w:br/>
      </w:r>
      <w:r>
        <w:br/>
      </w:r>
      <w:r>
        <w:rPr>
          <w:rStyle w:val="NormalTok"/>
        </w:rPr>
        <w:t xml:space="preserve">rng </w:t>
      </w:r>
      <w:r>
        <w:rPr>
          <w:rStyle w:val="OperatorTok"/>
        </w:rPr>
        <w:t xml:space="preserve">=</w:t>
      </w:r>
      <w:r>
        <w:rPr>
          <w:rStyle w:val="NormalTok"/>
        </w:rPr>
        <w:t xml:space="preserve"> np.random.default_rng(</w:t>
      </w:r>
      <w:r>
        <w:rPr>
          <w:rStyle w:val="DecValTok"/>
        </w:rPr>
        <w:t xml:space="preserve">41202</w:t>
      </w:r>
      <w:r>
        <w:rPr>
          <w:rStyle w:val="NormalTok"/>
        </w:rPr>
        <w:t xml:space="preserve">)</w:t>
      </w:r>
      <w:r>
        <w:br/>
      </w:r>
      <w:r>
        <w:rPr>
          <w:rStyle w:val="NormalTok"/>
        </w:rPr>
        <w:t xml:space="preserve">asset_returns </w:t>
      </w:r>
      <w:r>
        <w:rPr>
          <w:rStyle w:val="OperatorTok"/>
        </w:rPr>
        <w:t xml:space="preserve">=</w:t>
      </w:r>
      <w:r>
        <w:rPr>
          <w:rStyle w:val="NormalTok"/>
        </w:rPr>
        <w:t xml:space="preserve"> rng.normal([</w:t>
      </w:r>
      <w:r>
        <w:rPr>
          <w:rStyle w:val="FloatTok"/>
        </w:rPr>
        <w:t xml:space="preserve">0.0003</w:t>
      </w:r>
      <w:r>
        <w:rPr>
          <w:rStyle w:val="NormalTok"/>
        </w:rPr>
        <w:t xml:space="preserve">, </w:t>
      </w:r>
      <w:r>
        <w:rPr>
          <w:rStyle w:val="FloatTok"/>
        </w:rPr>
        <w:t xml:space="preserve">0.0002</w:t>
      </w:r>
      <w:r>
        <w:rPr>
          <w:rStyle w:val="NormalTok"/>
        </w:rPr>
        <w:t xml:space="preserve">], [</w:t>
      </w:r>
      <w:r>
        <w:rPr>
          <w:rStyle w:val="FloatTok"/>
        </w:rPr>
        <w:t xml:space="preserve">0.012</w:t>
      </w:r>
      <w:r>
        <w:rPr>
          <w:rStyle w:val="NormalTok"/>
        </w:rPr>
        <w:t xml:space="preserve">, </w:t>
      </w:r>
      <w:r>
        <w:rPr>
          <w:rStyle w:val="FloatTok"/>
        </w:rPr>
        <w:t xml:space="preserve">0.007</w:t>
      </w:r>
      <w:r>
        <w:rPr>
          <w:rStyle w:val="NormalTok"/>
        </w:rPr>
        <w:t xml:space="preserve">], size</w:t>
      </w:r>
      <w:r>
        <w:rPr>
          <w:rStyle w:val="OperatorTok"/>
        </w:rPr>
        <w:t xml:space="preserve">=</w:t>
      </w:r>
      <w:r>
        <w:rPr>
          <w:rStyle w:val="NormalTok"/>
        </w:rPr>
        <w:t xml:space="preserve">(</w:t>
      </w:r>
      <w:r>
        <w:rPr>
          <w:rStyle w:val="DecValTok"/>
        </w:rPr>
        <w:t xml:space="preserve">5</w:t>
      </w:r>
      <w:r>
        <w:rPr>
          <w:rStyle w:val="NormalTok"/>
        </w:rPr>
        <w:t xml:space="preserve">, </w:t>
      </w:r>
      <w:r>
        <w:rPr>
          <w:rStyle w:val="DecValTok"/>
        </w:rPr>
        <w:t xml:space="preserve">2</w:t>
      </w:r>
      <w:r>
        <w:rPr>
          <w:rStyle w:val="NormalTok"/>
        </w:rPr>
        <w:t xml:space="preserve">))</w:t>
      </w:r>
      <w:r>
        <w:br/>
      </w:r>
      <w:r>
        <w:rPr>
          <w:rStyle w:val="NormalTok"/>
        </w:rPr>
        <w:t xml:space="preserve">weights </w:t>
      </w:r>
      <w:r>
        <w:rPr>
          <w:rStyle w:val="OperatorTok"/>
        </w:rPr>
        <w:t xml:space="preserve">=</w:t>
      </w:r>
      <w:r>
        <w:rPr>
          <w:rStyle w:val="NormalTok"/>
        </w:rPr>
        <w:t xml:space="preserve"> np.array([</w:t>
      </w:r>
      <w:r>
        <w:rPr>
          <w:rStyle w:val="FloatTok"/>
        </w:rPr>
        <w:t xml:space="preserve">0.6</w:t>
      </w:r>
      <w:r>
        <w:rPr>
          <w:rStyle w:val="NormalTok"/>
        </w:rPr>
        <w:t xml:space="preserve">, </w:t>
      </w:r>
      <w:r>
        <w:rPr>
          <w:rStyle w:val="FloatTok"/>
        </w:rPr>
        <w:t xml:space="preserve">0.4</w:t>
      </w:r>
      <w:r>
        <w:rPr>
          <w:rStyle w:val="NormalTok"/>
        </w:rPr>
        <w:t xml:space="preserve">])</w:t>
      </w:r>
      <w:r>
        <w:br/>
      </w:r>
      <w:r>
        <w:rPr>
          <w:rStyle w:val="NormalTok"/>
        </w:rPr>
        <w:t xml:space="preserve">portfolio </w:t>
      </w:r>
      <w:r>
        <w:rPr>
          <w:rStyle w:val="OperatorTok"/>
        </w:rPr>
        <w:t xml:space="preserve">=</w:t>
      </w:r>
      <w:r>
        <w:rPr>
          <w:rStyle w:val="NormalTok"/>
        </w:rPr>
        <w:t xml:space="preserve"> asset_returns </w:t>
      </w:r>
      <w:r>
        <w:rPr>
          <w:rStyle w:val="OperatorTok"/>
        </w:rPr>
        <w:t xml:space="preserve">@</w:t>
      </w:r>
      <w:r>
        <w:rPr>
          <w:rStyle w:val="NormalTok"/>
        </w:rPr>
        <w:t xml:space="preserve"> weights</w:t>
      </w:r>
      <w:r>
        <w:br/>
      </w:r>
      <w:r>
        <w:rPr>
          <w:rStyle w:val="BuiltInTok"/>
        </w:rPr>
        <w:t xml:space="preserve">print</w:t>
      </w:r>
      <w:r>
        <w:rPr>
          <w:rStyle w:val="NormalTok"/>
        </w:rPr>
        <w:t xml:space="preserve">(np.</w:t>
      </w:r>
      <w:r>
        <w:rPr>
          <w:rStyle w:val="BuiltInTok"/>
        </w:rPr>
        <w:t xml:space="preserve">round</w:t>
      </w:r>
      <w:r>
        <w:rPr>
          <w:rStyle w:val="NormalTok"/>
        </w:rPr>
        <w:t xml:space="preserve">(portfolio, </w:t>
      </w:r>
      <w:r>
        <w:rPr>
          <w:rStyle w:val="DecValTok"/>
        </w:rPr>
        <w:t xml:space="preserve">4</w:t>
      </w:r>
      <w:r>
        <w:rPr>
          <w:rStyle w:val="NormalTok"/>
        </w:rPr>
        <w:t xml:space="preserve">))</w:t>
      </w:r>
    </w:p>
    <w:p>
      <w:pPr>
        <w:pStyle w:val="FirstParagraph"/>
      </w:pPr>
      <w:r>
        <w:rPr>
          <w:b/>
          <w:bCs/>
        </w:rPr>
        <w:t xml:space="preserve">Verified output</w:t>
      </w:r>
    </w:p>
    <w:p>
      <w:pPr>
        <w:pStyle w:val="SourceCode"/>
        <w:keepLines/>
        <w:shd w:fill="F6F8FA" w:val="clear"/>
      </w:pPr>
      <w:r>
        <w:rPr>
          <w:rStyle w:val="VerbatimChar"/>
        </w:rPr>
        <w:t xml:space="preserve">[-0.0097  0.004   0.0097 -0.0022 -0.002 ]</w:t>
      </w:r>
    </w:p>
    <w:p>
      <w:pPr>
        <w:pStyle w:val="FirstParagraph"/>
      </w:pPr>
      <w:r>
        <w:rPr>
          <w:b/>
          <w:bCs/>
        </w:rPr>
        <w:t xml:space="preserve">Interpretation.</w:t>
      </w:r>
      <w:r>
        <w:t xml:space="preserve"> </w:t>
      </w:r>
      <w:r>
        <w:t xml:space="preserve">Matrix multiplication applies the same portfolio weights to every simulated observation.</w:t>
      </w:r>
    </w:p>
    <w:bookmarkEnd w:id="160"/>
    <w:bookmarkEnd w:id="161"/>
    <w:bookmarkStart w:id="165" w:name="visual-evidence-7"/>
    <w:p>
      <w:pPr>
        <w:pStyle w:val="Heading2"/>
        <w:keepNext/>
      </w:pPr>
      <w:r>
        <w:rPr>
          <w:rStyle w:val="SectionNumber"/>
          <w:rFonts w:ascii="Noto Sans" w:hAnsi="Noto Sans" w:eastAsia="Noto Sans" w:cs="Noto Sans"/>
          <w:b/>
          <w:color w:val="008F87"/>
          <w:sz w:val="29"/>
        </w:rPr>
        <w:t xml:space="preserve">8.7</w:t>
      </w:r>
      <w:r>
        <w:rPr>
          <w:rFonts w:ascii="Noto Sans" w:hAnsi="Noto Sans" w:eastAsia="Noto Sans" w:cs="Noto Sans"/>
          <w:b/>
          <w:color w:val="008F87"/>
          <w:sz w:val="29"/>
        </w:rPr>
        <w:tab/>
      </w:r>
      <w:r>
        <w:rPr>
          <w:rFonts w:ascii="Noto Sans" w:hAnsi="Noto Sans" w:eastAsia="Noto Sans" w:cs="Noto Sans"/>
          <w:b/>
          <w:color w:val="008F87"/>
          <w:sz w:val="29"/>
        </w:rPr>
        <w:t xml:space="preserve">Visual evidence</w:t>
      </w:r>
    </w:p>
    <w:p>
      <w:pPr>
        <w:pStyle w:val="FirstParagraph"/>
      </w:pPr>
      <w:r>
        <w:drawing>
          <wp:inline>
            <wp:extent cx="4907280" cy="3086837"/>
            <wp:effectExtent b="0" l="0" r="0" t="0"/>
            <wp:docPr descr="Image: rId162.png" title="" id="163" name="Picture"/>
            <a:graphic>
              <a:graphicData uri="http://schemas.openxmlformats.org/drawingml/2006/picture">
                <pic:pic>
                  <pic:nvPicPr>
                    <pic:cNvPr descr="figures/fig_08_vectorization.png" id="164" name="Picture"/>
                    <pic:cNvPicPr>
                      <a:picLocks noChangeArrowheads="1" noChangeAspect="1"/>
                    </pic:cNvPicPr>
                  </pic:nvPicPr>
                  <pic:blipFill>
                    <a:blip r:embed="rId162"/>
                    <a:stretch>
                      <a:fillRect/>
                    </a:stretch>
                  </pic:blipFill>
                  <pic:spPr bwMode="auto">
                    <a:xfrm>
                      <a:off x="0" y="0"/>
                      <a:ext cx="4907280" cy="3086837"/>
                    </a:xfrm>
                    <a:prstGeom prst="rect">
                      <a:avLst/>
                    </a:prstGeom>
                    <a:noFill/>
                    <a:ln w="9525">
                      <a:noFill/>
                      <a:headEnd/>
                      <a:tailEnd/>
                    </a:ln>
                  </pic:spPr>
                </pic:pic>
              </a:graphicData>
            </a:graphic>
          </wp:inline>
        </w:drawing>
      </w:r>
    </w:p>
    <w:p>
      <w:pPr>
        <w:pStyle w:val="Caption"/>
        <w:keepNext w:val="0"/>
        <w:jc w:val="center"/>
      </w:pPr>
      <w:r>
        <w:rPr>
          <w:b/>
          <w:bCs/>
        </w:rPr>
        <w:t xml:space="preserve">Figure 8.</w:t>
      </w:r>
      <w:r>
        <w:t xml:space="preserve"> </w:t>
      </w:r>
      <w:r>
        <w:t xml:space="preserve">A local benchmark comparing element-wise squaring with a Python loop and a NumPy operation.</w:t>
      </w:r>
    </w:p>
    <w:bookmarkEnd w:id="165"/>
    <w:bookmarkStart w:id="166" w:name="reference-table-7"/>
    <w:p>
      <w:pPr>
        <w:pStyle w:val="Heading2"/>
        <w:keepNext/>
      </w:pPr>
      <w:r>
        <w:rPr>
          <w:rStyle w:val="SectionNumber"/>
          <w:rFonts w:ascii="Noto Sans" w:hAnsi="Noto Sans" w:eastAsia="Noto Sans" w:cs="Noto Sans"/>
          <w:b/>
          <w:color w:val="008F87"/>
          <w:sz w:val="29"/>
        </w:rPr>
        <w:t xml:space="preserve">8.8</w:t>
      </w:r>
      <w:r>
        <w:rPr>
          <w:rFonts w:ascii="Noto Sans" w:hAnsi="Noto Sans" w:eastAsia="Noto Sans" w:cs="Noto Sans"/>
          <w:b/>
          <w:color w:val="008F87"/>
          <w:sz w:val="29"/>
        </w:rPr>
        <w:tab/>
      </w:r>
      <w:r>
        <w:rPr>
          <w:rFonts w:ascii="Noto Sans" w:hAnsi="Noto Sans" w:eastAsia="Noto Sans" w:cs="Noto Sans"/>
          <w:b/>
          <w:color w:val="008F87"/>
          <w:sz w:val="29"/>
        </w:rPr>
        <w:t xml:space="preserve">Reference table</w:t>
      </w:r>
    </w:p>
    <w:p>
      <w:pPr>
        <w:pStyle w:val="Caption"/>
        <w:keepNext/>
        <w:jc w:val="center"/>
      </w:pPr>
      <w:r>
        <w:rPr>
          <w:b/>
          <w:bCs/>
        </w:rPr>
        <w:t xml:space="preserve">Table 8. Chapter reference.</w:t>
      </w:r>
    </w:p>
    <w:tbl>
      <w:tblPr>
        <w:tblStyle w:val="Table"/>
        <w:tblW w:type="auto" w:w="0"/>
        <w:jc w:val="center"/>
        <w:tblLayout w:type="autofit"/>
        <w:tblLook w:firstRow="1" w:lastRow="0" w:firstColumn="0" w:lastColumn="0" w:noHBand="0" w:noVBand="0" w:val="0020"/>
      </w:tblPr>
      <w:tblGrid>
        <w:gridCol w:w="2640"/>
        <w:gridCol w:w="2640"/>
        <w:gridCol w:w="2640"/>
      </w:tblGrid>
      <w:tr>
        <w:trPr>
          <w:tblHeader w:val="on"/>
          <w:tblHeader w:val="true"/>
          <w:cantSplit/>
        </w:trPr>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0A2342" w:val="clear"/>
          </w:tcPr>
          <w:p>
            <w:pPr>
              <w:pStyle w:val="Compact"/>
              <w:spacing w:before="30" w:after="30" w:line="240" w:lineRule="auto"/>
              <w:jc w:val="left"/>
            </w:pPr>
            <w:r>
              <w:rPr>
                <w:rFonts w:ascii="Noto Sans" w:hAnsi="Noto Sans" w:eastAsia="Noto Sans" w:cs="Noto Sans"/>
                <w:b/>
                <w:color w:val="FFFFFF"/>
                <w:sz w:val="16"/>
              </w:rPr>
              <w:t xml:space="preserve">Concept</w:t>
            </w:r>
          </w:p>
        </w:tc>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0A2342" w:val="clear"/>
          </w:tcPr>
          <w:p>
            <w:pPr>
              <w:pStyle w:val="Compact"/>
              <w:spacing w:before="30" w:after="30" w:line="240" w:lineRule="auto"/>
              <w:jc w:val="left"/>
            </w:pPr>
            <w:r>
              <w:rPr>
                <w:rFonts w:ascii="Noto Sans" w:hAnsi="Noto Sans" w:eastAsia="Noto Sans" w:cs="Noto Sans"/>
                <w:b/>
                <w:color w:val="FFFFFF"/>
                <w:sz w:val="16"/>
              </w:rPr>
              <w:t xml:space="preserve">Question to ask</w:t>
            </w:r>
          </w:p>
        </w:tc>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0A2342" w:val="clear"/>
          </w:tcPr>
          <w:p>
            <w:pPr>
              <w:pStyle w:val="Compact"/>
              <w:spacing w:before="30" w:after="30" w:line="240" w:lineRule="auto"/>
              <w:jc w:val="left"/>
            </w:pPr>
            <w:r>
              <w:rPr>
                <w:rFonts w:ascii="Noto Sans" w:hAnsi="Noto Sans" w:eastAsia="Noto Sans" w:cs="Noto Sans"/>
                <w:b/>
                <w:color w:val="FFFFFF"/>
                <w:sz w:val="16"/>
              </w:rPr>
              <w:t xml:space="preserve">Typical check</w:t>
            </w:r>
          </w:p>
        </w:tc>
      </w:tr>
      <w:tr>
        <w:trPr>
          <w:cantSplit/>
        </w:trPr>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EEF4F8" w:val="clear"/>
          </w:tcPr>
          <w:p>
            <w:pPr>
              <w:pStyle w:val="Compact"/>
              <w:spacing w:before="30" w:after="30" w:line="240" w:lineRule="auto"/>
              <w:jc w:val="left"/>
            </w:pPr>
            <w:r>
              <w:rPr>
                <w:rFonts w:ascii="Noto Sans" w:hAnsi="Noto Sans" w:eastAsia="Noto Sans" w:cs="Noto Sans"/>
                <w:b w:val="0"/>
                <w:color w:val="18212B"/>
                <w:sz w:val="16"/>
              </w:rPr>
              <w:t xml:space="preserve">shape</w:t>
            </w:r>
          </w:p>
        </w:tc>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EEF4F8" w:val="clear"/>
          </w:tcPr>
          <w:p>
            <w:pPr>
              <w:pStyle w:val="Compact"/>
              <w:spacing w:before="30" w:after="30" w:line="240" w:lineRule="auto"/>
              <w:jc w:val="left"/>
            </w:pPr>
            <w:r>
              <w:rPr>
                <w:rFonts w:ascii="Noto Sans" w:hAnsi="Noto Sans" w:eastAsia="Noto Sans" w:cs="Noto Sans"/>
                <w:b w:val="0"/>
                <w:color w:val="18212B"/>
                <w:sz w:val="16"/>
              </w:rPr>
              <w:t xml:space="preserve">How many axes and elements?</w:t>
            </w:r>
          </w:p>
        </w:tc>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EEF4F8" w:val="clear"/>
          </w:tcPr>
          <w:p>
            <w:pPr>
              <w:pStyle w:val="Compact"/>
              <w:spacing w:before="30" w:after="30" w:line="240" w:lineRule="auto"/>
              <w:jc w:val="left"/>
            </w:pPr>
            <w:r>
              <w:rPr>
                <w:rFonts w:ascii="Noto Sans" w:hAnsi="Noto Sans" w:eastAsia="Noto Sans" w:cs="Noto Sans"/>
                <w:b w:val="0"/>
                <w:color w:val="18212B"/>
                <w:sz w:val="16"/>
              </w:rPr>
              <w:t xml:space="preserve">array.shape</w:t>
            </w:r>
          </w:p>
        </w:tc>
      </w:tr>
      <w:tr>
        <w:trPr>
          <w:cantSplit/>
        </w:trPr>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FFFFFF" w:val="clear"/>
          </w:tcPr>
          <w:p>
            <w:pPr>
              <w:pStyle w:val="Compact"/>
              <w:spacing w:before="30" w:after="30" w:line="240" w:lineRule="auto"/>
              <w:jc w:val="left"/>
            </w:pPr>
            <w:r>
              <w:rPr>
                <w:rFonts w:ascii="Noto Sans" w:hAnsi="Noto Sans" w:eastAsia="Noto Sans" w:cs="Noto Sans"/>
                <w:b w:val="0"/>
                <w:color w:val="18212B"/>
                <w:sz w:val="16"/>
              </w:rPr>
              <w:t xml:space="preserve">dtype</w:t>
            </w:r>
          </w:p>
        </w:tc>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FFFFFF" w:val="clear"/>
          </w:tcPr>
          <w:p>
            <w:pPr>
              <w:pStyle w:val="Compact"/>
              <w:spacing w:before="30" w:after="30" w:line="240" w:lineRule="auto"/>
              <w:jc w:val="left"/>
            </w:pPr>
            <w:r>
              <w:rPr>
                <w:rFonts w:ascii="Noto Sans" w:hAnsi="Noto Sans" w:eastAsia="Noto Sans" w:cs="Noto Sans"/>
                <w:b w:val="0"/>
                <w:color w:val="18212B"/>
                <w:sz w:val="16"/>
              </w:rPr>
              <w:t xml:space="preserve">How are values stored?</w:t>
            </w:r>
          </w:p>
        </w:tc>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FFFFFF" w:val="clear"/>
          </w:tcPr>
          <w:p>
            <w:pPr>
              <w:pStyle w:val="Compact"/>
              <w:spacing w:before="30" w:after="30" w:line="240" w:lineRule="auto"/>
              <w:jc w:val="left"/>
            </w:pPr>
            <w:r>
              <w:rPr>
                <w:rFonts w:ascii="Noto Sans" w:hAnsi="Noto Sans" w:eastAsia="Noto Sans" w:cs="Noto Sans"/>
                <w:b w:val="0"/>
                <w:color w:val="18212B"/>
                <w:sz w:val="16"/>
              </w:rPr>
              <w:t xml:space="preserve">array.dtype</w:t>
            </w:r>
          </w:p>
        </w:tc>
      </w:tr>
      <w:tr>
        <w:trPr>
          <w:cantSplit/>
        </w:trPr>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EEF4F8" w:val="clear"/>
          </w:tcPr>
          <w:p>
            <w:pPr>
              <w:pStyle w:val="Compact"/>
              <w:spacing w:before="30" w:after="30" w:line="240" w:lineRule="auto"/>
              <w:jc w:val="left"/>
            </w:pPr>
            <w:r>
              <w:rPr>
                <w:rFonts w:ascii="Noto Sans" w:hAnsi="Noto Sans" w:eastAsia="Noto Sans" w:cs="Noto Sans"/>
                <w:b w:val="0"/>
                <w:color w:val="18212B"/>
                <w:sz w:val="16"/>
              </w:rPr>
              <w:t xml:space="preserve">broadcast</w:t>
            </w:r>
          </w:p>
        </w:tc>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EEF4F8" w:val="clear"/>
          </w:tcPr>
          <w:p>
            <w:pPr>
              <w:pStyle w:val="Compact"/>
              <w:spacing w:before="30" w:after="30" w:line="240" w:lineRule="auto"/>
              <w:jc w:val="left"/>
            </w:pPr>
            <w:r>
              <w:rPr>
                <w:rFonts w:ascii="Noto Sans" w:hAnsi="Noto Sans" w:eastAsia="Noto Sans" w:cs="Noto Sans"/>
                <w:b w:val="0"/>
                <w:color w:val="18212B"/>
                <w:sz w:val="16"/>
              </w:rPr>
              <w:t xml:space="preserve">Which dimensions are expanded?</w:t>
            </w:r>
          </w:p>
        </w:tc>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EEF4F8" w:val="clear"/>
          </w:tcPr>
          <w:p>
            <w:pPr>
              <w:pStyle w:val="Compact"/>
              <w:spacing w:before="30" w:after="30" w:line="240" w:lineRule="auto"/>
              <w:jc w:val="left"/>
            </w:pPr>
            <w:r>
              <w:rPr>
                <w:rFonts w:ascii="Noto Sans" w:hAnsi="Noto Sans" w:eastAsia="Noto Sans" w:cs="Noto Sans"/>
                <w:b w:val="0"/>
                <w:color w:val="18212B"/>
                <w:sz w:val="16"/>
              </w:rPr>
              <w:t xml:space="preserve">compare shapes</w:t>
            </w:r>
          </w:p>
        </w:tc>
      </w:tr>
      <w:tr>
        <w:trPr>
          <w:cantSplit/>
        </w:trPr>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FFFFFF" w:val="clear"/>
          </w:tcPr>
          <w:p>
            <w:pPr>
              <w:pStyle w:val="Compact"/>
              <w:spacing w:before="30" w:after="30" w:line="240" w:lineRule="auto"/>
              <w:jc w:val="left"/>
            </w:pPr>
            <w:r>
              <w:rPr>
                <w:rFonts w:ascii="Noto Sans" w:hAnsi="Noto Sans" w:eastAsia="Noto Sans" w:cs="Noto Sans"/>
                <w:b w:val="0"/>
                <w:color w:val="18212B"/>
                <w:sz w:val="16"/>
              </w:rPr>
              <w:t xml:space="preserve">seed</w:t>
            </w:r>
          </w:p>
        </w:tc>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FFFFFF" w:val="clear"/>
          </w:tcPr>
          <w:p>
            <w:pPr>
              <w:pStyle w:val="Compact"/>
              <w:spacing w:before="30" w:after="30" w:line="240" w:lineRule="auto"/>
              <w:jc w:val="left"/>
            </w:pPr>
            <w:r>
              <w:rPr>
                <w:rFonts w:ascii="Noto Sans" w:hAnsi="Noto Sans" w:eastAsia="Noto Sans" w:cs="Noto Sans"/>
                <w:b w:val="0"/>
                <w:color w:val="18212B"/>
                <w:sz w:val="16"/>
              </w:rPr>
              <w:t xml:space="preserve">Can the simulation be repeated?</w:t>
            </w:r>
          </w:p>
        </w:tc>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FFFFFF" w:val="clear"/>
          </w:tcPr>
          <w:p>
            <w:pPr>
              <w:pStyle w:val="Compact"/>
              <w:spacing w:before="30" w:after="30" w:line="240" w:lineRule="auto"/>
              <w:jc w:val="left"/>
            </w:pPr>
            <w:r>
              <w:rPr>
                <w:rFonts w:ascii="Noto Sans" w:hAnsi="Noto Sans" w:eastAsia="Noto Sans" w:cs="Noto Sans"/>
                <w:b w:val="0"/>
                <w:color w:val="18212B"/>
                <w:sz w:val="16"/>
              </w:rPr>
              <w:t xml:space="preserve">record generator seed</w:t>
            </w:r>
          </w:p>
        </w:tc>
      </w:tr>
    </w:tbl>
    <w:p>
      <w:pPr>
        <w:pStyle w:val="BlockText"/>
        <w:shd w:fill="EAF7F5" w:val="clear"/>
        <w:pBdr>
          <w:left w:val="single" w:sz="18" w:space="8" w:color="008F87"/>
        </w:pBdr>
      </w:pPr>
      <w:r>
        <w:rPr>
          <w:b/>
          <w:bCs/>
        </w:rPr>
        <w:t xml:space="preserve">Why This Matters</w:t>
      </w:r>
    </w:p>
    <w:p>
      <w:pPr>
        <w:pStyle w:val="BlockText"/>
        <w:shd w:fill="EAF7F5" w:val="clear"/>
        <w:pBdr>
          <w:left w:val="single" w:sz="18" w:space="8" w:color="008F87"/>
        </w:pBdr>
      </w:pPr>
      <w:r>
        <w:t xml:space="preserve">NumPy is the numerical foundation beneath pandas, statsmodels, scikit-learn, and much of scientific Python.</w:t>
      </w:r>
    </w:p>
    <w:p>
      <w:pPr>
        <w:pStyle w:val="BlockText"/>
        <w:shd w:fill="EAF7F5" w:val="clear"/>
        <w:pBdr>
          <w:left w:val="single" w:sz="18" w:space="8" w:color="008F87"/>
        </w:pBdr>
      </w:pPr>
      <w:r>
        <w:rPr>
          <w:b/>
          <w:bCs/>
        </w:rPr>
        <w:t xml:space="preserve">Common Mistake</w:t>
      </w:r>
    </w:p>
    <w:p>
      <w:pPr>
        <w:pStyle w:val="BlockText"/>
        <w:shd w:fill="EAF7F5" w:val="clear"/>
        <w:pBdr>
          <w:left w:val="single" w:sz="18" w:space="8" w:color="008F87"/>
        </w:pBdr>
      </w:pPr>
      <w:r>
        <w:t xml:space="preserve">Assuming two arrays align because their lengths match. Variables may be in a different order even when the shapes are compatible.</w:t>
      </w:r>
    </w:p>
    <w:p>
      <w:pPr>
        <w:pStyle w:val="BlockText"/>
        <w:shd w:fill="EAF7F5" w:val="clear"/>
        <w:pBdr>
          <w:left w:val="single" w:sz="18" w:space="8" w:color="008F87"/>
        </w:pBdr>
      </w:pPr>
      <w:r>
        <w:rPr>
          <w:b/>
          <w:bCs/>
        </w:rPr>
        <w:t xml:space="preserve">Ceteris LAB Tip</w:t>
      </w:r>
    </w:p>
    <w:p>
      <w:pPr>
        <w:pStyle w:val="BlockText"/>
        <w:shd w:fill="EAF7F5" w:val="clear"/>
        <w:pBdr>
          <w:left w:val="single" w:sz="18" w:space="8" w:color="008F87"/>
        </w:pBdr>
      </w:pPr>
      <w:r>
        <w:t xml:space="preserve">Print shapes at analytical boundaries: after loading, after feature construction, and before model fitting.</w:t>
      </w:r>
    </w:p>
    <w:p>
      <w:pPr>
        <w:pStyle w:val="BlockText"/>
        <w:shd w:fill="EAF7F5" w:val="clear"/>
        <w:pBdr>
          <w:left w:val="single" w:sz="18" w:space="8" w:color="008F87"/>
        </w:pBdr>
      </w:pPr>
      <w:r>
        <w:rPr>
          <w:b/>
          <w:bCs/>
        </w:rPr>
        <w:t xml:space="preserve">R-to-Python / Source Bridge</w:t>
      </w:r>
    </w:p>
    <w:p>
      <w:pPr>
        <w:pStyle w:val="BlockText"/>
        <w:shd w:fill="EAF7F5" w:val="clear"/>
        <w:pBdr>
          <w:left w:val="single" w:sz="18" w:space="8" w:color="008F87"/>
        </w:pBdr>
      </w:pPr>
      <w:r>
        <w:t xml:space="preserve">The source lectures relied on R vectors and matrix operations. NumPy provides the equivalent numerical foundation while making shape and dtype explicit.</w:t>
      </w:r>
    </w:p>
    <w:bookmarkEnd w:id="166"/>
    <w:bookmarkStart w:id="167" w:name="guided-practice-7"/>
    <w:p>
      <w:pPr>
        <w:pStyle w:val="Heading2"/>
        <w:keepNext/>
      </w:pPr>
      <w:r>
        <w:rPr>
          <w:rStyle w:val="SectionNumber"/>
          <w:rFonts w:ascii="Noto Sans" w:hAnsi="Noto Sans" w:eastAsia="Noto Sans" w:cs="Noto Sans"/>
          <w:b/>
          <w:color w:val="008F87"/>
          <w:sz w:val="29"/>
        </w:rPr>
        <w:t xml:space="preserve">8.9</w:t>
      </w:r>
      <w:r>
        <w:rPr>
          <w:rFonts w:ascii="Noto Sans" w:hAnsi="Noto Sans" w:eastAsia="Noto Sans" w:cs="Noto Sans"/>
          <w:b/>
          <w:color w:val="008F87"/>
          <w:sz w:val="29"/>
        </w:rPr>
        <w:tab/>
      </w:r>
      <w:r>
        <w:rPr>
          <w:rFonts w:ascii="Noto Sans" w:hAnsi="Noto Sans" w:eastAsia="Noto Sans" w:cs="Noto Sans"/>
          <w:b/>
          <w:color w:val="008F87"/>
          <w:sz w:val="29"/>
        </w:rPr>
        <w:t xml:space="preserve">Guided practice</w:t>
      </w:r>
    </w:p>
    <w:p>
      <w:pPr>
        <w:pStyle w:val="Compact"/>
        <w:numPr>
          <w:ilvl w:val="0"/>
          <w:numId w:val="1032"/>
        </w:numPr>
      </w:pPr>
      <w:r>
        <w:t xml:space="preserve">Re-run Demonstration 8.1 and change one input while keeping the analytical question fixed.</w:t>
      </w:r>
    </w:p>
    <w:p>
      <w:pPr>
        <w:pStyle w:val="Compact"/>
        <w:numPr>
          <w:ilvl w:val="0"/>
          <w:numId w:val="1032"/>
        </w:numPr>
      </w:pPr>
      <w:r>
        <w:t xml:space="preserve">Explain in two sentences how the output supports, or fails to support, the chapter opening question.</w:t>
      </w:r>
    </w:p>
    <w:p>
      <w:pPr>
        <w:pStyle w:val="Compact"/>
        <w:numPr>
          <w:ilvl w:val="0"/>
          <w:numId w:val="1032"/>
        </w:numPr>
      </w:pPr>
      <w:r>
        <w:t xml:space="preserve">Add one validation check that would prevent a plausible error.</w:t>
      </w:r>
    </w:p>
    <w:bookmarkEnd w:id="167"/>
    <w:bookmarkStart w:id="168" w:name="exercises-7"/>
    <w:p>
      <w:pPr>
        <w:pStyle w:val="Heading2"/>
        <w:keepNext/>
      </w:pPr>
      <w:r>
        <w:rPr>
          <w:rStyle w:val="SectionNumber"/>
          <w:rFonts w:ascii="Noto Sans" w:hAnsi="Noto Sans" w:eastAsia="Noto Sans" w:cs="Noto Sans"/>
          <w:b/>
          <w:color w:val="008F87"/>
          <w:sz w:val="29"/>
        </w:rPr>
        <w:t xml:space="preserve">8.10</w:t>
      </w:r>
      <w:r>
        <w:rPr>
          <w:rFonts w:ascii="Noto Sans" w:hAnsi="Noto Sans" w:eastAsia="Noto Sans" w:cs="Noto Sans"/>
          <w:b/>
          <w:color w:val="008F87"/>
          <w:sz w:val="29"/>
        </w:rPr>
        <w:tab/>
      </w:r>
      <w:r>
        <w:rPr>
          <w:rFonts w:ascii="Noto Sans" w:hAnsi="Noto Sans" w:eastAsia="Noto Sans" w:cs="Noto Sans"/>
          <w:b/>
          <w:color w:val="008F87"/>
          <w:sz w:val="29"/>
        </w:rPr>
        <w:t xml:space="preserve">Exercises</w:t>
      </w:r>
    </w:p>
    <w:p>
      <w:pPr>
        <w:pStyle w:val="Compact"/>
        <w:numPr>
          <w:ilvl w:val="0"/>
          <w:numId w:val="1033"/>
        </w:numPr>
      </w:pPr>
      <w:r>
        <w:t xml:space="preserve">Create a 3 by 2 array and inspect its shape.</w:t>
      </w:r>
    </w:p>
    <w:p>
      <w:pPr>
        <w:pStyle w:val="Compact"/>
        <w:numPr>
          <w:ilvl w:val="0"/>
          <w:numId w:val="1033"/>
        </w:numPr>
      </w:pPr>
      <w:r>
        <w:t xml:space="preserve">Calculate column means and demean the array using broadcasting.</w:t>
      </w:r>
    </w:p>
    <w:p>
      <w:pPr>
        <w:pStyle w:val="Compact"/>
        <w:numPr>
          <w:ilvl w:val="0"/>
          <w:numId w:val="1033"/>
        </w:numPr>
      </w:pPr>
      <w:r>
        <w:t xml:space="preserve">Simulate 1,000 standard-normal values with a generator.</w:t>
      </w:r>
    </w:p>
    <w:p>
      <w:pPr>
        <w:pStyle w:val="Compact"/>
        <w:numPr>
          <w:ilvl w:val="0"/>
          <w:numId w:val="1033"/>
        </w:numPr>
      </w:pPr>
      <w:r>
        <w:t xml:space="preserve">Compute a weighted portfolio return using a dot product.</w:t>
      </w:r>
    </w:p>
    <w:bookmarkEnd w:id="168"/>
    <w:bookmarkStart w:id="169" w:name="chapter-summary-7"/>
    <w:p>
      <w:pPr>
        <w:pStyle w:val="Heading2"/>
        <w:keepNext/>
      </w:pPr>
      <w:r>
        <w:rPr>
          <w:rStyle w:val="SectionNumber"/>
          <w:rFonts w:ascii="Noto Sans" w:hAnsi="Noto Sans" w:eastAsia="Noto Sans" w:cs="Noto Sans"/>
          <w:b/>
          <w:color w:val="008F87"/>
          <w:sz w:val="29"/>
        </w:rPr>
        <w:t xml:space="preserve">8.11</w:t>
      </w:r>
      <w:r>
        <w:rPr>
          <w:rFonts w:ascii="Noto Sans" w:hAnsi="Noto Sans" w:eastAsia="Noto Sans" w:cs="Noto Sans"/>
          <w:b/>
          <w:color w:val="008F87"/>
          <w:sz w:val="29"/>
        </w:rPr>
        <w:tab/>
      </w:r>
      <w:r>
        <w:rPr>
          <w:rFonts w:ascii="Noto Sans" w:hAnsi="Noto Sans" w:eastAsia="Noto Sans" w:cs="Noto Sans"/>
          <w:b/>
          <w:color w:val="008F87"/>
          <w:sz w:val="29"/>
        </w:rPr>
        <w:t xml:space="preserve">Chapter summary</w:t>
      </w:r>
    </w:p>
    <w:p>
      <w:pPr>
        <w:pStyle w:val="Compact"/>
        <w:numPr>
          <w:ilvl w:val="0"/>
          <w:numId w:val="1034"/>
        </w:numPr>
      </w:pPr>
      <w:r>
        <w:t xml:space="preserve">NumPy arrays combine regular shape with efficient numerical operations.</w:t>
      </w:r>
    </w:p>
    <w:p>
      <w:pPr>
        <w:pStyle w:val="Compact"/>
        <w:numPr>
          <w:ilvl w:val="0"/>
          <w:numId w:val="1034"/>
        </w:numPr>
      </w:pPr>
      <w:r>
        <w:t xml:space="preserve">Vectorization and broadcasting can clarify mathematical structure.</w:t>
      </w:r>
    </w:p>
    <w:p>
      <w:pPr>
        <w:pStyle w:val="Compact"/>
        <w:numPr>
          <w:ilvl w:val="0"/>
          <w:numId w:val="1034"/>
        </w:numPr>
      </w:pPr>
      <w:r>
        <w:t xml:space="preserve">Local random generators improve reproducibility.</w:t>
      </w:r>
    </w:p>
    <w:bookmarkEnd w:id="169"/>
    <w:bookmarkStart w:id="170" w:name="key-python-commands-7"/>
    <w:p>
      <w:pPr>
        <w:pStyle w:val="Heading2"/>
        <w:keepNext/>
      </w:pPr>
      <w:r>
        <w:rPr>
          <w:rStyle w:val="SectionNumber"/>
          <w:rFonts w:ascii="Noto Sans" w:hAnsi="Noto Sans" w:eastAsia="Noto Sans" w:cs="Noto Sans"/>
          <w:b/>
          <w:color w:val="008F87"/>
          <w:sz w:val="29"/>
        </w:rPr>
        <w:t xml:space="preserve">8.12</w:t>
      </w:r>
      <w:r>
        <w:rPr>
          <w:rFonts w:ascii="Noto Sans" w:hAnsi="Noto Sans" w:eastAsia="Noto Sans" w:cs="Noto Sans"/>
          <w:b/>
          <w:color w:val="008F87"/>
          <w:sz w:val="29"/>
        </w:rPr>
        <w:tab/>
      </w:r>
      <w:r>
        <w:rPr>
          <w:rFonts w:ascii="Noto Sans" w:hAnsi="Noto Sans" w:eastAsia="Noto Sans" w:cs="Noto Sans"/>
          <w:b/>
          <w:color w:val="008F87"/>
          <w:sz w:val="29"/>
        </w:rPr>
        <w:t xml:space="preserve">Key Python commands</w:t>
      </w:r>
    </w:p>
    <w:p>
      <w:pPr>
        <w:pStyle w:val="SourceCode"/>
        <w:keepLines/>
        <w:shd w:fill="F6F8FA" w:val="clear"/>
      </w:pPr>
      <w:r>
        <w:rPr>
          <w:rStyle w:val="ImportTok"/>
        </w:rPr>
        <w:t xml:space="preserve">import</w:t>
      </w:r>
      <w:r>
        <w:rPr>
          <w:rStyle w:val="NormalTok"/>
        </w:rPr>
        <w:t xml:space="preserve"> numpy </w:t>
      </w:r>
      <w:r>
        <w:rPr>
          <w:rStyle w:val="ImportTok"/>
        </w:rPr>
        <w:t xml:space="preserve">as</w:t>
      </w:r>
      <w:r>
        <w:rPr>
          <w:rStyle w:val="NormalTok"/>
        </w:rPr>
        <w:t xml:space="preserve"> np</w:t>
      </w:r>
      <w:r>
        <w:br/>
      </w:r>
      <w:r>
        <w:rPr>
          <w:rStyle w:val="NormalTok"/>
        </w:rPr>
        <w:t xml:space="preserve">prices </w:t>
      </w:r>
      <w:r>
        <w:rPr>
          <w:rStyle w:val="OperatorTok"/>
        </w:rPr>
        <w:t xml:space="preserve">=</w:t>
      </w:r>
      <w:r>
        <w:rPr>
          <w:rStyle w:val="NormalTok"/>
        </w:rPr>
        <w:t xml:space="preserve"> np.array([</w:t>
      </w:r>
      <w:r>
        <w:rPr>
          <w:rStyle w:val="FloatTok"/>
        </w:rPr>
        <w:t xml:space="preserve">100.0</w:t>
      </w:r>
      <w:r>
        <w:rPr>
          <w:rStyle w:val="NormalTok"/>
        </w:rPr>
        <w:t xml:space="preserve">, </w:t>
      </w:r>
      <w:r>
        <w:rPr>
          <w:rStyle w:val="FloatTok"/>
        </w:rPr>
        <w:t xml:space="preserve">102.0</w:t>
      </w:r>
      <w:r>
        <w:rPr>
          <w:rStyle w:val="NormalTok"/>
        </w:rPr>
        <w:t xml:space="preserve">, </w:t>
      </w:r>
      <w:r>
        <w:rPr>
          <w:rStyle w:val="FloatTok"/>
        </w:rPr>
        <w:t xml:space="preserve">101.0</w:t>
      </w:r>
      <w:r>
        <w:rPr>
          <w:rStyle w:val="NormalTok"/>
        </w:rPr>
        <w:t xml:space="preserve">, </w:t>
      </w:r>
      <w:r>
        <w:rPr>
          <w:rStyle w:val="FloatTok"/>
        </w:rPr>
        <w:t xml:space="preserve">104.0</w:t>
      </w:r>
      <w:r>
        <w:rPr>
          <w:rStyle w:val="NormalTok"/>
        </w:rPr>
        <w:t xml:space="preserve">])</w:t>
      </w:r>
      <w:r>
        <w:br/>
      </w:r>
      <w:r>
        <w:rPr>
          <w:rStyle w:val="BuiltInTok"/>
        </w:rPr>
        <w:t xml:space="preserve">print</w:t>
      </w:r>
      <w:r>
        <w:rPr>
          <w:rStyle w:val="NormalTok"/>
        </w:rPr>
        <w:t xml:space="preserve">(np.</w:t>
      </w:r>
      <w:r>
        <w:rPr>
          <w:rStyle w:val="BuiltInTok"/>
        </w:rPr>
        <w:t xml:space="preserve">round</w:t>
      </w:r>
      <w:r>
        <w:rPr>
          <w:rStyle w:val="NormalTok"/>
        </w:rPr>
        <w:t xml:space="preserve">(returns, </w:t>
      </w:r>
      <w:r>
        <w:rPr>
          <w:rStyle w:val="DecValTok"/>
        </w:rPr>
        <w:t xml:space="preserve">4</w:t>
      </w:r>
      <w:r>
        <w:rPr>
          <w:rStyle w:val="NormalTok"/>
        </w:rPr>
        <w:t xml:space="preserve">))</w:t>
      </w:r>
      <w:r>
        <w:br/>
      </w:r>
      <w:r>
        <w:rPr>
          <w:rStyle w:val="ImportTok"/>
        </w:rPr>
        <w:t xml:space="preserve">import</w:t>
      </w:r>
      <w:r>
        <w:rPr>
          <w:rStyle w:val="NormalTok"/>
        </w:rPr>
        <w:t xml:space="preserve"> numpy </w:t>
      </w:r>
      <w:r>
        <w:rPr>
          <w:rStyle w:val="ImportTok"/>
        </w:rPr>
        <w:t xml:space="preserve">as</w:t>
      </w:r>
      <w:r>
        <w:rPr>
          <w:rStyle w:val="NormalTok"/>
        </w:rPr>
        <w:t xml:space="preserve"> np</w:t>
      </w:r>
      <w:r>
        <w:br/>
      </w:r>
      <w:r>
        <w:rPr>
          <w:rStyle w:val="NormalTok"/>
        </w:rPr>
        <w:t xml:space="preserve">rng </w:t>
      </w:r>
      <w:r>
        <w:rPr>
          <w:rStyle w:val="OperatorTok"/>
        </w:rPr>
        <w:t xml:space="preserve">=</w:t>
      </w:r>
      <w:r>
        <w:rPr>
          <w:rStyle w:val="NormalTok"/>
        </w:rPr>
        <w:t xml:space="preserve"> np.random.default_rng(</w:t>
      </w:r>
      <w:r>
        <w:rPr>
          <w:rStyle w:val="DecValTok"/>
        </w:rPr>
        <w:t xml:space="preserve">41202</w:t>
      </w:r>
      <w:r>
        <w:rPr>
          <w:rStyle w:val="NormalTok"/>
        </w:rPr>
        <w:t xml:space="preserve">)</w:t>
      </w:r>
      <w:r>
        <w:br/>
      </w:r>
      <w:r>
        <w:rPr>
          <w:rStyle w:val="NormalTok"/>
        </w:rPr>
        <w:t xml:space="preserve">asset_returns </w:t>
      </w:r>
      <w:r>
        <w:rPr>
          <w:rStyle w:val="OperatorTok"/>
        </w:rPr>
        <w:t xml:space="preserve">=</w:t>
      </w:r>
      <w:r>
        <w:rPr>
          <w:rStyle w:val="NormalTok"/>
        </w:rPr>
        <w:t xml:space="preserve"> rng.normal([</w:t>
      </w:r>
      <w:r>
        <w:rPr>
          <w:rStyle w:val="FloatTok"/>
        </w:rPr>
        <w:t xml:space="preserve">0.0003</w:t>
      </w:r>
      <w:r>
        <w:rPr>
          <w:rStyle w:val="NormalTok"/>
        </w:rPr>
        <w:t xml:space="preserve">, </w:t>
      </w:r>
      <w:r>
        <w:rPr>
          <w:rStyle w:val="FloatTok"/>
        </w:rPr>
        <w:t xml:space="preserve">0.0002</w:t>
      </w:r>
      <w:r>
        <w:rPr>
          <w:rStyle w:val="NormalTok"/>
        </w:rPr>
        <w:t xml:space="preserve">], [</w:t>
      </w:r>
      <w:r>
        <w:rPr>
          <w:rStyle w:val="FloatTok"/>
        </w:rPr>
        <w:t xml:space="preserve">0.012</w:t>
      </w:r>
      <w:r>
        <w:rPr>
          <w:rStyle w:val="NormalTok"/>
        </w:rPr>
        <w:t xml:space="preserve">, </w:t>
      </w:r>
      <w:r>
        <w:rPr>
          <w:rStyle w:val="FloatTok"/>
        </w:rPr>
        <w:t xml:space="preserve">0.007</w:t>
      </w:r>
      <w:r>
        <w:rPr>
          <w:rStyle w:val="NormalTok"/>
        </w:rPr>
        <w:t xml:space="preserve">], size</w:t>
      </w:r>
      <w:r>
        <w:rPr>
          <w:rStyle w:val="OperatorTok"/>
        </w:rPr>
        <w:t xml:space="preserve">=</w:t>
      </w:r>
      <w:r>
        <w:rPr>
          <w:rStyle w:val="NormalTok"/>
        </w:rPr>
        <w:t xml:space="preserve">(</w:t>
      </w:r>
      <w:r>
        <w:rPr>
          <w:rStyle w:val="DecValTok"/>
        </w:rPr>
        <w:t xml:space="preserve">5</w:t>
      </w:r>
      <w:r>
        <w:rPr>
          <w:rStyle w:val="NormalTok"/>
        </w:rPr>
        <w:t xml:space="preserve">, </w:t>
      </w:r>
      <w:r>
        <w:rPr>
          <w:rStyle w:val="DecValTok"/>
        </w:rPr>
        <w:t xml:space="preserve">2</w:t>
      </w:r>
      <w:r>
        <w:rPr>
          <w:rStyle w:val="NormalTok"/>
        </w:rPr>
        <w:t xml:space="preserve">))</w:t>
      </w:r>
    </w:p>
    <w:bookmarkEnd w:id="170"/>
    <w:bookmarkEnd w:id="171"/>
    <w:bookmarkStart w:id="172" w:name="X94dad3b78ee95de4d27cc446b60ca8192f9432e"/>
    <w:p>
      <w:pPr>
        <w:keepNext/>
        <w:pageBreakBefore/>
        <w:spacing w:before="1360" w:after="240"/>
        <w:jc w:val="center"/>
      </w:pPr>
      <w:r>
        <w:drawing>
          <wp:inline>
            <wp:extent cx="4297680" cy="2418730"/>
            <wp:docPr id="736" name="Picture 736" descr="Image: rId20.png"/>
            <wp:cNvGraphicFramePr>
              <a:graphicFrameLocks noChangeAspect="1"/>
            </wp:cNvGraphicFramePr>
            <a:graphic>
              <a:graphicData uri="http://schemas.openxmlformats.org/drawingml/2006/picture">
                <pic:pic>
                  <pic:nvPicPr>
                    <pic:cNvPr id="0" name="image.png"/>
                    <pic:cNvPicPr/>
                  </pic:nvPicPr>
                  <pic:blipFill>
                    <a:blip r:embed="rId20"/>
                    <a:stretch>
                      <a:fillRect/>
                    </a:stretch>
                  </pic:blipFill>
                  <pic:spPr>
                    <a:xfrm>
                      <a:off x="0" y="0"/>
                      <a:ext cx="4297680" cy="2418730"/>
                    </a:xfrm>
                    <a:prstGeom prst="rect"/>
                  </pic:spPr>
                </pic:pic>
              </a:graphicData>
            </a:graphic>
          </wp:inline>
        </w:drawing>
      </w:r>
    </w:p>
    <w:p>
      <w:pPr>
        <w:pStyle w:val="PartTitle"/>
        <w:keepNext/>
        <w:pageBreakBefore w:val="0"/>
      </w:pPr>
      <w:r>
        <w:rPr>
          <w:rFonts w:ascii="Noto Sans" w:hAnsi="Noto Sans" w:eastAsia="Noto Sans" w:cs="Noto Sans"/>
          <w:b/>
          <w:color w:val="0A2342"/>
          <w:sz w:val="28"/>
        </w:rPr>
        <w:t>PART II</w:t>
        <w:br/>
      </w:r>
      <w:r>
        <w:rPr>
          <w:rFonts w:ascii="Noto Sans" w:hAnsi="Noto Sans" w:eastAsia="Noto Sans" w:cs="Noto Sans"/>
          <w:b/>
          <w:color w:val="008F87"/>
          <w:sz w:val="56"/>
        </w:rPr>
        <w:t>Data Analysis, Statistics, and Econometrics</w:t>
      </w:r>
    </w:p>
    <w:p>
      <w:pPr>
        <w:pStyle w:val="PartTagline"/>
      </w:pPr>
      <w:r>
        <w:t>LEARN  •  ANALYZE  •  UNDERSTAND</w:t>
      </w:r>
    </w:p>
    <w:p>
      <w:pPr>
        <w:pStyle w:val="PartTagline"/>
      </w:pPr>
      <w:r>
        <w:t>Ceteris LAB  |  econometrics.safavim.com</w:t>
      </w:r>
    </w:p>
    <w:bookmarkEnd w:id="172"/>
    <w:bookmarkStart w:id="189" w:name="pandas-fundamentals"/>
    <w:p>
      <w:pPr>
        <w:pStyle w:val="Heading1"/>
        <w:keepNext/>
        <w:pageBreakBefore/>
      </w:pPr>
      <w:r>
        <w:rPr>
          <w:rStyle w:val="SectionNumber"/>
          <w:rFonts w:ascii="Noto Sans" w:hAnsi="Noto Sans" w:eastAsia="Noto Sans" w:cs="Noto Sans"/>
          <w:b/>
          <w:color w:val="0A2342"/>
          <w:sz w:val="43"/>
        </w:rPr>
        <w:t xml:space="preserve">9</w:t>
      </w:r>
      <w:r>
        <w:rPr>
          <w:rFonts w:ascii="Noto Sans" w:hAnsi="Noto Sans" w:eastAsia="Noto Sans" w:cs="Noto Sans"/>
          <w:b/>
          <w:color w:val="0A2342"/>
          <w:sz w:val="43"/>
        </w:rPr>
        <w:tab/>
      </w:r>
      <w:r>
        <w:rPr>
          <w:rFonts w:ascii="Noto Sans" w:hAnsi="Noto Sans" w:eastAsia="Noto Sans" w:cs="Noto Sans"/>
          <w:b/>
          <w:color w:val="0A2342"/>
          <w:sz w:val="43"/>
        </w:rPr>
        <w:t xml:space="preserve">pandas Fundamentals</w:t>
      </w:r>
    </w:p>
    <w:p>
      <w:pPr>
        <w:pStyle w:val="FirstParagraph"/>
      </w:pPr>
      <w:r>
        <w:rPr>
          <w:i/>
          <w:iCs/>
        </w:rPr>
        <w:t xml:space="preserve">Opening question:</w:t>
      </w:r>
      <w:r>
        <w:t xml:space="preserve"> </w:t>
      </w:r>
      <w:r>
        <w:rPr>
          <w:b/>
          <w:bCs/>
        </w:rPr>
        <w:t xml:space="preserve">How can a rectangular dataset preserve labels, dates, and missing values while supporting fast analysis?</w:t>
      </w:r>
    </w:p>
    <w:bookmarkStart w:id="173" w:name="learning-objectives-8"/>
    <w:p>
      <w:pPr>
        <w:pStyle w:val="Heading2"/>
        <w:keepNext/>
      </w:pPr>
      <w:r>
        <w:rPr>
          <w:rStyle w:val="SectionNumber"/>
          <w:rFonts w:ascii="Noto Sans" w:hAnsi="Noto Sans" w:eastAsia="Noto Sans" w:cs="Noto Sans"/>
          <w:b/>
          <w:color w:val="008F87"/>
          <w:sz w:val="29"/>
        </w:rPr>
        <w:t xml:space="preserve">9.1</w:t>
      </w:r>
      <w:r>
        <w:rPr>
          <w:rFonts w:ascii="Noto Sans" w:hAnsi="Noto Sans" w:eastAsia="Noto Sans" w:cs="Noto Sans"/>
          <w:b/>
          <w:color w:val="008F87"/>
          <w:sz w:val="29"/>
        </w:rPr>
        <w:tab/>
      </w:r>
      <w:r>
        <w:rPr>
          <w:rFonts w:ascii="Noto Sans" w:hAnsi="Noto Sans" w:eastAsia="Noto Sans" w:cs="Noto Sans"/>
          <w:b/>
          <w:color w:val="008F87"/>
          <w:sz w:val="29"/>
        </w:rPr>
        <w:t xml:space="preserve">Learning objectives</w:t>
      </w:r>
    </w:p>
    <w:p>
      <w:pPr>
        <w:pStyle w:val="Compact"/>
        <w:numPr>
          <w:ilvl w:val="0"/>
          <w:numId w:val="1035"/>
        </w:numPr>
      </w:pPr>
      <w:r>
        <w:t xml:space="preserve">Create Series and DataFrames.</w:t>
      </w:r>
    </w:p>
    <w:p>
      <w:pPr>
        <w:pStyle w:val="Compact"/>
        <w:numPr>
          <w:ilvl w:val="0"/>
          <w:numId w:val="1035"/>
        </w:numPr>
      </w:pPr>
      <w:r>
        <w:t xml:space="preserve">Inspect rows, columns, indexes, and dtypes.</w:t>
      </w:r>
    </w:p>
    <w:p>
      <w:pPr>
        <w:pStyle w:val="Compact"/>
        <w:numPr>
          <w:ilvl w:val="0"/>
          <w:numId w:val="1035"/>
        </w:numPr>
      </w:pPr>
      <w:r>
        <w:t xml:space="preserve">Select, filter, sort, and assign variables.</w:t>
      </w:r>
    </w:p>
    <w:p>
      <w:pPr>
        <w:pStyle w:val="Compact"/>
        <w:numPr>
          <w:ilvl w:val="0"/>
          <w:numId w:val="1035"/>
        </w:numPr>
      </w:pPr>
      <w:r>
        <w:t xml:space="preserve">Use method chains without hiding intermediate meaning.</w:t>
      </w:r>
    </w:p>
    <w:p>
      <w:pPr>
        <w:pStyle w:val="FirstParagraph"/>
      </w:pPr>
      <w:r>
        <w:rPr>
          <w:b/>
          <w:bCs/>
        </w:rPr>
        <w:t xml:space="preserve">Prerequisites:</w:t>
      </w:r>
      <w:r>
        <w:t xml:space="preserve"> </w:t>
      </w:r>
      <w:r>
        <w:t xml:space="preserve">Chapter 8.</w:t>
      </w:r>
    </w:p>
    <w:p>
      <w:pPr>
        <w:pStyle w:val="BodyText"/>
      </w:pPr>
      <w:r>
        <w:rPr>
          <w:b/>
          <w:bCs/>
        </w:rPr>
        <w:t xml:space="preserve">Key terms:</w:t>
      </w:r>
      <w:r>
        <w:t xml:space="preserve"> </w:t>
      </w:r>
      <w:r>
        <w:t xml:space="preserve">Series, DataFrame, index, column, dtype, method chain.</w:t>
      </w:r>
    </w:p>
    <w:bookmarkEnd w:id="173"/>
    <w:bookmarkStart w:id="174" w:name="labels-are-part-of-the-data-model"/>
    <w:p>
      <w:pPr>
        <w:pStyle w:val="Heading2"/>
        <w:keepNext/>
      </w:pPr>
      <w:r>
        <w:rPr>
          <w:rStyle w:val="SectionNumber"/>
          <w:rFonts w:ascii="Noto Sans" w:hAnsi="Noto Sans" w:eastAsia="Noto Sans" w:cs="Noto Sans"/>
          <w:b/>
          <w:color w:val="008F87"/>
          <w:sz w:val="29"/>
        </w:rPr>
        <w:t xml:space="preserve">9.2</w:t>
      </w:r>
      <w:r>
        <w:rPr>
          <w:rFonts w:ascii="Noto Sans" w:hAnsi="Noto Sans" w:eastAsia="Noto Sans" w:cs="Noto Sans"/>
          <w:b/>
          <w:color w:val="008F87"/>
          <w:sz w:val="29"/>
        </w:rPr>
        <w:tab/>
      </w:r>
      <w:r>
        <w:rPr>
          <w:rFonts w:ascii="Noto Sans" w:hAnsi="Noto Sans" w:eastAsia="Noto Sans" w:cs="Noto Sans"/>
          <w:b/>
          <w:color w:val="008F87"/>
          <w:sz w:val="29"/>
        </w:rPr>
        <w:t xml:space="preserve">Labels are part of the data model</w:t>
      </w:r>
    </w:p>
    <w:p>
      <w:pPr>
        <w:pStyle w:val="FirstParagraph"/>
      </w:pPr>
      <w:r>
        <w:t xml:space="preserve">pandas adds row and column labels to NumPy-style arrays. A Series represents one labelled vector; a DataFrame represents columns that may have different data types. Labels make code readable, but they also introduce alignment rules. Arithmetic between two Series matches index labels rather than blindly matching position. This is powerful when dates align and dangerous when duplicated or inconsistent keys slip through</w:t>
      </w:r>
      <w:r>
        <w:t xml:space="preserve"> </w:t>
      </w:r>
      <w:r>
        <w:t xml:space="preserve">(pandas Development Team 2026)</w:t>
      </w:r>
      <w:r>
        <w:t xml:space="preserve">.</w:t>
      </w:r>
    </w:p>
    <w:bookmarkEnd w:id="174"/>
    <w:bookmarkStart w:id="175" w:name="inspection-comes-before-transformation"/>
    <w:p>
      <w:pPr>
        <w:pStyle w:val="Heading2"/>
        <w:keepNext/>
      </w:pPr>
      <w:r>
        <w:rPr>
          <w:rStyle w:val="SectionNumber"/>
          <w:rFonts w:ascii="Noto Sans" w:hAnsi="Noto Sans" w:eastAsia="Noto Sans" w:cs="Noto Sans"/>
          <w:b/>
          <w:color w:val="008F87"/>
          <w:sz w:val="29"/>
        </w:rPr>
        <w:t xml:space="preserve">9.3</w:t>
      </w:r>
      <w:r>
        <w:rPr>
          <w:rFonts w:ascii="Noto Sans" w:hAnsi="Noto Sans" w:eastAsia="Noto Sans" w:cs="Noto Sans"/>
          <w:b/>
          <w:color w:val="008F87"/>
          <w:sz w:val="29"/>
        </w:rPr>
        <w:tab/>
      </w:r>
      <w:r>
        <w:rPr>
          <w:rFonts w:ascii="Noto Sans" w:hAnsi="Noto Sans" w:eastAsia="Noto Sans" w:cs="Noto Sans"/>
          <w:b/>
          <w:color w:val="008F87"/>
          <w:sz w:val="29"/>
        </w:rPr>
        <w:t xml:space="preserve">Inspection comes before transformation</w:t>
      </w:r>
    </w:p>
    <w:p>
      <w:pPr>
        <w:pStyle w:val="FirstParagraph"/>
      </w:pPr>
      <w:r>
        <w:t xml:space="preserve">A disciplined first look includes shape, column names, sample rows, data types, missingness, and summary statistics.</w:t>
      </w:r>
      <w:r>
        <w:t xml:space="preserve"> </w:t>
      </w:r>
      <w:r>
        <w:rPr>
          <w:rStyle w:val="VerbatimChar"/>
        </w:rPr>
        <w:t xml:space="preserve">head()</w:t>
      </w:r>
      <w:r>
        <w:t xml:space="preserve"> </w:t>
      </w:r>
      <w:r>
        <w:t xml:space="preserve">is useful but insufficient because the first rows may not reveal late missing values or inconsistent categories. The analyst should inspect both structure and content before selecting a model. A DataFrame is not</w:t>
      </w:r>
      <w:r>
        <w:t xml:space="preserve"> </w:t>
      </w:r>
      <w:r>
        <w:t xml:space="preserve">“</w:t>
      </w:r>
      <w:r>
        <w:t xml:space="preserve">clean</w:t>
      </w:r>
      <w:r>
        <w:t xml:space="preserve">”</w:t>
      </w:r>
      <w:r>
        <w:t xml:space="preserve"> </w:t>
      </w:r>
      <w:r>
        <w:t xml:space="preserve">merely because it displays neatly.</w:t>
      </w:r>
    </w:p>
    <w:bookmarkEnd w:id="175"/>
    <w:bookmarkStart w:id="176" w:name="selection-should-reveal-intent"/>
    <w:p>
      <w:pPr>
        <w:pStyle w:val="Heading2"/>
        <w:keepNext/>
      </w:pPr>
      <w:r>
        <w:rPr>
          <w:rStyle w:val="SectionNumber"/>
          <w:rFonts w:ascii="Noto Sans" w:hAnsi="Noto Sans" w:eastAsia="Noto Sans" w:cs="Noto Sans"/>
          <w:b/>
          <w:color w:val="008F87"/>
          <w:sz w:val="29"/>
        </w:rPr>
        <w:t xml:space="preserve">9.4</w:t>
      </w:r>
      <w:r>
        <w:rPr>
          <w:rFonts w:ascii="Noto Sans" w:hAnsi="Noto Sans" w:eastAsia="Noto Sans" w:cs="Noto Sans"/>
          <w:b/>
          <w:color w:val="008F87"/>
          <w:sz w:val="29"/>
        </w:rPr>
        <w:tab/>
      </w:r>
      <w:r>
        <w:rPr>
          <w:rFonts w:ascii="Noto Sans" w:hAnsi="Noto Sans" w:eastAsia="Noto Sans" w:cs="Noto Sans"/>
          <w:b/>
          <w:color w:val="008F87"/>
          <w:sz w:val="29"/>
        </w:rPr>
        <w:t xml:space="preserve">Selection should reveal intent</w:t>
      </w:r>
    </w:p>
    <w:p>
      <w:pPr>
        <w:pStyle w:val="FirstParagraph"/>
      </w:pPr>
      <w:r>
        <w:t xml:space="preserve">Use column names for variables and Boolean masks for conditions.</w:t>
      </w:r>
      <w:r>
        <w:t xml:space="preserve"> </w:t>
      </w:r>
      <w:r>
        <w:rPr>
          <w:rStyle w:val="VerbatimChar"/>
        </w:rPr>
        <w:t xml:space="preserve">.loc</w:t>
      </w:r>
      <w:r>
        <w:t xml:space="preserve"> </w:t>
      </w:r>
      <w:r>
        <w:t xml:space="preserve">selects by labels;</w:t>
      </w:r>
      <w:r>
        <w:t xml:space="preserve"> </w:t>
      </w:r>
      <w:r>
        <w:rPr>
          <w:rStyle w:val="VerbatimChar"/>
        </w:rPr>
        <w:t xml:space="preserve">.iloc</w:t>
      </w:r>
      <w:r>
        <w:t xml:space="preserve"> </w:t>
      </w:r>
      <w:r>
        <w:t xml:space="preserve">selects by positions. Method chains can read as a workflow when each step is short: filter, assign, group, summarize. A long chain that mixes validation, transformation, and modeling is difficult to debug. Temporary named objects are helpful when they expose an important analytical stage.</w:t>
      </w:r>
    </w:p>
    <w:bookmarkEnd w:id="176"/>
    <w:bookmarkStart w:id="179" w:name="python-demonstrations-8"/>
    <w:p>
      <w:pPr>
        <w:pStyle w:val="Heading2"/>
        <w:keepNext/>
      </w:pPr>
      <w:r>
        <w:rPr>
          <w:rStyle w:val="SectionNumber"/>
          <w:rFonts w:ascii="Noto Sans" w:hAnsi="Noto Sans" w:eastAsia="Noto Sans" w:cs="Noto Sans"/>
          <w:b/>
          <w:color w:val="008F87"/>
          <w:sz w:val="29"/>
        </w:rPr>
        <w:t xml:space="preserve">9.5</w:t>
      </w:r>
      <w:r>
        <w:rPr>
          <w:rFonts w:ascii="Noto Sans" w:hAnsi="Noto Sans" w:eastAsia="Noto Sans" w:cs="Noto Sans"/>
          <w:b/>
          <w:color w:val="008F87"/>
          <w:sz w:val="29"/>
        </w:rPr>
        <w:tab/>
      </w:r>
      <w:r>
        <w:rPr>
          <w:rFonts w:ascii="Noto Sans" w:hAnsi="Noto Sans" w:eastAsia="Noto Sans" w:cs="Noto Sans"/>
          <w:b/>
          <w:color w:val="008F87"/>
          <w:sz w:val="29"/>
        </w:rPr>
        <w:t xml:space="preserve">Python demonstrations</w:t>
      </w:r>
    </w:p>
    <w:bookmarkStart w:id="177" w:name="Xf60db0feb78103eeef9b3ea29ad438d4671c705"/>
    <w:p>
      <w:pPr>
        <w:pStyle w:val="Heading3"/>
        <w:keepNext/>
      </w:pPr>
      <w:r>
        <w:rPr>
          <w:rStyle w:val="SectionNumber"/>
          <w:rFonts w:ascii="Noto Sans" w:hAnsi="Noto Sans" w:eastAsia="Noto Sans" w:cs="Noto Sans"/>
          <w:b/>
          <w:color w:val="0A2342"/>
          <w:sz w:val="23"/>
        </w:rPr>
        <w:t xml:space="preserve">9.5.1</w:t>
      </w:r>
      <w:r>
        <w:rPr>
          <w:rFonts w:ascii="Noto Sans" w:hAnsi="Noto Sans" w:eastAsia="Noto Sans" w:cs="Noto Sans"/>
          <w:b/>
          <w:color w:val="0A2342"/>
          <w:sz w:val="23"/>
        </w:rPr>
        <w:tab/>
      </w:r>
      <w:r>
        <w:rPr>
          <w:rFonts w:ascii="Noto Sans" w:hAnsi="Noto Sans" w:eastAsia="Noto Sans" w:cs="Noto Sans"/>
          <w:b/>
          <w:color w:val="0A2342"/>
          <w:sz w:val="23"/>
        </w:rPr>
        <w:t xml:space="preserve">Demonstration 9.1: Build and inspect a DataFrame</w:t>
      </w:r>
    </w:p>
    <w:p>
      <w:pPr>
        <w:pStyle w:val="SourceCode"/>
        <w:keepLines/>
        <w:shd w:fill="F6F8FA" w:val="clear"/>
      </w:pPr>
      <w:r>
        <w:rPr>
          <w:rStyle w:val="ImportTok"/>
        </w:rPr>
        <w:t xml:space="preserve">import</w:t>
      </w:r>
      <w:r>
        <w:rPr>
          <w:rStyle w:val="NormalTok"/>
        </w:rPr>
        <w:t xml:space="preserve"> pandas </w:t>
      </w:r>
      <w:r>
        <w:rPr>
          <w:rStyle w:val="ImportTok"/>
        </w:rPr>
        <w:t xml:space="preserve">as</w:t>
      </w:r>
      <w:r>
        <w:rPr>
          <w:rStyle w:val="NormalTok"/>
        </w:rPr>
        <w:t xml:space="preserve"> pd</w:t>
      </w:r>
      <w:r>
        <w:br/>
      </w:r>
      <w:r>
        <w:br/>
      </w:r>
      <w:r>
        <w:rPr>
          <w:rStyle w:val="NormalTok"/>
        </w:rPr>
        <w:t xml:space="preserve">df </w:t>
      </w:r>
      <w:r>
        <w:rPr>
          <w:rStyle w:val="OperatorTok"/>
        </w:rPr>
        <w:t xml:space="preserve">=</w:t>
      </w:r>
      <w:r>
        <w:rPr>
          <w:rStyle w:val="NormalTok"/>
        </w:rPr>
        <w:t xml:space="preserve"> pd.DataFrame({</w:t>
      </w:r>
      <w:r>
        <w:br/>
      </w:r>
      <w:r>
        <w:rPr>
          <w:rStyle w:val="NormalTok"/>
        </w:rPr>
        <w:t xml:space="preserve">    </w:t>
      </w:r>
      <w:r>
        <w:rPr>
          <w:rStyle w:val="StringTok"/>
        </w:rPr>
        <w:t xml:space="preserve">"province"</w:t>
      </w:r>
      <w:r>
        <w:rPr>
          <w:rStyle w:val="NormalTok"/>
        </w:rPr>
        <w:t xml:space="preserve">: [</w:t>
      </w:r>
      <w:r>
        <w:rPr>
          <w:rStyle w:val="StringTok"/>
        </w:rPr>
        <w:t xml:space="preserve">"ON"</w:t>
      </w:r>
      <w:r>
        <w:rPr>
          <w:rStyle w:val="NormalTok"/>
        </w:rPr>
        <w:t xml:space="preserve">, </w:t>
      </w:r>
      <w:r>
        <w:rPr>
          <w:rStyle w:val="StringTok"/>
        </w:rPr>
        <w:t xml:space="preserve">"QC"</w:t>
      </w:r>
      <w:r>
        <w:rPr>
          <w:rStyle w:val="NormalTok"/>
        </w:rPr>
        <w:t xml:space="preserve">, </w:t>
      </w:r>
      <w:r>
        <w:rPr>
          <w:rStyle w:val="StringTok"/>
        </w:rPr>
        <w:t xml:space="preserve">"BC"</w:t>
      </w:r>
      <w:r>
        <w:rPr>
          <w:rStyle w:val="NormalTok"/>
        </w:rPr>
        <w:t xml:space="preserve">, </w:t>
      </w:r>
      <w:r>
        <w:rPr>
          <w:rStyle w:val="StringTok"/>
        </w:rPr>
        <w:t xml:space="preserve">"ON"</w:t>
      </w:r>
      <w:r>
        <w:rPr>
          <w:rStyle w:val="NormalTok"/>
        </w:rPr>
        <w:t xml:space="preserve">],</w:t>
      </w:r>
      <w:r>
        <w:br/>
      </w:r>
      <w:r>
        <w:rPr>
          <w:rStyle w:val="NormalTok"/>
        </w:rPr>
        <w:t xml:space="preserve">    </w:t>
      </w:r>
      <w:r>
        <w:rPr>
          <w:rStyle w:val="StringTok"/>
        </w:rPr>
        <w:t xml:space="preserve">"income"</w:t>
      </w:r>
      <w:r>
        <w:rPr>
          <w:rStyle w:val="NormalTok"/>
        </w:rPr>
        <w:t xml:space="preserve">: [</w:t>
      </w:r>
      <w:r>
        <w:rPr>
          <w:rStyle w:val="DecValTok"/>
        </w:rPr>
        <w:t xml:space="preserve">62_000</w:t>
      </w:r>
      <w:r>
        <w:rPr>
          <w:rStyle w:val="NormalTok"/>
        </w:rPr>
        <w:t xml:space="preserve">, </w:t>
      </w:r>
      <w:r>
        <w:rPr>
          <w:rStyle w:val="DecValTok"/>
        </w:rPr>
        <w:t xml:space="preserve">58_000</w:t>
      </w:r>
      <w:r>
        <w:rPr>
          <w:rStyle w:val="NormalTok"/>
        </w:rPr>
        <w:t xml:space="preserve">, </w:t>
      </w:r>
      <w:r>
        <w:rPr>
          <w:rStyle w:val="DecValTok"/>
        </w:rPr>
        <w:t xml:space="preserve">65_000</w:t>
      </w:r>
      <w:r>
        <w:rPr>
          <w:rStyle w:val="NormalTok"/>
        </w:rPr>
        <w:t xml:space="preserve">, </w:t>
      </w:r>
      <w:r>
        <w:rPr>
          <w:rStyle w:val="DecValTok"/>
        </w:rPr>
        <w:t xml:space="preserve">71_000</w:t>
      </w:r>
      <w:r>
        <w:rPr>
          <w:rStyle w:val="NormalTok"/>
        </w:rPr>
        <w:t xml:space="preserve">],</w:t>
      </w:r>
      <w:r>
        <w:br/>
      </w:r>
      <w:r>
        <w:rPr>
          <w:rStyle w:val="NormalTok"/>
        </w:rPr>
        <w:t xml:space="preserve">    </w:t>
      </w:r>
      <w:r>
        <w:rPr>
          <w:rStyle w:val="StringTok"/>
        </w:rPr>
        <w:t xml:space="preserve">"employed"</w:t>
      </w:r>
      <w:r>
        <w:rPr>
          <w:rStyle w:val="NormalTok"/>
        </w:rPr>
        <w:t xml:space="preserve">: [</w:t>
      </w:r>
      <w:r>
        <w:rPr>
          <w:rStyle w:val="VariableTok"/>
        </w:rPr>
        <w:t xml:space="preserve">True</w:t>
      </w:r>
      <w:r>
        <w:rPr>
          <w:rStyle w:val="NormalTok"/>
        </w:rPr>
        <w:t xml:space="preserve">, </w:t>
      </w:r>
      <w:r>
        <w:rPr>
          <w:rStyle w:val="VariableTok"/>
        </w:rPr>
        <w:t xml:space="preserve">True</w:t>
      </w:r>
      <w:r>
        <w:rPr>
          <w:rStyle w:val="NormalTok"/>
        </w:rPr>
        <w:t xml:space="preserve">, </w:t>
      </w:r>
      <w:r>
        <w:rPr>
          <w:rStyle w:val="VariableTok"/>
        </w:rPr>
        <w:t xml:space="preserve">False</w:t>
      </w:r>
      <w:r>
        <w:rPr>
          <w:rStyle w:val="NormalTok"/>
        </w:rPr>
        <w:t xml:space="preserve">, </w:t>
      </w:r>
      <w:r>
        <w:rPr>
          <w:rStyle w:val="VariableTok"/>
        </w:rPr>
        <w:t xml:space="preserve">True</w:t>
      </w:r>
      <w:r>
        <w:rPr>
          <w:rStyle w:val="NormalTok"/>
        </w:rPr>
        <w:t xml:space="preserve">],</w:t>
      </w:r>
      <w:r>
        <w:br/>
      </w:r>
      <w:r>
        <w:rPr>
          <w:rStyle w:val="NormalTok"/>
        </w:rPr>
        <w:t xml:space="preserve">})</w:t>
      </w:r>
      <w:r>
        <w:br/>
      </w:r>
      <w:r>
        <w:rPr>
          <w:rStyle w:val="BuiltInTok"/>
        </w:rPr>
        <w:t xml:space="preserve">print</w:t>
      </w:r>
      <w:r>
        <w:rPr>
          <w:rStyle w:val="NormalTok"/>
        </w:rPr>
        <w:t xml:space="preserve">(df.shape)</w:t>
      </w:r>
      <w:r>
        <w:br/>
      </w:r>
      <w:r>
        <w:rPr>
          <w:rStyle w:val="BuiltInTok"/>
        </w:rPr>
        <w:t xml:space="preserve">print</w:t>
      </w:r>
      <w:r>
        <w:rPr>
          <w:rStyle w:val="NormalTok"/>
        </w:rPr>
        <w:t xml:space="preserve">(df.dtypes.astype(</w:t>
      </w:r>
      <w:r>
        <w:rPr>
          <w:rStyle w:val="BuiltInTok"/>
        </w:rPr>
        <w:t xml:space="preserve">str</w:t>
      </w:r>
      <w:r>
        <w:rPr>
          <w:rStyle w:val="NormalTok"/>
        </w:rPr>
        <w:t xml:space="preserve">).to_dict())</w:t>
      </w:r>
    </w:p>
    <w:p>
      <w:pPr>
        <w:pStyle w:val="FirstParagraph"/>
      </w:pPr>
      <w:r>
        <w:rPr>
          <w:b/>
          <w:bCs/>
        </w:rPr>
        <w:t xml:space="preserve">Verified output</w:t>
      </w:r>
    </w:p>
    <w:p>
      <w:pPr>
        <w:pStyle w:val="SourceCode"/>
        <w:keepLines/>
        <w:shd w:fill="F6F8FA" w:val="clear"/>
      </w:pPr>
      <w:r>
        <w:rPr>
          <w:rStyle w:val="VerbatimChar"/>
        </w:rPr>
        <w:t xml:space="preserve">(4, 3)</w:t>
      </w:r>
      <w:r>
        <w:br/>
      </w:r>
      <w:r>
        <w:rPr>
          <w:rStyle w:val="VerbatimChar"/>
        </w:rPr>
        <w:t xml:space="preserve">{'province': 'object', 'income': 'int64', 'employed': 'bool'}</w:t>
      </w:r>
    </w:p>
    <w:p>
      <w:pPr>
        <w:pStyle w:val="FirstParagraph"/>
      </w:pPr>
      <w:r>
        <w:rPr>
          <w:b/>
          <w:bCs/>
        </w:rPr>
        <w:t xml:space="preserve">Interpretation.</w:t>
      </w:r>
      <w:r>
        <w:t xml:space="preserve"> </w:t>
      </w:r>
      <w:r>
        <w:t xml:space="preserve">The structure reveals four observations and three variables with different data types.</w:t>
      </w:r>
    </w:p>
    <w:bookmarkEnd w:id="177"/>
    <w:bookmarkStart w:id="178" w:name="demonstration-9.2-filter-and-assign"/>
    <w:p>
      <w:pPr>
        <w:pStyle w:val="Heading3"/>
        <w:keepNext/>
      </w:pPr>
      <w:r>
        <w:rPr>
          <w:rStyle w:val="SectionNumber"/>
          <w:rFonts w:ascii="Noto Sans" w:hAnsi="Noto Sans" w:eastAsia="Noto Sans" w:cs="Noto Sans"/>
          <w:b/>
          <w:color w:val="0A2342"/>
          <w:sz w:val="23"/>
        </w:rPr>
        <w:t xml:space="preserve">9.5.2</w:t>
      </w:r>
      <w:r>
        <w:rPr>
          <w:rFonts w:ascii="Noto Sans" w:hAnsi="Noto Sans" w:eastAsia="Noto Sans" w:cs="Noto Sans"/>
          <w:b/>
          <w:color w:val="0A2342"/>
          <w:sz w:val="23"/>
        </w:rPr>
        <w:tab/>
      </w:r>
      <w:r>
        <w:rPr>
          <w:rFonts w:ascii="Noto Sans" w:hAnsi="Noto Sans" w:eastAsia="Noto Sans" w:cs="Noto Sans"/>
          <w:b/>
          <w:color w:val="0A2342"/>
          <w:sz w:val="23"/>
        </w:rPr>
        <w:t xml:space="preserve">Demonstration 9.2: Filter and assign</w:t>
      </w:r>
    </w:p>
    <w:p>
      <w:pPr>
        <w:pStyle w:val="SourceCode"/>
        <w:keepLines/>
        <w:shd w:fill="F6F8FA" w:val="clear"/>
      </w:pPr>
      <w:r>
        <w:rPr>
          <w:rStyle w:val="NormalTok"/>
        </w:rPr>
        <w:t xml:space="preserve">high_income </w:t>
      </w:r>
      <w:r>
        <w:rPr>
          <w:rStyle w:val="OperatorTok"/>
        </w:rPr>
        <w:t xml:space="preserve">=</w:t>
      </w:r>
      <w:r>
        <w:rPr>
          <w:rStyle w:val="NormalTok"/>
        </w:rPr>
        <w:t xml:space="preserve"> (</w:t>
      </w:r>
      <w:r>
        <w:br/>
      </w:r>
      <w:r>
        <w:rPr>
          <w:rStyle w:val="NormalTok"/>
        </w:rPr>
        <w:t xml:space="preserve">    df.loc[df[</w:t>
      </w:r>
      <w:r>
        <w:rPr>
          <w:rStyle w:val="StringTok"/>
        </w:rPr>
        <w:t xml:space="preserve">"income"</w:t>
      </w:r>
      <w:r>
        <w:rPr>
          <w:rStyle w:val="NormalTok"/>
        </w:rPr>
        <w:t xml:space="preserve">] </w:t>
      </w:r>
      <w:r>
        <w:rPr>
          <w:rStyle w:val="OperatorTok"/>
        </w:rPr>
        <w:t xml:space="preserve">&gt;=</w:t>
      </w:r>
      <w:r>
        <w:rPr>
          <w:rStyle w:val="NormalTok"/>
        </w:rPr>
        <w:t xml:space="preserve"> </w:t>
      </w:r>
      <w:r>
        <w:rPr>
          <w:rStyle w:val="DecValTok"/>
        </w:rPr>
        <w:t xml:space="preserve">60_000</w:t>
      </w:r>
      <w:r>
        <w:rPr>
          <w:rStyle w:val="NormalTok"/>
        </w:rPr>
        <w:t xml:space="preserve">]</w:t>
      </w:r>
      <w:r>
        <w:br/>
      </w:r>
      <w:r>
        <w:rPr>
          <w:rStyle w:val="NormalTok"/>
        </w:rPr>
        <w:t xml:space="preserve">      .assign(income_thousands</w:t>
      </w:r>
      <w:r>
        <w:rPr>
          <w:rStyle w:val="OperatorTok"/>
        </w:rPr>
        <w:t xml:space="preserve">=</w:t>
      </w:r>
      <w:r>
        <w:rPr>
          <w:rStyle w:val="KeywordTok"/>
        </w:rPr>
        <w:t xml:space="preserve">lambda</w:t>
      </w:r>
      <w:r>
        <w:rPr>
          <w:rStyle w:val="NormalTok"/>
        </w:rPr>
        <w:t xml:space="preserve"> x: x[</w:t>
      </w:r>
      <w:r>
        <w:rPr>
          <w:rStyle w:val="StringTok"/>
        </w:rPr>
        <w:t xml:space="preserve">"income"</w:t>
      </w:r>
      <w:r>
        <w:rPr>
          <w:rStyle w:val="NormalTok"/>
        </w:rPr>
        <w:t xml:space="preserve">] </w:t>
      </w:r>
      <w:r>
        <w:rPr>
          <w:rStyle w:val="OperatorTok"/>
        </w:rPr>
        <w:t xml:space="preserve">/</w:t>
      </w:r>
      <w:r>
        <w:rPr>
          <w:rStyle w:val="NormalTok"/>
        </w:rPr>
        <w:t xml:space="preserve"> </w:t>
      </w:r>
      <w:r>
        <w:rPr>
          <w:rStyle w:val="DecValTok"/>
        </w:rPr>
        <w:t xml:space="preserve">1_000</w:t>
      </w:r>
      <w:r>
        <w:rPr>
          <w:rStyle w:val="NormalTok"/>
        </w:rPr>
        <w:t xml:space="preserve">)</w:t>
      </w:r>
      <w:r>
        <w:br/>
      </w:r>
      <w:r>
        <w:rPr>
          <w:rStyle w:val="NormalTok"/>
        </w:rPr>
        <w:t xml:space="preserve">      .sort_values(</w:t>
      </w:r>
      <w:r>
        <w:rPr>
          <w:rStyle w:val="StringTok"/>
        </w:rPr>
        <w:t xml:space="preserve">"income"</w:t>
      </w:r>
      <w:r>
        <w:rPr>
          <w:rStyle w:val="NormalTok"/>
        </w:rPr>
        <w:t xml:space="preserve">, ascending</w:t>
      </w:r>
      <w:r>
        <w:rPr>
          <w:rStyle w:val="OperatorTok"/>
        </w:rPr>
        <w:t xml:space="preserve">=</w:t>
      </w:r>
      <w:r>
        <w:rPr>
          <w:rStyle w:val="VariableTok"/>
        </w:rPr>
        <w:t xml:space="preserve">False</w:t>
      </w:r>
      <w:r>
        <w:rPr>
          <w:rStyle w:val="NormalTok"/>
        </w:rPr>
        <w:t xml:space="preserve">)</w:t>
      </w:r>
      <w:r>
        <w:br/>
      </w:r>
      <w:r>
        <w:rPr>
          <w:rStyle w:val="NormalTok"/>
        </w:rPr>
        <w:t xml:space="preserve">)</w:t>
      </w:r>
      <w:r>
        <w:br/>
      </w:r>
      <w:r>
        <w:rPr>
          <w:rStyle w:val="BuiltInTok"/>
        </w:rPr>
        <w:t xml:space="preserve">print</w:t>
      </w:r>
      <w:r>
        <w:rPr>
          <w:rStyle w:val="NormalTok"/>
        </w:rPr>
        <w:t xml:space="preserve">(high_income[[</w:t>
      </w:r>
      <w:r>
        <w:rPr>
          <w:rStyle w:val="StringTok"/>
        </w:rPr>
        <w:t xml:space="preserve">"province"</w:t>
      </w:r>
      <w:r>
        <w:rPr>
          <w:rStyle w:val="NormalTok"/>
        </w:rPr>
        <w:t xml:space="preserve">, </w:t>
      </w:r>
      <w:r>
        <w:rPr>
          <w:rStyle w:val="StringTok"/>
        </w:rPr>
        <w:t xml:space="preserve">"income_thousands"</w:t>
      </w:r>
      <w:r>
        <w:rPr>
          <w:rStyle w:val="NormalTok"/>
        </w:rPr>
        <w:t xml:space="preserve">]])</w:t>
      </w:r>
    </w:p>
    <w:p>
      <w:pPr>
        <w:pStyle w:val="FirstParagraph"/>
      </w:pPr>
      <w:r>
        <w:rPr>
          <w:b/>
          <w:bCs/>
        </w:rPr>
        <w:t xml:space="preserve">Verified output</w:t>
      </w:r>
    </w:p>
    <w:p>
      <w:pPr>
        <w:pStyle w:val="SourceCode"/>
        <w:keepLines/>
        <w:shd w:fill="F6F8FA" w:val="clear"/>
      </w:pPr>
      <w:r>
        <w:rPr>
          <w:rStyle w:val="VerbatimChar"/>
        </w:rPr>
        <w:t xml:space="preserve">province  income_thousands</w:t>
      </w:r>
      <w:r>
        <w:br/>
      </w:r>
      <w:r>
        <w:rPr>
          <w:rStyle w:val="VerbatimChar"/>
        </w:rPr>
        <w:t xml:space="preserve">3       ON              71.0</w:t>
      </w:r>
      <w:r>
        <w:br/>
      </w:r>
      <w:r>
        <w:rPr>
          <w:rStyle w:val="VerbatimChar"/>
        </w:rPr>
        <w:t xml:space="preserve">2       BC              65.0</w:t>
      </w:r>
      <w:r>
        <w:br/>
      </w:r>
      <w:r>
        <w:rPr>
          <w:rStyle w:val="VerbatimChar"/>
        </w:rPr>
        <w:t xml:space="preserve">0       ON              62.0</w:t>
      </w:r>
    </w:p>
    <w:p>
      <w:pPr>
        <w:pStyle w:val="FirstParagraph"/>
      </w:pPr>
      <w:r>
        <w:rPr>
          <w:b/>
          <w:bCs/>
        </w:rPr>
        <w:t xml:space="preserve">Interpretation.</w:t>
      </w:r>
      <w:r>
        <w:t xml:space="preserve"> </w:t>
      </w:r>
      <w:r>
        <w:t xml:space="preserve">The chain reads as a sequence of analytical decisions and leaves the original DataFrame unchanged.</w:t>
      </w:r>
    </w:p>
    <w:bookmarkEnd w:id="178"/>
    <w:bookmarkEnd w:id="179"/>
    <w:bookmarkStart w:id="183" w:name="visual-evidence-8"/>
    <w:p>
      <w:pPr>
        <w:pStyle w:val="Heading2"/>
        <w:keepNext/>
      </w:pPr>
      <w:r>
        <w:rPr>
          <w:rStyle w:val="SectionNumber"/>
          <w:rFonts w:ascii="Noto Sans" w:hAnsi="Noto Sans" w:eastAsia="Noto Sans" w:cs="Noto Sans"/>
          <w:b/>
          <w:color w:val="008F87"/>
          <w:sz w:val="29"/>
        </w:rPr>
        <w:t xml:space="preserve">9.6</w:t>
      </w:r>
      <w:r>
        <w:rPr>
          <w:rFonts w:ascii="Noto Sans" w:hAnsi="Noto Sans" w:eastAsia="Noto Sans" w:cs="Noto Sans"/>
          <w:b/>
          <w:color w:val="008F87"/>
          <w:sz w:val="29"/>
        </w:rPr>
        <w:tab/>
      </w:r>
      <w:r>
        <w:rPr>
          <w:rFonts w:ascii="Noto Sans" w:hAnsi="Noto Sans" w:eastAsia="Noto Sans" w:cs="Noto Sans"/>
          <w:b/>
          <w:color w:val="008F87"/>
          <w:sz w:val="29"/>
        </w:rPr>
        <w:t xml:space="preserve">Visual evidence</w:t>
      </w:r>
    </w:p>
    <w:p>
      <w:pPr>
        <w:pStyle w:val="FirstParagraph"/>
      </w:pPr>
      <w:r>
        <w:drawing>
          <wp:inline>
            <wp:extent cx="4907280" cy="2707233"/>
            <wp:effectExtent b="0" l="0" r="0" t="0"/>
            <wp:docPr descr="Image: rId180.png" title="" id="181" name="Picture"/>
            <a:graphic>
              <a:graphicData uri="http://schemas.openxmlformats.org/drawingml/2006/picture">
                <pic:pic>
                  <pic:nvPicPr>
                    <pic:cNvPr descr="figures/fig_09_dataframe_anatomy.png" id="182" name="Picture"/>
                    <pic:cNvPicPr>
                      <a:picLocks noChangeArrowheads="1" noChangeAspect="1"/>
                    </pic:cNvPicPr>
                  </pic:nvPicPr>
                  <pic:blipFill>
                    <a:blip r:embed="rId180"/>
                    <a:stretch>
                      <a:fillRect/>
                    </a:stretch>
                  </pic:blipFill>
                  <pic:spPr bwMode="auto">
                    <a:xfrm>
                      <a:off x="0" y="0"/>
                      <a:ext cx="4907280" cy="2707233"/>
                    </a:xfrm>
                    <a:prstGeom prst="rect">
                      <a:avLst/>
                    </a:prstGeom>
                    <a:noFill/>
                    <a:ln w="9525">
                      <a:noFill/>
                      <a:headEnd/>
                      <a:tailEnd/>
                    </a:ln>
                  </pic:spPr>
                </pic:pic>
              </a:graphicData>
            </a:graphic>
          </wp:inline>
        </w:drawing>
      </w:r>
    </w:p>
    <w:p>
      <w:pPr>
        <w:pStyle w:val="Caption"/>
        <w:keepNext w:val="0"/>
        <w:jc w:val="center"/>
      </w:pPr>
      <w:r>
        <w:rPr>
          <w:b/>
          <w:bCs/>
        </w:rPr>
        <w:t xml:space="preserve">Figure 9.</w:t>
      </w:r>
      <w:r>
        <w:t xml:space="preserve"> </w:t>
      </w:r>
      <w:r>
        <w:t xml:space="preserve">A DataFrame organizes observations by rows and variables by labelled columns.</w:t>
      </w:r>
    </w:p>
    <w:bookmarkEnd w:id="183"/>
    <w:bookmarkStart w:id="184" w:name="reference-table-8"/>
    <w:p>
      <w:pPr>
        <w:pStyle w:val="Heading2"/>
        <w:keepNext/>
      </w:pPr>
      <w:r>
        <w:rPr>
          <w:rStyle w:val="SectionNumber"/>
          <w:rFonts w:ascii="Noto Sans" w:hAnsi="Noto Sans" w:eastAsia="Noto Sans" w:cs="Noto Sans"/>
          <w:b/>
          <w:color w:val="008F87"/>
          <w:sz w:val="29"/>
        </w:rPr>
        <w:t xml:space="preserve">9.7</w:t>
      </w:r>
      <w:r>
        <w:rPr>
          <w:rFonts w:ascii="Noto Sans" w:hAnsi="Noto Sans" w:eastAsia="Noto Sans" w:cs="Noto Sans"/>
          <w:b/>
          <w:color w:val="008F87"/>
          <w:sz w:val="29"/>
        </w:rPr>
        <w:tab/>
      </w:r>
      <w:r>
        <w:rPr>
          <w:rFonts w:ascii="Noto Sans" w:hAnsi="Noto Sans" w:eastAsia="Noto Sans" w:cs="Noto Sans"/>
          <w:b/>
          <w:color w:val="008F87"/>
          <w:sz w:val="29"/>
        </w:rPr>
        <w:t xml:space="preserve">Reference table</w:t>
      </w:r>
    </w:p>
    <w:p>
      <w:pPr>
        <w:pStyle w:val="Caption"/>
        <w:keepNext/>
        <w:jc w:val="center"/>
      </w:pPr>
      <w:r>
        <w:rPr>
          <w:b/>
          <w:bCs/>
        </w:rPr>
        <w:t xml:space="preserve">Table 9. Chapter reference.</w:t>
      </w:r>
    </w:p>
    <w:tbl>
      <w:tblPr>
        <w:tblStyle w:val="Table"/>
        <w:tblW w:type="pct" w:w="5000"/>
        <w:jc w:val="center"/>
        <w:tblLayout w:type="autofit"/>
        <w:tblLook w:firstRow="1" w:lastRow="0" w:firstColumn="0" w:lastColumn="0" w:noHBand="0" w:noVBand="0" w:val="0020"/>
      </w:tblPr>
      <w:tblGrid>
        <w:gridCol w:w="2640"/>
        <w:gridCol w:w="2640"/>
        <w:gridCol w:w="2640"/>
      </w:tblGrid>
      <w:tr>
        <w:trPr>
          <w:tblHeader w:val="on"/>
          <w:tblHeader w:val="true"/>
          <w:cantSplit/>
        </w:trPr>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0A2342" w:val="clear"/>
          </w:tcPr>
          <w:p>
            <w:pPr>
              <w:pStyle w:val="Compact"/>
              <w:spacing w:before="30" w:after="30" w:line="240" w:lineRule="auto"/>
              <w:jc w:val="left"/>
            </w:pPr>
            <w:r>
              <w:rPr>
                <w:rFonts w:ascii="Noto Sans" w:hAnsi="Noto Sans" w:eastAsia="Noto Sans" w:cs="Noto Sans"/>
                <w:b/>
                <w:color w:val="FFFFFF"/>
                <w:sz w:val="16"/>
              </w:rPr>
              <w:t xml:space="preserve">Operation</w:t>
            </w:r>
          </w:p>
        </w:tc>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0A2342" w:val="clear"/>
          </w:tcPr>
          <w:p>
            <w:pPr>
              <w:pStyle w:val="Compact"/>
              <w:spacing w:before="30" w:after="30" w:line="240" w:lineRule="auto"/>
              <w:jc w:val="left"/>
            </w:pPr>
            <w:r>
              <w:rPr>
                <w:rFonts w:ascii="Noto Sans" w:hAnsi="Noto Sans" w:eastAsia="Noto Sans" w:cs="Noto Sans"/>
                <w:b/>
                <w:color w:val="FFFFFF"/>
                <w:sz w:val="16"/>
              </w:rPr>
              <w:t xml:space="preserve">Preferred form</w:t>
            </w:r>
          </w:p>
        </w:tc>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0A2342" w:val="clear"/>
          </w:tcPr>
          <w:p>
            <w:pPr>
              <w:pStyle w:val="Compact"/>
              <w:spacing w:before="30" w:after="30" w:line="240" w:lineRule="auto"/>
              <w:jc w:val="left"/>
            </w:pPr>
            <w:r>
              <w:rPr>
                <w:rFonts w:ascii="Noto Sans" w:hAnsi="Noto Sans" w:eastAsia="Noto Sans" w:cs="Noto Sans"/>
                <w:b/>
                <w:color w:val="FFFFFF"/>
                <w:sz w:val="16"/>
              </w:rPr>
              <w:t xml:space="preserve">Meaning</w:t>
            </w:r>
          </w:p>
        </w:tc>
      </w:tr>
      <w:tr>
        <w:trPr>
          <w:cantSplit/>
        </w:trPr>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EEF4F8" w:val="clear"/>
          </w:tcPr>
          <w:p>
            <w:pPr>
              <w:pStyle w:val="Compact"/>
              <w:spacing w:before="30" w:after="30" w:line="240" w:lineRule="auto"/>
              <w:jc w:val="left"/>
            </w:pPr>
            <w:r>
              <w:rPr>
                <w:rFonts w:ascii="Noto Sans" w:hAnsi="Noto Sans" w:eastAsia="Noto Sans" w:cs="Noto Sans"/>
                <w:b w:val="0"/>
                <w:color w:val="18212B"/>
                <w:sz w:val="16"/>
              </w:rPr>
              <w:t xml:space="preserve">Select columns</w:t>
            </w:r>
          </w:p>
        </w:tc>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EEF4F8" w:val="clear"/>
          </w:tcPr>
          <w:p>
            <w:pPr>
              <w:pStyle w:val="Compact"/>
              <w:spacing w:before="30" w:after="30" w:line="240" w:lineRule="auto"/>
              <w:jc w:val="left"/>
            </w:pPr>
            <w:r>
              <w:rPr>
                <w:rFonts w:ascii="Noto Sans" w:hAnsi="Noto Sans" w:eastAsia="Noto Sans" w:cs="Noto Sans"/>
                <w:b w:val="0"/>
                <w:color w:val="18212B"/>
                <w:sz w:val="16"/>
              </w:rPr>
              <w:t xml:space="preserve">df[[</w:t>
            </w:r>
            <w:r>
              <w:rPr>
                <w:rFonts w:ascii="Noto Sans" w:hAnsi="Noto Sans" w:eastAsia="Noto Sans" w:cs="Noto Sans"/>
                <w:b w:val="0"/>
                <w:color w:val="18212B"/>
                <w:sz w:val="16"/>
              </w:rPr>
              <w:t xml:space="preserve">“</w:t>
            </w:r>
            <w:r>
              <w:rPr>
                <w:rFonts w:ascii="Noto Sans" w:hAnsi="Noto Sans" w:eastAsia="Noto Sans" w:cs="Noto Sans"/>
                <w:b w:val="0"/>
                <w:color w:val="18212B"/>
                <w:sz w:val="16"/>
              </w:rPr>
              <w:t xml:space="preserve">a</w:t>
            </w:r>
            <w:r>
              <w:rPr>
                <w:rFonts w:ascii="Noto Sans" w:hAnsi="Noto Sans" w:eastAsia="Noto Sans" w:cs="Noto Sans"/>
                <w:b w:val="0"/>
                <w:color w:val="18212B"/>
                <w:sz w:val="16"/>
              </w:rPr>
              <w:t xml:space="preserve">”</w:t>
            </w:r>
            <w:r>
              <w:rPr>
                <w:rFonts w:ascii="Noto Sans" w:hAnsi="Noto Sans" w:eastAsia="Noto Sans" w:cs="Noto Sans"/>
                <w:b w:val="0"/>
                <w:color w:val="18212B"/>
                <w:sz w:val="16"/>
              </w:rPr>
              <w:t xml:space="preserve">,</w:t>
            </w:r>
            <w:r>
              <w:rPr>
                <w:rFonts w:ascii="Noto Sans" w:hAnsi="Noto Sans" w:eastAsia="Noto Sans" w:cs="Noto Sans"/>
                <w:b w:val="0"/>
                <w:color w:val="18212B"/>
                <w:sz w:val="16"/>
              </w:rPr>
              <w:t xml:space="preserve"> </w:t>
            </w:r>
            <w:r>
              <w:rPr>
                <w:rFonts w:ascii="Noto Sans" w:hAnsi="Noto Sans" w:eastAsia="Noto Sans" w:cs="Noto Sans"/>
                <w:b w:val="0"/>
                <w:color w:val="18212B"/>
                <w:sz w:val="16"/>
              </w:rPr>
              <w:t xml:space="preserve">“</w:t>
            </w:r>
            <w:r>
              <w:rPr>
                <w:rFonts w:ascii="Noto Sans" w:hAnsi="Noto Sans" w:eastAsia="Noto Sans" w:cs="Noto Sans"/>
                <w:b w:val="0"/>
                <w:color w:val="18212B"/>
                <w:sz w:val="16"/>
              </w:rPr>
              <w:t xml:space="preserve">b</w:t>
            </w:r>
            <w:r>
              <w:rPr>
                <w:rFonts w:ascii="Noto Sans" w:hAnsi="Noto Sans" w:eastAsia="Noto Sans" w:cs="Noto Sans"/>
                <w:b w:val="0"/>
                <w:color w:val="18212B"/>
                <w:sz w:val="16"/>
              </w:rPr>
              <w:t xml:space="preserve">”</w:t>
            </w:r>
            <w:r>
              <w:rPr>
                <w:rFonts w:ascii="Noto Sans" w:hAnsi="Noto Sans" w:eastAsia="Noto Sans" w:cs="Noto Sans"/>
                <w:b w:val="0"/>
                <w:color w:val="18212B"/>
                <w:sz w:val="16"/>
              </w:rPr>
              <w:t xml:space="preserve">]]</w:t>
            </w:r>
          </w:p>
        </w:tc>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EEF4F8" w:val="clear"/>
          </w:tcPr>
          <w:p>
            <w:pPr>
              <w:pStyle w:val="Compact"/>
              <w:spacing w:before="30" w:after="30" w:line="240" w:lineRule="auto"/>
              <w:jc w:val="left"/>
            </w:pPr>
            <w:r>
              <w:rPr>
                <w:rFonts w:ascii="Noto Sans" w:hAnsi="Noto Sans" w:eastAsia="Noto Sans" w:cs="Noto Sans"/>
                <w:b w:val="0"/>
                <w:color w:val="18212B"/>
                <w:sz w:val="16"/>
              </w:rPr>
              <w:t xml:space="preserve">retain named variables</w:t>
            </w:r>
          </w:p>
        </w:tc>
      </w:tr>
      <w:tr>
        <w:trPr>
          <w:cantSplit/>
        </w:trPr>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FFFFFF" w:val="clear"/>
          </w:tcPr>
          <w:p>
            <w:pPr>
              <w:pStyle w:val="Compact"/>
              <w:spacing w:before="30" w:after="30" w:line="240" w:lineRule="auto"/>
              <w:jc w:val="left"/>
            </w:pPr>
            <w:r>
              <w:rPr>
                <w:rFonts w:ascii="Noto Sans" w:hAnsi="Noto Sans" w:eastAsia="Noto Sans" w:cs="Noto Sans"/>
                <w:b w:val="0"/>
                <w:color w:val="18212B"/>
                <w:sz w:val="16"/>
              </w:rPr>
              <w:t xml:space="preserve">Filter rows</w:t>
            </w:r>
          </w:p>
        </w:tc>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FFFFFF" w:val="clear"/>
          </w:tcPr>
          <w:p>
            <w:pPr>
              <w:pStyle w:val="Compact"/>
              <w:spacing w:before="30" w:after="30" w:line="240" w:lineRule="auto"/>
              <w:jc w:val="left"/>
            </w:pPr>
            <w:r>
              <w:rPr>
                <w:rFonts w:ascii="Noto Sans" w:hAnsi="Noto Sans" w:eastAsia="Noto Sans" w:cs="Noto Sans"/>
                <w:b w:val="0"/>
                <w:color w:val="18212B"/>
                <w:sz w:val="16"/>
              </w:rPr>
              <w:t xml:space="preserve">df.loc[df[</w:t>
            </w:r>
            <w:r>
              <w:rPr>
                <w:rFonts w:ascii="Noto Sans" w:hAnsi="Noto Sans" w:eastAsia="Noto Sans" w:cs="Noto Sans"/>
                <w:b w:val="0"/>
                <w:color w:val="18212B"/>
                <w:sz w:val="16"/>
              </w:rPr>
              <w:t xml:space="preserve">“</w:t>
            </w:r>
            <w:r>
              <w:rPr>
                <w:rFonts w:ascii="Noto Sans" w:hAnsi="Noto Sans" w:eastAsia="Noto Sans" w:cs="Noto Sans"/>
                <w:b w:val="0"/>
                <w:color w:val="18212B"/>
                <w:sz w:val="16"/>
              </w:rPr>
              <w:t xml:space="preserve">x</w:t>
            </w:r>
            <w:r>
              <w:rPr>
                <w:rFonts w:ascii="Noto Sans" w:hAnsi="Noto Sans" w:eastAsia="Noto Sans" w:cs="Noto Sans"/>
                <w:b w:val="0"/>
                <w:color w:val="18212B"/>
                <w:sz w:val="16"/>
              </w:rPr>
              <w:t xml:space="preserve">”</w:t>
            </w:r>
            <w:r>
              <w:rPr>
                <w:rFonts w:ascii="Noto Sans" w:hAnsi="Noto Sans" w:eastAsia="Noto Sans" w:cs="Noto Sans"/>
                <w:b w:val="0"/>
                <w:color w:val="18212B"/>
                <w:sz w:val="16"/>
              </w:rPr>
              <w:t xml:space="preserve">] &gt; 0]</w:t>
            </w:r>
          </w:p>
        </w:tc>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FFFFFF" w:val="clear"/>
          </w:tcPr>
          <w:p>
            <w:pPr>
              <w:pStyle w:val="Compact"/>
              <w:spacing w:before="30" w:after="30" w:line="240" w:lineRule="auto"/>
              <w:jc w:val="left"/>
            </w:pPr>
            <w:r>
              <w:rPr>
                <w:rFonts w:ascii="Noto Sans" w:hAnsi="Noto Sans" w:eastAsia="Noto Sans" w:cs="Noto Sans"/>
                <w:b w:val="0"/>
                <w:color w:val="18212B"/>
                <w:sz w:val="16"/>
              </w:rPr>
              <w:t xml:space="preserve">retain observations satisfying rule</w:t>
            </w:r>
          </w:p>
        </w:tc>
      </w:tr>
      <w:tr>
        <w:trPr>
          <w:cantSplit/>
        </w:trPr>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EEF4F8" w:val="clear"/>
          </w:tcPr>
          <w:p>
            <w:pPr>
              <w:pStyle w:val="Compact"/>
              <w:spacing w:before="30" w:after="30" w:line="240" w:lineRule="auto"/>
              <w:jc w:val="left"/>
            </w:pPr>
            <w:r>
              <w:rPr>
                <w:rFonts w:ascii="Noto Sans" w:hAnsi="Noto Sans" w:eastAsia="Noto Sans" w:cs="Noto Sans"/>
                <w:b w:val="0"/>
                <w:color w:val="18212B"/>
                <w:sz w:val="16"/>
              </w:rPr>
              <w:t xml:space="preserve">Position</w:t>
            </w:r>
          </w:p>
        </w:tc>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EEF4F8" w:val="clear"/>
          </w:tcPr>
          <w:p>
            <w:pPr>
              <w:pStyle w:val="Compact"/>
              <w:spacing w:before="30" w:after="30" w:line="240" w:lineRule="auto"/>
              <w:jc w:val="left"/>
            </w:pPr>
            <w:r>
              <w:rPr>
                <w:rFonts w:ascii="Noto Sans" w:hAnsi="Noto Sans" w:eastAsia="Noto Sans" w:cs="Noto Sans"/>
                <w:b w:val="0"/>
                <w:color w:val="18212B"/>
                <w:sz w:val="16"/>
              </w:rPr>
              <w:t xml:space="preserve">df.iloc[:5]</w:t>
            </w:r>
          </w:p>
        </w:tc>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EEF4F8" w:val="clear"/>
          </w:tcPr>
          <w:p>
            <w:pPr>
              <w:pStyle w:val="Compact"/>
              <w:spacing w:before="30" w:after="30" w:line="240" w:lineRule="auto"/>
              <w:jc w:val="left"/>
            </w:pPr>
            <w:r>
              <w:rPr>
                <w:rFonts w:ascii="Noto Sans" w:hAnsi="Noto Sans" w:eastAsia="Noto Sans" w:cs="Noto Sans"/>
                <w:b w:val="0"/>
                <w:color w:val="18212B"/>
                <w:sz w:val="16"/>
              </w:rPr>
              <w:t xml:space="preserve">first five positions</w:t>
            </w:r>
          </w:p>
        </w:tc>
      </w:tr>
      <w:tr>
        <w:trPr>
          <w:cantSplit/>
        </w:trPr>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FFFFFF" w:val="clear"/>
          </w:tcPr>
          <w:p>
            <w:pPr>
              <w:pStyle w:val="Compact"/>
              <w:spacing w:before="30" w:after="30" w:line="240" w:lineRule="auto"/>
              <w:jc w:val="left"/>
            </w:pPr>
            <w:r>
              <w:rPr>
                <w:rFonts w:ascii="Noto Sans" w:hAnsi="Noto Sans" w:eastAsia="Noto Sans" w:cs="Noto Sans"/>
                <w:b w:val="0"/>
                <w:color w:val="18212B"/>
                <w:sz w:val="16"/>
              </w:rPr>
              <w:t xml:space="preserve">Assign</w:t>
            </w:r>
          </w:p>
        </w:tc>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FFFFFF" w:val="clear"/>
          </w:tcPr>
          <w:p>
            <w:pPr>
              <w:pStyle w:val="Compact"/>
              <w:spacing w:before="30" w:after="30" w:line="240" w:lineRule="auto"/>
              <w:jc w:val="left"/>
            </w:pPr>
            <w:r>
              <w:rPr>
                <w:rFonts w:ascii="Noto Sans" w:hAnsi="Noto Sans" w:eastAsia="Noto Sans" w:cs="Noto Sans"/>
                <w:b w:val="0"/>
                <w:color w:val="18212B"/>
                <w:sz w:val="16"/>
              </w:rPr>
              <w:t xml:space="preserve">df.assign(growth=…)</w:t>
            </w:r>
          </w:p>
        </w:tc>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FFFFFF" w:val="clear"/>
          </w:tcPr>
          <w:p>
            <w:pPr>
              <w:pStyle w:val="Compact"/>
              <w:spacing w:before="30" w:after="30" w:line="240" w:lineRule="auto"/>
              <w:jc w:val="left"/>
            </w:pPr>
            <w:r>
              <w:rPr>
                <w:rFonts w:ascii="Noto Sans" w:hAnsi="Noto Sans" w:eastAsia="Noto Sans" w:cs="Noto Sans"/>
                <w:b w:val="0"/>
                <w:color w:val="18212B"/>
                <w:sz w:val="16"/>
              </w:rPr>
              <w:t xml:space="preserve">create variable without hidden mutation</w:t>
            </w:r>
          </w:p>
        </w:tc>
      </w:tr>
      <w:tr>
        <w:trPr>
          <w:cantSplit/>
        </w:trPr>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EEF4F8" w:val="clear"/>
          </w:tcPr>
          <w:p>
            <w:pPr>
              <w:pStyle w:val="Compact"/>
              <w:spacing w:before="30" w:after="30" w:line="240" w:lineRule="auto"/>
              <w:jc w:val="left"/>
            </w:pPr>
            <w:r>
              <w:rPr>
                <w:rFonts w:ascii="Noto Sans" w:hAnsi="Noto Sans" w:eastAsia="Noto Sans" w:cs="Noto Sans"/>
                <w:b w:val="0"/>
                <w:color w:val="18212B"/>
                <w:sz w:val="16"/>
              </w:rPr>
              <w:t xml:space="preserve">Sort</w:t>
            </w:r>
          </w:p>
        </w:tc>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EEF4F8" w:val="clear"/>
          </w:tcPr>
          <w:p>
            <w:pPr>
              <w:pStyle w:val="Compact"/>
              <w:spacing w:before="30" w:after="30" w:line="240" w:lineRule="auto"/>
              <w:jc w:val="left"/>
            </w:pPr>
            <w:r>
              <w:rPr>
                <w:rFonts w:ascii="Noto Sans" w:hAnsi="Noto Sans" w:eastAsia="Noto Sans" w:cs="Noto Sans"/>
                <w:b w:val="0"/>
                <w:color w:val="18212B"/>
                <w:sz w:val="16"/>
              </w:rPr>
              <w:t xml:space="preserve">df.sort_values(</w:t>
            </w:r>
            <w:r>
              <w:rPr>
                <w:rFonts w:ascii="Noto Sans" w:hAnsi="Noto Sans" w:eastAsia="Noto Sans" w:cs="Noto Sans"/>
                <w:b w:val="0"/>
                <w:color w:val="18212B"/>
                <w:sz w:val="16"/>
              </w:rPr>
              <w:t xml:space="preserve">“</w:t>
            </w:r>
            <w:r>
              <w:rPr>
                <w:rFonts w:ascii="Noto Sans" w:hAnsi="Noto Sans" w:eastAsia="Noto Sans" w:cs="Noto Sans"/>
                <w:b w:val="0"/>
                <w:color w:val="18212B"/>
                <w:sz w:val="16"/>
              </w:rPr>
              <w:t xml:space="preserve">date</w:t>
            </w:r>
            <w:r>
              <w:rPr>
                <w:rFonts w:ascii="Noto Sans" w:hAnsi="Noto Sans" w:eastAsia="Noto Sans" w:cs="Noto Sans"/>
                <w:b w:val="0"/>
                <w:color w:val="18212B"/>
                <w:sz w:val="16"/>
              </w:rPr>
              <w:t xml:space="preserve">”</w:t>
            </w:r>
            <w:r>
              <w:rPr>
                <w:rFonts w:ascii="Noto Sans" w:hAnsi="Noto Sans" w:eastAsia="Noto Sans" w:cs="Noto Sans"/>
                <w:b w:val="0"/>
                <w:color w:val="18212B"/>
                <w:sz w:val="16"/>
              </w:rPr>
              <w:t xml:space="preserve">)</w:t>
            </w:r>
          </w:p>
        </w:tc>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EEF4F8" w:val="clear"/>
          </w:tcPr>
          <w:p>
            <w:pPr>
              <w:pStyle w:val="Compact"/>
              <w:spacing w:before="30" w:after="30" w:line="240" w:lineRule="auto"/>
              <w:jc w:val="left"/>
            </w:pPr>
            <w:r>
              <w:rPr>
                <w:rFonts w:ascii="Noto Sans" w:hAnsi="Noto Sans" w:eastAsia="Noto Sans" w:cs="Noto Sans"/>
                <w:b w:val="0"/>
                <w:color w:val="18212B"/>
                <w:sz w:val="16"/>
              </w:rPr>
              <w:t xml:space="preserve">establish order</w:t>
            </w:r>
          </w:p>
        </w:tc>
      </w:tr>
    </w:tbl>
    <w:p>
      <w:pPr>
        <w:pStyle w:val="BlockText"/>
        <w:shd w:fill="EAF7F5" w:val="clear"/>
        <w:pBdr>
          <w:left w:val="single" w:sz="18" w:space="8" w:color="008F87"/>
        </w:pBdr>
      </w:pPr>
      <w:r>
        <w:rPr>
          <w:b/>
          <w:bCs/>
        </w:rPr>
        <w:t xml:space="preserve">Why This Matters</w:t>
      </w:r>
    </w:p>
    <w:p>
      <w:pPr>
        <w:pStyle w:val="BlockText"/>
        <w:shd w:fill="EAF7F5" w:val="clear"/>
        <w:pBdr>
          <w:left w:val="single" w:sz="18" w:space="8" w:color="008F87"/>
        </w:pBdr>
      </w:pPr>
      <w:r>
        <w:t xml:space="preserve">pandas makes data structure, labels, and transformation rules visible in code.</w:t>
      </w:r>
    </w:p>
    <w:p>
      <w:pPr>
        <w:pStyle w:val="BlockText"/>
        <w:shd w:fill="EAF7F5" w:val="clear"/>
        <w:pBdr>
          <w:left w:val="single" w:sz="18" w:space="8" w:color="008F87"/>
        </w:pBdr>
      </w:pPr>
      <w:r>
        <w:rPr>
          <w:b/>
          <w:bCs/>
        </w:rPr>
        <w:t xml:space="preserve">Common Mistake</w:t>
      </w:r>
    </w:p>
    <w:p>
      <w:pPr>
        <w:pStyle w:val="BlockText"/>
        <w:shd w:fill="EAF7F5" w:val="clear"/>
        <w:pBdr>
          <w:left w:val="single" w:sz="18" w:space="8" w:color="008F87"/>
        </w:pBdr>
      </w:pPr>
      <w:r>
        <w:t xml:space="preserve">Using chained indexing such as</w:t>
      </w:r>
      <w:r>
        <w:t xml:space="preserve"> </w:t>
      </w:r>
      <w:r>
        <w:rPr>
          <w:rStyle w:val="VerbatimChar"/>
        </w:rPr>
        <w:t xml:space="preserve">df[df.x &gt; 0]["y"] = ...</w:t>
      </w:r>
      <w:r>
        <w:t xml:space="preserve">. It can create ambiguous copies and warnings.</w:t>
      </w:r>
    </w:p>
    <w:p>
      <w:pPr>
        <w:pStyle w:val="BlockText"/>
        <w:shd w:fill="EAF7F5" w:val="clear"/>
        <w:pBdr>
          <w:left w:val="single" w:sz="18" w:space="8" w:color="008F87"/>
        </w:pBdr>
      </w:pPr>
      <w:r>
        <w:rPr>
          <w:b/>
          <w:bCs/>
        </w:rPr>
        <w:t xml:space="preserve">Ceteris LAB Tip</w:t>
      </w:r>
    </w:p>
    <w:p>
      <w:pPr>
        <w:pStyle w:val="BlockText"/>
        <w:shd w:fill="EAF7F5" w:val="clear"/>
        <w:pBdr>
          <w:left w:val="single" w:sz="18" w:space="8" w:color="008F87"/>
        </w:pBdr>
      </w:pPr>
      <w:r>
        <w:t xml:space="preserve">Use</w:t>
      </w:r>
      <w:r>
        <w:t xml:space="preserve"> </w:t>
      </w:r>
      <w:r>
        <w:rPr>
          <w:rStyle w:val="VerbatimChar"/>
        </w:rPr>
        <w:t xml:space="preserve">.loc</w:t>
      </w:r>
      <w:r>
        <w:t xml:space="preserve"> </w:t>
      </w:r>
      <w:r>
        <w:t xml:space="preserve">for label-based selection and assignment, then inspect the resulting shape.</w:t>
      </w:r>
    </w:p>
    <w:p>
      <w:pPr>
        <w:pStyle w:val="BlockText"/>
        <w:shd w:fill="EAF7F5" w:val="clear"/>
        <w:pBdr>
          <w:left w:val="single" w:sz="18" w:space="8" w:color="008F87"/>
        </w:pBdr>
      </w:pPr>
      <w:r>
        <w:rPr>
          <w:b/>
          <w:bCs/>
        </w:rPr>
        <w:t xml:space="preserve">R-to-Python / Source Bridge</w:t>
      </w:r>
    </w:p>
    <w:p>
      <w:pPr>
        <w:pStyle w:val="BlockText"/>
        <w:shd w:fill="EAF7F5" w:val="clear"/>
        <w:pBdr>
          <w:left w:val="single" w:sz="18" w:space="8" w:color="008F87"/>
        </w:pBdr>
      </w:pPr>
      <w:r>
        <w:t xml:space="preserve">The source notes used R matrices and data frames for financial series. pandas supplies labelled, date-aware structures while retaining vectorized computation.</w:t>
      </w:r>
    </w:p>
    <w:bookmarkEnd w:id="184"/>
    <w:bookmarkStart w:id="185" w:name="guided-practice-8"/>
    <w:p>
      <w:pPr>
        <w:pStyle w:val="Heading2"/>
        <w:keepNext/>
      </w:pPr>
      <w:r>
        <w:rPr>
          <w:rStyle w:val="SectionNumber"/>
          <w:rFonts w:ascii="Noto Sans" w:hAnsi="Noto Sans" w:eastAsia="Noto Sans" w:cs="Noto Sans"/>
          <w:b/>
          <w:color w:val="008F87"/>
          <w:sz w:val="29"/>
        </w:rPr>
        <w:t xml:space="preserve">9.8</w:t>
      </w:r>
      <w:r>
        <w:rPr>
          <w:rFonts w:ascii="Noto Sans" w:hAnsi="Noto Sans" w:eastAsia="Noto Sans" w:cs="Noto Sans"/>
          <w:b/>
          <w:color w:val="008F87"/>
          <w:sz w:val="29"/>
        </w:rPr>
        <w:tab/>
      </w:r>
      <w:r>
        <w:rPr>
          <w:rFonts w:ascii="Noto Sans" w:hAnsi="Noto Sans" w:eastAsia="Noto Sans" w:cs="Noto Sans"/>
          <w:b/>
          <w:color w:val="008F87"/>
          <w:sz w:val="29"/>
        </w:rPr>
        <w:t xml:space="preserve">Guided practice</w:t>
      </w:r>
    </w:p>
    <w:p>
      <w:pPr>
        <w:pStyle w:val="Compact"/>
        <w:numPr>
          <w:ilvl w:val="0"/>
          <w:numId w:val="1036"/>
        </w:numPr>
      </w:pPr>
      <w:r>
        <w:t xml:space="preserve">Re-run Demonstration 9.1 and change one input while keeping the analytical question fixed.</w:t>
      </w:r>
    </w:p>
    <w:p>
      <w:pPr>
        <w:pStyle w:val="Compact"/>
        <w:numPr>
          <w:ilvl w:val="0"/>
          <w:numId w:val="1036"/>
        </w:numPr>
      </w:pPr>
      <w:r>
        <w:t xml:space="preserve">Explain in two sentences how the output supports, or fails to support, the chapter opening question.</w:t>
      </w:r>
    </w:p>
    <w:p>
      <w:pPr>
        <w:pStyle w:val="Compact"/>
        <w:numPr>
          <w:ilvl w:val="0"/>
          <w:numId w:val="1036"/>
        </w:numPr>
      </w:pPr>
      <w:r>
        <w:t xml:space="preserve">Add one validation check that would prevent a plausible error.</w:t>
      </w:r>
    </w:p>
    <w:bookmarkEnd w:id="185"/>
    <w:bookmarkStart w:id="186" w:name="exercises-8"/>
    <w:p>
      <w:pPr>
        <w:pStyle w:val="Heading2"/>
        <w:keepNext/>
      </w:pPr>
      <w:r>
        <w:rPr>
          <w:rStyle w:val="SectionNumber"/>
          <w:rFonts w:ascii="Noto Sans" w:hAnsi="Noto Sans" w:eastAsia="Noto Sans" w:cs="Noto Sans"/>
          <w:b/>
          <w:color w:val="008F87"/>
          <w:sz w:val="29"/>
        </w:rPr>
        <w:t xml:space="preserve">9.9</w:t>
      </w:r>
      <w:r>
        <w:rPr>
          <w:rFonts w:ascii="Noto Sans" w:hAnsi="Noto Sans" w:eastAsia="Noto Sans" w:cs="Noto Sans"/>
          <w:b/>
          <w:color w:val="008F87"/>
          <w:sz w:val="29"/>
        </w:rPr>
        <w:tab/>
      </w:r>
      <w:r>
        <w:rPr>
          <w:rFonts w:ascii="Noto Sans" w:hAnsi="Noto Sans" w:eastAsia="Noto Sans" w:cs="Noto Sans"/>
          <w:b/>
          <w:color w:val="008F87"/>
          <w:sz w:val="29"/>
        </w:rPr>
        <w:t xml:space="preserve">Exercises</w:t>
      </w:r>
    </w:p>
    <w:p>
      <w:pPr>
        <w:pStyle w:val="Compact"/>
        <w:numPr>
          <w:ilvl w:val="0"/>
          <w:numId w:val="1037"/>
        </w:numPr>
      </w:pPr>
      <w:r>
        <w:t xml:space="preserve">Create a DataFrame with five observations.</w:t>
      </w:r>
    </w:p>
    <w:p>
      <w:pPr>
        <w:pStyle w:val="Compact"/>
        <w:numPr>
          <w:ilvl w:val="0"/>
          <w:numId w:val="1037"/>
        </w:numPr>
      </w:pPr>
      <w:r>
        <w:t xml:space="preserve">Filter it using two conditions.</w:t>
      </w:r>
    </w:p>
    <w:p>
      <w:pPr>
        <w:pStyle w:val="Compact"/>
        <w:numPr>
          <w:ilvl w:val="0"/>
          <w:numId w:val="1037"/>
        </w:numPr>
      </w:pPr>
      <w:r>
        <w:t xml:space="preserve">Add a standardized variable.</w:t>
      </w:r>
    </w:p>
    <w:p>
      <w:pPr>
        <w:pStyle w:val="Compact"/>
        <w:numPr>
          <w:ilvl w:val="0"/>
          <w:numId w:val="1037"/>
        </w:numPr>
      </w:pPr>
      <w:r>
        <w:t xml:space="preserve">Compare</w:t>
      </w:r>
      <w:r>
        <w:t xml:space="preserve"> </w:t>
      </w:r>
      <w:r>
        <w:rPr>
          <w:rStyle w:val="VerbatimChar"/>
        </w:rPr>
        <w:t xml:space="preserve">.loc</w:t>
      </w:r>
      <w:r>
        <w:t xml:space="preserve"> </w:t>
      </w:r>
      <w:r>
        <w:t xml:space="preserve">and</w:t>
      </w:r>
      <w:r>
        <w:t xml:space="preserve"> </w:t>
      </w:r>
      <w:r>
        <w:rPr>
          <w:rStyle w:val="VerbatimChar"/>
        </w:rPr>
        <w:t xml:space="preserve">.iloc</w:t>
      </w:r>
      <w:r>
        <w:t xml:space="preserve"> </w:t>
      </w:r>
      <w:r>
        <w:t xml:space="preserve">on the same data.</w:t>
      </w:r>
    </w:p>
    <w:bookmarkEnd w:id="186"/>
    <w:bookmarkStart w:id="187" w:name="chapter-summary-8"/>
    <w:p>
      <w:pPr>
        <w:pStyle w:val="Heading2"/>
        <w:keepNext/>
      </w:pPr>
      <w:r>
        <w:rPr>
          <w:rStyle w:val="SectionNumber"/>
          <w:rFonts w:ascii="Noto Sans" w:hAnsi="Noto Sans" w:eastAsia="Noto Sans" w:cs="Noto Sans"/>
          <w:b/>
          <w:color w:val="008F87"/>
          <w:sz w:val="29"/>
        </w:rPr>
        <w:t xml:space="preserve">9.10</w:t>
      </w:r>
      <w:r>
        <w:rPr>
          <w:rFonts w:ascii="Noto Sans" w:hAnsi="Noto Sans" w:eastAsia="Noto Sans" w:cs="Noto Sans"/>
          <w:b/>
          <w:color w:val="008F87"/>
          <w:sz w:val="29"/>
        </w:rPr>
        <w:tab/>
      </w:r>
      <w:r>
        <w:rPr>
          <w:rFonts w:ascii="Noto Sans" w:hAnsi="Noto Sans" w:eastAsia="Noto Sans" w:cs="Noto Sans"/>
          <w:b/>
          <w:color w:val="008F87"/>
          <w:sz w:val="29"/>
        </w:rPr>
        <w:t xml:space="preserve">Chapter summary</w:t>
      </w:r>
    </w:p>
    <w:p>
      <w:pPr>
        <w:pStyle w:val="Compact"/>
        <w:numPr>
          <w:ilvl w:val="0"/>
          <w:numId w:val="1038"/>
        </w:numPr>
      </w:pPr>
      <w:r>
        <w:t xml:space="preserve">Series and DataFrames add labels and heterogeneous columns to numerical arrays.</w:t>
      </w:r>
    </w:p>
    <w:p>
      <w:pPr>
        <w:pStyle w:val="Compact"/>
        <w:numPr>
          <w:ilvl w:val="0"/>
          <w:numId w:val="1038"/>
        </w:numPr>
      </w:pPr>
      <w:r>
        <w:t xml:space="preserve">Inspection must cover structure, types, and missingness.</w:t>
      </w:r>
    </w:p>
    <w:p>
      <w:pPr>
        <w:pStyle w:val="Compact"/>
        <w:numPr>
          <w:ilvl w:val="0"/>
          <w:numId w:val="1038"/>
        </w:numPr>
      </w:pPr>
      <w:r>
        <w:t xml:space="preserve">Explicit selection and assignment reduce ambiguity.</w:t>
      </w:r>
    </w:p>
    <w:bookmarkEnd w:id="187"/>
    <w:bookmarkStart w:id="188" w:name="key-python-commands-8"/>
    <w:p>
      <w:pPr>
        <w:pStyle w:val="Heading2"/>
        <w:keepNext/>
      </w:pPr>
      <w:r>
        <w:rPr>
          <w:rStyle w:val="SectionNumber"/>
          <w:rFonts w:ascii="Noto Sans" w:hAnsi="Noto Sans" w:eastAsia="Noto Sans" w:cs="Noto Sans"/>
          <w:b/>
          <w:color w:val="008F87"/>
          <w:sz w:val="29"/>
        </w:rPr>
        <w:t xml:space="preserve">9.11</w:t>
      </w:r>
      <w:r>
        <w:rPr>
          <w:rFonts w:ascii="Noto Sans" w:hAnsi="Noto Sans" w:eastAsia="Noto Sans" w:cs="Noto Sans"/>
          <w:b/>
          <w:color w:val="008F87"/>
          <w:sz w:val="29"/>
        </w:rPr>
        <w:tab/>
      </w:r>
      <w:r>
        <w:rPr>
          <w:rFonts w:ascii="Noto Sans" w:hAnsi="Noto Sans" w:eastAsia="Noto Sans" w:cs="Noto Sans"/>
          <w:b/>
          <w:color w:val="008F87"/>
          <w:sz w:val="29"/>
        </w:rPr>
        <w:t xml:space="preserve">Key Python commands</w:t>
      </w:r>
    </w:p>
    <w:p>
      <w:pPr>
        <w:pStyle w:val="SourceCode"/>
        <w:keepLines/>
        <w:shd w:fill="F6F8FA" w:val="clear"/>
      </w:pPr>
      <w:r>
        <w:rPr>
          <w:rStyle w:val="ImportTok"/>
        </w:rPr>
        <w:t xml:space="preserve">import</w:t>
      </w:r>
      <w:r>
        <w:rPr>
          <w:rStyle w:val="NormalTok"/>
        </w:rPr>
        <w:t xml:space="preserve"> pandas </w:t>
      </w:r>
      <w:r>
        <w:rPr>
          <w:rStyle w:val="ImportTok"/>
        </w:rPr>
        <w:t xml:space="preserve">as</w:t>
      </w:r>
      <w:r>
        <w:rPr>
          <w:rStyle w:val="NormalTok"/>
        </w:rPr>
        <w:t xml:space="preserve"> pd</w:t>
      </w:r>
      <w:r>
        <w:br/>
      </w:r>
      <w:r>
        <w:rPr>
          <w:rStyle w:val="NormalTok"/>
        </w:rPr>
        <w:t xml:space="preserve">df </w:t>
      </w:r>
      <w:r>
        <w:rPr>
          <w:rStyle w:val="OperatorTok"/>
        </w:rPr>
        <w:t xml:space="preserve">=</w:t>
      </w:r>
      <w:r>
        <w:rPr>
          <w:rStyle w:val="NormalTok"/>
        </w:rPr>
        <w:t xml:space="preserve"> pd.DataFrame({</w:t>
      </w:r>
      <w:r>
        <w:br/>
      </w:r>
      <w:r>
        <w:rPr>
          <w:rStyle w:val="BuiltInTok"/>
        </w:rPr>
        <w:t xml:space="preserve">print</w:t>
      </w:r>
      <w:r>
        <w:rPr>
          <w:rStyle w:val="NormalTok"/>
        </w:rPr>
        <w:t xml:space="preserve">(df.shape)</w:t>
      </w:r>
      <w:r>
        <w:br/>
      </w:r>
      <w:r>
        <w:rPr>
          <w:rStyle w:val="BuiltInTok"/>
        </w:rPr>
        <w:t xml:space="preserve">print</w:t>
      </w:r>
      <w:r>
        <w:rPr>
          <w:rStyle w:val="NormalTok"/>
        </w:rPr>
        <w:t xml:space="preserve">(df.dtypes.astype(</w:t>
      </w:r>
      <w:r>
        <w:rPr>
          <w:rStyle w:val="BuiltInTok"/>
        </w:rPr>
        <w:t xml:space="preserve">str</w:t>
      </w:r>
      <w:r>
        <w:rPr>
          <w:rStyle w:val="NormalTok"/>
        </w:rPr>
        <w:t xml:space="preserve">).to_dict())</w:t>
      </w:r>
      <w:r>
        <w:br/>
      </w:r>
      <w:r>
        <w:rPr>
          <w:rStyle w:val="NormalTok"/>
        </w:rPr>
        <w:t xml:space="preserve">high_income </w:t>
      </w:r>
      <w:r>
        <w:rPr>
          <w:rStyle w:val="OperatorTok"/>
        </w:rPr>
        <w:t xml:space="preserve">=</w:t>
      </w:r>
      <w:r>
        <w:rPr>
          <w:rStyle w:val="NormalTok"/>
        </w:rPr>
        <w:t xml:space="preserve"> (</w:t>
      </w:r>
      <w:r>
        <w:br/>
      </w:r>
      <w:r>
        <w:rPr>
          <w:rStyle w:val="NormalTok"/>
        </w:rPr>
        <w:t xml:space="preserve">.assign(income_thousands</w:t>
      </w:r>
      <w:r>
        <w:rPr>
          <w:rStyle w:val="OperatorTok"/>
        </w:rPr>
        <w:t xml:space="preserve">=</w:t>
      </w:r>
      <w:r>
        <w:rPr>
          <w:rStyle w:val="KeywordTok"/>
        </w:rPr>
        <w:t xml:space="preserve">lambda</w:t>
      </w:r>
      <w:r>
        <w:rPr>
          <w:rStyle w:val="NormalTok"/>
        </w:rPr>
        <w:t xml:space="preserve"> x: x[</w:t>
      </w:r>
      <w:r>
        <w:rPr>
          <w:rStyle w:val="StringTok"/>
        </w:rPr>
        <w:t xml:space="preserve">"income"</w:t>
      </w:r>
      <w:r>
        <w:rPr>
          <w:rStyle w:val="NormalTok"/>
        </w:rPr>
        <w:t xml:space="preserve">] </w:t>
      </w:r>
      <w:r>
        <w:rPr>
          <w:rStyle w:val="OperatorTok"/>
        </w:rPr>
        <w:t xml:space="preserve">/</w:t>
      </w:r>
      <w:r>
        <w:rPr>
          <w:rStyle w:val="NormalTok"/>
        </w:rPr>
        <w:t xml:space="preserve"> </w:t>
      </w:r>
      <w:r>
        <w:rPr>
          <w:rStyle w:val="DecValTok"/>
        </w:rPr>
        <w:t xml:space="preserve">1_000</w:t>
      </w:r>
      <w:r>
        <w:rPr>
          <w:rStyle w:val="NormalTok"/>
        </w:rPr>
        <w:t xml:space="preserve">)</w:t>
      </w:r>
    </w:p>
    <w:bookmarkEnd w:id="188"/>
    <w:bookmarkEnd w:id="189"/>
    <w:bookmarkStart w:id="206" w:name="Xce445b41c99a3f33e185fa432a95f2ded6e6df1"/>
    <w:p>
      <w:pPr>
        <w:pStyle w:val="Heading1"/>
        <w:keepNext/>
        <w:pageBreakBefore/>
      </w:pPr>
      <w:r>
        <w:rPr>
          <w:rStyle w:val="SectionNumber"/>
          <w:rFonts w:ascii="Noto Sans" w:hAnsi="Noto Sans" w:eastAsia="Noto Sans" w:cs="Noto Sans"/>
          <w:b/>
          <w:color w:val="0A2342"/>
          <w:sz w:val="43"/>
        </w:rPr>
        <w:t xml:space="preserve">10</w:t>
      </w:r>
      <w:r>
        <w:rPr>
          <w:rFonts w:ascii="Noto Sans" w:hAnsi="Noto Sans" w:eastAsia="Noto Sans" w:cs="Noto Sans"/>
          <w:b/>
          <w:color w:val="0A2342"/>
          <w:sz w:val="43"/>
        </w:rPr>
        <w:tab/>
      </w:r>
      <w:r>
        <w:rPr>
          <w:rFonts w:ascii="Noto Sans" w:hAnsi="Noto Sans" w:eastAsia="Noto Sans" w:cs="Noto Sans"/>
          <w:b/>
          <w:color w:val="0A2342"/>
          <w:sz w:val="43"/>
        </w:rPr>
        <w:t xml:space="preserve">Importing, Cleaning, Validating, and Exporting Data</w:t>
      </w:r>
    </w:p>
    <w:p>
      <w:pPr>
        <w:pStyle w:val="FirstParagraph"/>
      </w:pPr>
      <w:r>
        <w:rPr>
          <w:i/>
          <w:iCs/>
        </w:rPr>
        <w:t xml:space="preserve">Opening question:</w:t>
      </w:r>
      <w:r>
        <w:t xml:space="preserve"> </w:t>
      </w:r>
      <w:r>
        <w:rPr>
          <w:b/>
          <w:bCs/>
        </w:rPr>
        <w:t xml:space="preserve">How can messy input be transformed without erasing the evidence of what was changed?</w:t>
      </w:r>
    </w:p>
    <w:bookmarkStart w:id="190" w:name="learning-objectives-9"/>
    <w:p>
      <w:pPr>
        <w:pStyle w:val="Heading2"/>
        <w:keepNext/>
      </w:pPr>
      <w:r>
        <w:rPr>
          <w:rStyle w:val="SectionNumber"/>
          <w:rFonts w:ascii="Noto Sans" w:hAnsi="Noto Sans" w:eastAsia="Noto Sans" w:cs="Noto Sans"/>
          <w:b/>
          <w:color w:val="008F87"/>
          <w:sz w:val="29"/>
        </w:rPr>
        <w:t xml:space="preserve">10.1</w:t>
      </w:r>
      <w:r>
        <w:rPr>
          <w:rFonts w:ascii="Noto Sans" w:hAnsi="Noto Sans" w:eastAsia="Noto Sans" w:cs="Noto Sans"/>
          <w:b/>
          <w:color w:val="008F87"/>
          <w:sz w:val="29"/>
        </w:rPr>
        <w:tab/>
      </w:r>
      <w:r>
        <w:rPr>
          <w:rFonts w:ascii="Noto Sans" w:hAnsi="Noto Sans" w:eastAsia="Noto Sans" w:cs="Noto Sans"/>
          <w:b/>
          <w:color w:val="008F87"/>
          <w:sz w:val="29"/>
        </w:rPr>
        <w:t xml:space="preserve">Learning objectives</w:t>
      </w:r>
    </w:p>
    <w:p>
      <w:pPr>
        <w:pStyle w:val="Compact"/>
        <w:numPr>
          <w:ilvl w:val="0"/>
          <w:numId w:val="1039"/>
        </w:numPr>
      </w:pPr>
      <w:r>
        <w:t xml:space="preserve">Read common tabular formats.</w:t>
      </w:r>
    </w:p>
    <w:p>
      <w:pPr>
        <w:pStyle w:val="Compact"/>
        <w:numPr>
          <w:ilvl w:val="0"/>
          <w:numId w:val="1039"/>
        </w:numPr>
      </w:pPr>
      <w:r>
        <w:t xml:space="preserve">Parse dates and numeric columns explicitly.</w:t>
      </w:r>
    </w:p>
    <w:p>
      <w:pPr>
        <w:pStyle w:val="Compact"/>
        <w:numPr>
          <w:ilvl w:val="0"/>
          <w:numId w:val="1039"/>
        </w:numPr>
      </w:pPr>
      <w:r>
        <w:t xml:space="preserve">Handle missing, duplicate, invalid, and extreme values.</w:t>
      </w:r>
    </w:p>
    <w:p>
      <w:pPr>
        <w:pStyle w:val="Compact"/>
        <w:numPr>
          <w:ilvl w:val="0"/>
          <w:numId w:val="1039"/>
        </w:numPr>
      </w:pPr>
      <w:r>
        <w:t xml:space="preserve">Write validation checks and export clean data.</w:t>
      </w:r>
    </w:p>
    <w:p>
      <w:pPr>
        <w:pStyle w:val="FirstParagraph"/>
      </w:pPr>
      <w:r>
        <w:rPr>
          <w:b/>
          <w:bCs/>
        </w:rPr>
        <w:t xml:space="preserve">Prerequisites:</w:t>
      </w:r>
      <w:r>
        <w:t xml:space="preserve"> </w:t>
      </w:r>
      <w:r>
        <w:t xml:space="preserve">Chapter 9.</w:t>
      </w:r>
    </w:p>
    <w:p>
      <w:pPr>
        <w:pStyle w:val="BodyText"/>
      </w:pPr>
      <w:r>
        <w:rPr>
          <w:b/>
          <w:bCs/>
        </w:rPr>
        <w:t xml:space="preserve">Key terms:</w:t>
      </w:r>
      <w:r>
        <w:t xml:space="preserve"> </w:t>
      </w:r>
      <w:r>
        <w:t xml:space="preserve">CSV, schema, missing value, duplicate, outlier, validation.</w:t>
      </w:r>
    </w:p>
    <w:bookmarkEnd w:id="190"/>
    <w:bookmarkStart w:id="191" w:name="import-is-an-inference-step"/>
    <w:p>
      <w:pPr>
        <w:pStyle w:val="Heading2"/>
        <w:keepNext/>
      </w:pPr>
      <w:r>
        <w:rPr>
          <w:rStyle w:val="SectionNumber"/>
          <w:rFonts w:ascii="Noto Sans" w:hAnsi="Noto Sans" w:eastAsia="Noto Sans" w:cs="Noto Sans"/>
          <w:b/>
          <w:color w:val="008F87"/>
          <w:sz w:val="29"/>
        </w:rPr>
        <w:t xml:space="preserve">10.2</w:t>
      </w:r>
      <w:r>
        <w:rPr>
          <w:rFonts w:ascii="Noto Sans" w:hAnsi="Noto Sans" w:eastAsia="Noto Sans" w:cs="Noto Sans"/>
          <w:b/>
          <w:color w:val="008F87"/>
          <w:sz w:val="29"/>
        </w:rPr>
        <w:tab/>
      </w:r>
      <w:r>
        <w:rPr>
          <w:rFonts w:ascii="Noto Sans" w:hAnsi="Noto Sans" w:eastAsia="Noto Sans" w:cs="Noto Sans"/>
          <w:b/>
          <w:color w:val="008F87"/>
          <w:sz w:val="29"/>
        </w:rPr>
        <w:t xml:space="preserve">Import is an inference step</w:t>
      </w:r>
    </w:p>
    <w:p>
      <w:pPr>
        <w:pStyle w:val="FirstParagraph"/>
      </w:pPr>
      <w:r>
        <w:t xml:space="preserve">When pandas reads a file, it infers delimiters, headers, types, and missing-value markers. Inference is convenient, not infallible. A column containing one nonnumeric note may become text. A date can be interpreted as month-day or day-month. Robust workflows specify critical dtypes, parse dates intentionally, and retain the original file. Parquet is useful for preserving types and compressing data, while CSV remains portable and inspectable.</w:t>
      </w:r>
    </w:p>
    <w:bookmarkEnd w:id="191"/>
    <w:bookmarkStart w:id="192" w:name="X541cfef08015a621f0cf17f8e173a10cd854248"/>
    <w:p>
      <w:pPr>
        <w:pStyle w:val="Heading2"/>
        <w:keepNext/>
      </w:pPr>
      <w:r>
        <w:rPr>
          <w:rStyle w:val="SectionNumber"/>
          <w:rFonts w:ascii="Noto Sans" w:hAnsi="Noto Sans" w:eastAsia="Noto Sans" w:cs="Noto Sans"/>
          <w:b/>
          <w:color w:val="008F87"/>
          <w:sz w:val="29"/>
        </w:rPr>
        <w:t xml:space="preserve">10.3</w:t>
      </w:r>
      <w:r>
        <w:rPr>
          <w:rFonts w:ascii="Noto Sans" w:hAnsi="Noto Sans" w:eastAsia="Noto Sans" w:cs="Noto Sans"/>
          <w:b/>
          <w:color w:val="008F87"/>
          <w:sz w:val="29"/>
        </w:rPr>
        <w:tab/>
      </w:r>
      <w:r>
        <w:rPr>
          <w:rFonts w:ascii="Noto Sans" w:hAnsi="Noto Sans" w:eastAsia="Noto Sans" w:cs="Noto Sans"/>
          <w:b/>
          <w:color w:val="008F87"/>
          <w:sz w:val="29"/>
        </w:rPr>
        <w:t xml:space="preserve">Cleaning is a sequence of justified decisions</w:t>
      </w:r>
    </w:p>
    <w:p>
      <w:pPr>
        <w:pStyle w:val="FirstParagraph"/>
      </w:pPr>
      <w:r>
        <w:t xml:space="preserve">Missingness, duplicates, and outliers are different problems. A missing value may be expected because a market was closed; a duplicate may be a genuine repeated transaction; an extreme observation may be the event of greatest interest. Cleaning rules therefore require domain knowledge. Every deletion or replacement should be reproducible, counted, and described. A validation report is often more informative than a single</w:t>
      </w:r>
      <w:r>
        <w:t xml:space="preserve"> </w:t>
      </w:r>
      <w:r>
        <w:t xml:space="preserve">“</w:t>
      </w:r>
      <w:r>
        <w:t xml:space="preserve">cleaned</w:t>
      </w:r>
      <w:r>
        <w:t xml:space="preserve">”</w:t>
      </w:r>
      <w:r>
        <w:t xml:space="preserve"> </w:t>
      </w:r>
      <w:r>
        <w:t xml:space="preserve">file.</w:t>
      </w:r>
    </w:p>
    <w:bookmarkEnd w:id="192"/>
    <w:bookmarkStart w:id="193" w:name="a-schema-makes-assumptions-executable"/>
    <w:p>
      <w:pPr>
        <w:pStyle w:val="Heading2"/>
        <w:keepNext/>
      </w:pPr>
      <w:r>
        <w:rPr>
          <w:rStyle w:val="SectionNumber"/>
          <w:rFonts w:ascii="Noto Sans" w:hAnsi="Noto Sans" w:eastAsia="Noto Sans" w:cs="Noto Sans"/>
          <w:b/>
          <w:color w:val="008F87"/>
          <w:sz w:val="29"/>
        </w:rPr>
        <w:t xml:space="preserve">10.4</w:t>
      </w:r>
      <w:r>
        <w:rPr>
          <w:rFonts w:ascii="Noto Sans" w:hAnsi="Noto Sans" w:eastAsia="Noto Sans" w:cs="Noto Sans"/>
          <w:b/>
          <w:color w:val="008F87"/>
          <w:sz w:val="29"/>
        </w:rPr>
        <w:tab/>
      </w:r>
      <w:r>
        <w:rPr>
          <w:rFonts w:ascii="Noto Sans" w:hAnsi="Noto Sans" w:eastAsia="Noto Sans" w:cs="Noto Sans"/>
          <w:b/>
          <w:color w:val="008F87"/>
          <w:sz w:val="29"/>
        </w:rPr>
        <w:t xml:space="preserve">A schema makes assumptions executable</w:t>
      </w:r>
    </w:p>
    <w:p>
      <w:pPr>
        <w:pStyle w:val="FirstParagraph"/>
      </w:pPr>
      <w:r>
        <w:t xml:space="preserve">Validation checks can assert unique keys, allowed categories, positive prices, monotonic dates, and plausible ranges. Failing early is better than fitting a model to invalid inputs. The goal is not to force data into a preferred story, but to test whether the file satisfies the conditions required by the next analytical step.</w:t>
      </w:r>
    </w:p>
    <w:bookmarkEnd w:id="193"/>
    <w:bookmarkStart w:id="196" w:name="python-demonstrations-9"/>
    <w:p>
      <w:pPr>
        <w:pStyle w:val="Heading2"/>
        <w:keepNext/>
      </w:pPr>
      <w:r>
        <w:rPr>
          <w:rStyle w:val="SectionNumber"/>
          <w:rFonts w:ascii="Noto Sans" w:hAnsi="Noto Sans" w:eastAsia="Noto Sans" w:cs="Noto Sans"/>
          <w:b/>
          <w:color w:val="008F87"/>
          <w:sz w:val="29"/>
        </w:rPr>
        <w:t xml:space="preserve">10.5</w:t>
      </w:r>
      <w:r>
        <w:rPr>
          <w:rFonts w:ascii="Noto Sans" w:hAnsi="Noto Sans" w:eastAsia="Noto Sans" w:cs="Noto Sans"/>
          <w:b/>
          <w:color w:val="008F87"/>
          <w:sz w:val="29"/>
        </w:rPr>
        <w:tab/>
      </w:r>
      <w:r>
        <w:rPr>
          <w:rFonts w:ascii="Noto Sans" w:hAnsi="Noto Sans" w:eastAsia="Noto Sans" w:cs="Noto Sans"/>
          <w:b/>
          <w:color w:val="008F87"/>
          <w:sz w:val="29"/>
        </w:rPr>
        <w:t xml:space="preserve">Python demonstrations</w:t>
      </w:r>
    </w:p>
    <w:bookmarkStart w:id="194" w:name="demonstration-10.1-clean-a-small-table"/>
    <w:p>
      <w:pPr>
        <w:pStyle w:val="Heading3"/>
        <w:keepNext/>
      </w:pPr>
      <w:r>
        <w:rPr>
          <w:rStyle w:val="SectionNumber"/>
          <w:rFonts w:ascii="Noto Sans" w:hAnsi="Noto Sans" w:eastAsia="Noto Sans" w:cs="Noto Sans"/>
          <w:b/>
          <w:color w:val="0A2342"/>
          <w:sz w:val="23"/>
        </w:rPr>
        <w:t xml:space="preserve">10.5.1</w:t>
      </w:r>
      <w:r>
        <w:rPr>
          <w:rFonts w:ascii="Noto Sans" w:hAnsi="Noto Sans" w:eastAsia="Noto Sans" w:cs="Noto Sans"/>
          <w:b/>
          <w:color w:val="0A2342"/>
          <w:sz w:val="23"/>
        </w:rPr>
        <w:tab/>
      </w:r>
      <w:r>
        <w:rPr>
          <w:rFonts w:ascii="Noto Sans" w:hAnsi="Noto Sans" w:eastAsia="Noto Sans" w:cs="Noto Sans"/>
          <w:b/>
          <w:color w:val="0A2342"/>
          <w:sz w:val="23"/>
        </w:rPr>
        <w:t xml:space="preserve">Demonstration 10.1: Clean a small table</w:t>
      </w:r>
    </w:p>
    <w:p>
      <w:pPr>
        <w:pStyle w:val="SourceCode"/>
        <w:shd w:fill="F6F8FA" w:val="clear"/>
      </w:pPr>
      <w:r>
        <w:rPr>
          <w:rStyle w:val="ImportTok"/>
        </w:rPr>
        <w:t xml:space="preserve">import</w:t>
      </w:r>
      <w:r>
        <w:rPr>
          <w:rStyle w:val="NormalTok"/>
        </w:rPr>
        <w:t xml:space="preserve"> pandas </w:t>
      </w:r>
      <w:r>
        <w:rPr>
          <w:rStyle w:val="ImportTok"/>
        </w:rPr>
        <w:t xml:space="preserve">as</w:t>
      </w:r>
      <w:r>
        <w:rPr>
          <w:rStyle w:val="NormalTok"/>
        </w:rPr>
        <w:t xml:space="preserve"> pd</w:t>
      </w:r>
      <w:r>
        <w:br/>
      </w:r>
      <w:r>
        <w:rPr>
          <w:rStyle w:val="ImportTok"/>
        </w:rPr>
        <w:t xml:space="preserve">from</w:t>
      </w:r>
      <w:r>
        <w:rPr>
          <w:rStyle w:val="NormalTok"/>
        </w:rPr>
        <w:t xml:space="preserve"> io </w:t>
      </w:r>
      <w:r>
        <w:rPr>
          <w:rStyle w:val="ImportTok"/>
        </w:rPr>
        <w:t xml:space="preserve">import</w:t>
      </w:r>
      <w:r>
        <w:rPr>
          <w:rStyle w:val="NormalTok"/>
        </w:rPr>
        <w:t xml:space="preserve"> StringIO</w:t>
      </w:r>
      <w:r>
        <w:br/>
      </w:r>
      <w:r>
        <w:br/>
      </w:r>
      <w:r>
        <w:rPr>
          <w:rStyle w:val="NormalTok"/>
        </w:rPr>
        <w:t xml:space="preserve">raw </w:t>
      </w:r>
      <w:r>
        <w:rPr>
          <w:rStyle w:val="OperatorTok"/>
        </w:rPr>
        <w:t xml:space="preserve">=</w:t>
      </w:r>
      <w:r>
        <w:rPr>
          <w:rStyle w:val="NormalTok"/>
        </w:rPr>
        <w:t xml:space="preserve"> StringIO(</w:t>
      </w:r>
      <w:r>
        <w:rPr>
          <w:rStyle w:val="StringTok"/>
        </w:rPr>
        <w:t xml:space="preserve">"date,value</w:t>
      </w:r>
      <w:r>
        <w:rPr>
          <w:rStyle w:val="CharTok"/>
        </w:rPr>
        <w:t xml:space="preserve">\n</w:t>
      </w:r>
      <w:r>
        <w:rPr>
          <w:rStyle w:val="StringTok"/>
        </w:rPr>
        <w:t xml:space="preserve">2026-01-01,2.1</w:t>
      </w:r>
      <w:r>
        <w:rPr>
          <w:rStyle w:val="CharTok"/>
        </w:rPr>
        <w:t xml:space="preserve">\n</w:t>
      </w:r>
      <w:r>
        <w:rPr>
          <w:rStyle w:val="StringTok"/>
        </w:rPr>
        <w:t xml:space="preserve">2026-02-01,NA</w:t>
      </w:r>
      <w:r>
        <w:rPr>
          <w:rStyle w:val="CharTok"/>
        </w:rPr>
        <w:t xml:space="preserve">\n</w:t>
      </w:r>
      <w:r>
        <w:rPr>
          <w:rStyle w:val="StringTok"/>
        </w:rPr>
        <w:t xml:space="preserve">2026-02-01,2.4"</w:t>
      </w:r>
      <w:r>
        <w:rPr>
          <w:rStyle w:val="NormalTok"/>
        </w:rPr>
        <w:t xml:space="preserve">)</w:t>
      </w:r>
      <w:r>
        <w:br/>
      </w:r>
      <w:r>
        <w:rPr>
          <w:rStyle w:val="NormalTok"/>
        </w:rPr>
        <w:t xml:space="preserve">df </w:t>
      </w:r>
      <w:r>
        <w:rPr>
          <w:rStyle w:val="OperatorTok"/>
        </w:rPr>
        <w:t xml:space="preserve">=</w:t>
      </w:r>
      <w:r>
        <w:rPr>
          <w:rStyle w:val="NormalTok"/>
        </w:rPr>
        <w:t xml:space="preserve"> pd.read_csv(raw, parse_dates</w:t>
      </w:r>
      <w:r>
        <w:rPr>
          <w:rStyle w:val="OperatorTok"/>
        </w:rPr>
        <w:t xml:space="preserve">=</w:t>
      </w:r>
      <w:r>
        <w:rPr>
          <w:rStyle w:val="NormalTok"/>
        </w:rPr>
        <w:t xml:space="preserve">[</w:t>
      </w:r>
      <w:r>
        <w:rPr>
          <w:rStyle w:val="StringTok"/>
        </w:rPr>
        <w:t xml:space="preserve">"date"</w:t>
      </w:r>
      <w:r>
        <w:rPr>
          <w:rStyle w:val="NormalTok"/>
        </w:rPr>
        <w:t xml:space="preserve">], na_values</w:t>
      </w:r>
      <w:r>
        <w:rPr>
          <w:rStyle w:val="OperatorTok"/>
        </w:rPr>
        <w:t xml:space="preserve">=</w:t>
      </w:r>
      <w:r>
        <w:rPr>
          <w:rStyle w:val="NormalTok"/>
        </w:rPr>
        <w:t xml:space="preserve">[</w:t>
      </w:r>
      <w:r>
        <w:rPr>
          <w:rStyle w:val="StringTok"/>
        </w:rPr>
        <w:t xml:space="preserve">"NA"</w:t>
      </w:r>
      <w:r>
        <w:rPr>
          <w:rStyle w:val="NormalTok"/>
        </w:rPr>
        <w:t xml:space="preserve">])</w:t>
      </w:r>
      <w:r>
        <w:br/>
      </w:r>
      <w:r>
        <w:rPr>
          <w:rStyle w:val="NormalTok"/>
        </w:rPr>
        <w:t xml:space="preserve">df[</w:t>
      </w:r>
      <w:r>
        <w:rPr>
          <w:rStyle w:val="StringTok"/>
        </w:rPr>
        <w:t xml:space="preserve">"is_duplicate_date"</w:t>
      </w:r>
      <w:r>
        <w:rPr>
          <w:rStyle w:val="NormalTok"/>
        </w:rPr>
        <w:t xml:space="preserve">] </w:t>
      </w:r>
      <w:r>
        <w:rPr>
          <w:rStyle w:val="OperatorTok"/>
        </w:rPr>
        <w:t xml:space="preserve">=</w:t>
      </w:r>
      <w:r>
        <w:rPr>
          <w:rStyle w:val="NormalTok"/>
        </w:rPr>
        <w:t xml:space="preserve"> df.duplicated(</w:t>
      </w:r>
      <w:r>
        <w:rPr>
          <w:rStyle w:val="StringTok"/>
        </w:rPr>
        <w:t xml:space="preserve">"date"</w:t>
      </w:r>
      <w:r>
        <w:rPr>
          <w:rStyle w:val="NormalTok"/>
        </w:rPr>
        <w:t xml:space="preserve">, keep</w:t>
      </w:r>
      <w:r>
        <w:rPr>
          <w:rStyle w:val="OperatorTok"/>
        </w:rPr>
        <w:t xml:space="preserve">=</w:t>
      </w:r>
      <w:r>
        <w:rPr>
          <w:rStyle w:val="VariableTok"/>
        </w:rPr>
        <w:t xml:space="preserve">False</w:t>
      </w:r>
      <w:r>
        <w:rPr>
          <w:rStyle w:val="NormalTok"/>
        </w:rPr>
        <w:t xml:space="preserve">)</w:t>
      </w:r>
      <w:r>
        <w:br/>
      </w:r>
      <w:r>
        <w:rPr>
          <w:rStyle w:val="BuiltInTok"/>
        </w:rPr>
        <w:t xml:space="preserve">print</w:t>
      </w:r>
      <w:r>
        <w:rPr>
          <w:rStyle w:val="NormalTok"/>
        </w:rPr>
        <w:t xml:space="preserve">(df.isna().</w:t>
      </w:r>
      <w:r>
        <w:rPr>
          <w:rStyle w:val="BuiltInTok"/>
        </w:rPr>
        <w:t xml:space="preserve">sum</w:t>
      </w:r>
      <w:r>
        <w:rPr>
          <w:rStyle w:val="NormalTok"/>
        </w:rPr>
        <w:t xml:space="preserve">().to_dict())</w:t>
      </w:r>
      <w:r>
        <w:br/>
      </w:r>
      <w:r>
        <w:rPr>
          <w:rStyle w:val="BuiltInTok"/>
        </w:rPr>
        <w:t xml:space="preserve">print</w:t>
      </w:r>
      <w:r>
        <w:rPr>
          <w:rStyle w:val="NormalTok"/>
        </w:rPr>
        <w:t xml:space="preserve">(df[</w:t>
      </w:r>
      <w:r>
        <w:rPr>
          <w:rStyle w:val="StringTok"/>
        </w:rPr>
        <w:t xml:space="preserve">"is_duplicate_date"</w:t>
      </w:r>
      <w:r>
        <w:rPr>
          <w:rStyle w:val="NormalTok"/>
        </w:rPr>
        <w:t xml:space="preserve">].</w:t>
      </w:r>
      <w:r>
        <w:rPr>
          <w:rStyle w:val="BuiltInTok"/>
        </w:rPr>
        <w:t xml:space="preserve">sum</w:t>
      </w:r>
      <w:r>
        <w:rPr>
          <w:rStyle w:val="NormalTok"/>
        </w:rPr>
        <w:t xml:space="preserve">())</w:t>
      </w:r>
    </w:p>
    <w:p>
      <w:pPr>
        <w:pStyle w:val="FirstParagraph"/>
      </w:pPr>
      <w:r>
        <w:rPr>
          <w:b/>
          <w:bCs/>
        </w:rPr>
        <w:t xml:space="preserve">Verified output</w:t>
      </w:r>
    </w:p>
    <w:p>
      <w:pPr>
        <w:pStyle w:val="SourceCode"/>
        <w:keepLines/>
        <w:shd w:fill="F6F8FA" w:val="clear"/>
      </w:pPr>
      <w:r>
        <w:rPr>
          <w:rStyle w:val="VerbatimChar"/>
        </w:rPr>
        <w:t xml:space="preserve">{'date': 0, 'value': 1, 'is_duplicate_date': 0}</w:t>
      </w:r>
      <w:r>
        <w:br/>
      </w:r>
      <w:r>
        <w:rPr>
          <w:rStyle w:val="VerbatimChar"/>
        </w:rPr>
        <w:t xml:space="preserve">2</w:t>
      </w:r>
    </w:p>
    <w:p>
      <w:pPr>
        <w:pStyle w:val="FirstParagraph"/>
      </w:pPr>
      <w:r>
        <w:rPr>
          <w:b/>
          <w:bCs/>
        </w:rPr>
        <w:t xml:space="preserve">Interpretation.</w:t>
      </w:r>
      <w:r>
        <w:t xml:space="preserve"> </w:t>
      </w:r>
      <w:r>
        <w:t xml:space="preserve">The missing-value count and duplicate flag describe separate quality concerns.</w:t>
      </w:r>
    </w:p>
    <w:bookmarkEnd w:id="194"/>
    <w:bookmarkStart w:id="195" w:name="X98ec967b12bb5e2135936f84f53970fd43e7697"/>
    <w:p>
      <w:pPr>
        <w:pStyle w:val="Heading3"/>
        <w:keepNext/>
      </w:pPr>
      <w:r>
        <w:rPr>
          <w:rStyle w:val="SectionNumber"/>
          <w:rFonts w:ascii="Noto Sans" w:hAnsi="Noto Sans" w:eastAsia="Noto Sans" w:cs="Noto Sans"/>
          <w:b/>
          <w:color w:val="0A2342"/>
          <w:sz w:val="23"/>
        </w:rPr>
        <w:t xml:space="preserve">10.5.2</w:t>
      </w:r>
      <w:r>
        <w:rPr>
          <w:rFonts w:ascii="Noto Sans" w:hAnsi="Noto Sans" w:eastAsia="Noto Sans" w:cs="Noto Sans"/>
          <w:b/>
          <w:color w:val="0A2342"/>
          <w:sz w:val="23"/>
        </w:rPr>
        <w:tab/>
      </w:r>
      <w:r>
        <w:rPr>
          <w:rFonts w:ascii="Noto Sans" w:hAnsi="Noto Sans" w:eastAsia="Noto Sans" w:cs="Noto Sans"/>
          <w:b/>
          <w:color w:val="0A2342"/>
          <w:sz w:val="23"/>
        </w:rPr>
        <w:t xml:space="preserve">Demonstration 10.2: Validate an economic series</w:t>
      </w:r>
    </w:p>
    <w:p>
      <w:pPr>
        <w:pStyle w:val="SourceCode"/>
        <w:shd w:fill="F6F8FA" w:val="clear"/>
      </w:pPr>
      <w:r>
        <w:rPr>
          <w:rStyle w:val="KeywordTok"/>
        </w:rPr>
        <w:t xml:space="preserve">def</w:t>
      </w:r>
      <w:r>
        <w:rPr>
          <w:rStyle w:val="NormalTok"/>
        </w:rPr>
        <w:t xml:space="preserve"> validate_series(frame):</w:t>
      </w:r>
      <w:r>
        <w:br/>
      </w:r>
      <w:r>
        <w:rPr>
          <w:rStyle w:val="NormalTok"/>
        </w:rPr>
        <w:t xml:space="preserve">    </w:t>
      </w:r>
      <w:r>
        <w:rPr>
          <w:rStyle w:val="ControlFlowTok"/>
        </w:rPr>
        <w:t xml:space="preserve">assert</w:t>
      </w:r>
      <w:r>
        <w:rPr>
          <w:rStyle w:val="NormalTok"/>
        </w:rPr>
        <w:t xml:space="preserve"> frame[</w:t>
      </w:r>
      <w:r>
        <w:rPr>
          <w:rStyle w:val="StringTok"/>
        </w:rPr>
        <w:t xml:space="preserve">"date"</w:t>
      </w:r>
      <w:r>
        <w:rPr>
          <w:rStyle w:val="NormalTok"/>
        </w:rPr>
        <w:t xml:space="preserve">].notna().</w:t>
      </w:r>
      <w:r>
        <w:rPr>
          <w:rStyle w:val="BuiltInTok"/>
        </w:rPr>
        <w:t xml:space="preserve">all</w:t>
      </w:r>
      <w:r>
        <w:rPr>
          <w:rStyle w:val="NormalTok"/>
        </w:rPr>
        <w:t xml:space="preserve">(), </w:t>
      </w:r>
      <w:r>
        <w:rPr>
          <w:rStyle w:val="StringTok"/>
        </w:rPr>
        <w:t xml:space="preserve">"dates must be present"</w:t>
      </w:r>
      <w:r>
        <w:br/>
      </w:r>
      <w:r>
        <w:rPr>
          <w:rStyle w:val="NormalTok"/>
        </w:rPr>
        <w:t xml:space="preserve">    </w:t>
      </w:r>
      <w:r>
        <w:rPr>
          <w:rStyle w:val="ControlFlowTok"/>
        </w:rPr>
        <w:t xml:space="preserve">assert</w:t>
      </w:r>
      <w:r>
        <w:rPr>
          <w:rStyle w:val="NormalTok"/>
        </w:rPr>
        <w:t xml:space="preserve"> frame[</w:t>
      </w:r>
      <w:r>
        <w:rPr>
          <w:rStyle w:val="StringTok"/>
        </w:rPr>
        <w:t xml:space="preserve">"date"</w:t>
      </w:r>
      <w:r>
        <w:rPr>
          <w:rStyle w:val="NormalTok"/>
        </w:rPr>
        <w:t xml:space="preserve">].is_monotonic_increasing, </w:t>
      </w:r>
      <w:r>
        <w:rPr>
          <w:rStyle w:val="StringTok"/>
        </w:rPr>
        <w:t xml:space="preserve">"dates must be sorted"</w:t>
      </w:r>
      <w:r>
        <w:br/>
      </w:r>
      <w:r>
        <w:rPr>
          <w:rStyle w:val="NormalTok"/>
        </w:rPr>
        <w:t xml:space="preserve">    </w:t>
      </w:r>
      <w:r>
        <w:rPr>
          <w:rStyle w:val="ControlFlowTok"/>
        </w:rPr>
        <w:t xml:space="preserve">assert</w:t>
      </w:r>
      <w:r>
        <w:rPr>
          <w:rStyle w:val="NormalTok"/>
        </w:rPr>
        <w:t xml:space="preserve"> frame[</w:t>
      </w:r>
      <w:r>
        <w:rPr>
          <w:rStyle w:val="StringTok"/>
        </w:rPr>
        <w:t xml:space="preserve">"value"</w:t>
      </w:r>
      <w:r>
        <w:rPr>
          <w:rStyle w:val="NormalTok"/>
        </w:rPr>
        <w:t xml:space="preserve">].dropna().between(</w:t>
      </w:r>
      <w:r>
        <w:rPr>
          <w:rStyle w:val="OperatorTok"/>
        </w:rPr>
        <w:t xml:space="preserve">-</w:t>
      </w:r>
      <w:r>
        <w:rPr>
          <w:rStyle w:val="DecValTok"/>
        </w:rPr>
        <w:t xml:space="preserve">100</w:t>
      </w:r>
      <w:r>
        <w:rPr>
          <w:rStyle w:val="NormalTok"/>
        </w:rPr>
        <w:t xml:space="preserve">, </w:t>
      </w:r>
      <w:r>
        <w:rPr>
          <w:rStyle w:val="DecValTok"/>
        </w:rPr>
        <w:t xml:space="preserve">100</w:t>
      </w:r>
      <w:r>
        <w:rPr>
          <w:rStyle w:val="NormalTok"/>
        </w:rPr>
        <w:t xml:space="preserve">).</w:t>
      </w:r>
      <w:r>
        <w:rPr>
          <w:rStyle w:val="BuiltInTok"/>
        </w:rPr>
        <w:t xml:space="preserve">all</w:t>
      </w:r>
      <w:r>
        <w:rPr>
          <w:rStyle w:val="NormalTok"/>
        </w:rPr>
        <w:t xml:space="preserve">(), </w:t>
      </w:r>
      <w:r>
        <w:rPr>
          <w:rStyle w:val="StringTok"/>
        </w:rPr>
        <w:t xml:space="preserve">"value outside range"</w:t>
      </w:r>
      <w:r>
        <w:br/>
      </w:r>
      <w:r>
        <w:rPr>
          <w:rStyle w:val="NormalTok"/>
        </w:rPr>
        <w:t xml:space="preserve">    </w:t>
      </w:r>
      <w:r>
        <w:rPr>
          <w:rStyle w:val="ControlFlowTok"/>
        </w:rPr>
        <w:t xml:space="preserve">return</w:t>
      </w:r>
      <w:r>
        <w:rPr>
          <w:rStyle w:val="NormalTok"/>
        </w:rPr>
        <w:t xml:space="preserve"> </w:t>
      </w:r>
      <w:r>
        <w:rPr>
          <w:rStyle w:val="VariableTok"/>
        </w:rPr>
        <w:t xml:space="preserve">True</w:t>
      </w:r>
      <w:r>
        <w:br/>
      </w:r>
      <w:r>
        <w:br/>
      </w:r>
      <w:r>
        <w:rPr>
          <w:rStyle w:val="BuiltInTok"/>
        </w:rPr>
        <w:t xml:space="preserve">print</w:t>
      </w:r>
      <w:r>
        <w:rPr>
          <w:rStyle w:val="NormalTok"/>
        </w:rPr>
        <w:t xml:space="preserve">(validate_series(df.sort_values(</w:t>
      </w:r>
      <w:r>
        <w:rPr>
          <w:rStyle w:val="StringTok"/>
        </w:rPr>
        <w:t xml:space="preserve">"date"</w:t>
      </w:r>
      <w:r>
        <w:rPr>
          <w:rStyle w:val="NormalTok"/>
        </w:rPr>
        <w:t xml:space="preserve">)))</w:t>
      </w:r>
    </w:p>
    <w:p>
      <w:pPr>
        <w:pStyle w:val="FirstParagraph"/>
      </w:pPr>
      <w:r>
        <w:rPr>
          <w:b/>
          <w:bCs/>
        </w:rPr>
        <w:t xml:space="preserve">Verified output</w:t>
      </w:r>
    </w:p>
    <w:p>
      <w:pPr>
        <w:pStyle w:val="SourceCode"/>
        <w:keepLines/>
        <w:shd w:fill="F6F8FA" w:val="clear"/>
      </w:pPr>
      <w:r>
        <w:rPr>
          <w:rStyle w:val="VerbatimChar"/>
        </w:rPr>
        <w:t xml:space="preserve">True</w:t>
      </w:r>
    </w:p>
    <w:p>
      <w:pPr>
        <w:pStyle w:val="FirstParagraph"/>
      </w:pPr>
      <w:r>
        <w:rPr>
          <w:b/>
          <w:bCs/>
        </w:rPr>
        <w:t xml:space="preserve">Interpretation.</w:t>
      </w:r>
      <w:r>
        <w:t xml:space="preserve"> </w:t>
      </w:r>
      <w:r>
        <w:t xml:space="preserve">The range is intentionally broad for illustration. Real thresholds should reflect the variable and units.</w:t>
      </w:r>
    </w:p>
    <w:bookmarkEnd w:id="195"/>
    <w:bookmarkEnd w:id="196"/>
    <w:bookmarkStart w:id="200" w:name="visual-evidence-9"/>
    <w:p>
      <w:pPr>
        <w:pStyle w:val="Heading2"/>
        <w:keepNext/>
      </w:pPr>
      <w:r>
        <w:rPr>
          <w:rStyle w:val="SectionNumber"/>
          <w:rFonts w:ascii="Noto Sans" w:hAnsi="Noto Sans" w:eastAsia="Noto Sans" w:cs="Noto Sans"/>
          <w:b/>
          <w:color w:val="008F87"/>
          <w:sz w:val="29"/>
        </w:rPr>
        <w:t xml:space="preserve">10.6</w:t>
      </w:r>
      <w:r>
        <w:rPr>
          <w:rFonts w:ascii="Noto Sans" w:hAnsi="Noto Sans" w:eastAsia="Noto Sans" w:cs="Noto Sans"/>
          <w:b/>
          <w:color w:val="008F87"/>
          <w:sz w:val="29"/>
        </w:rPr>
        <w:tab/>
      </w:r>
      <w:r>
        <w:rPr>
          <w:rFonts w:ascii="Noto Sans" w:hAnsi="Noto Sans" w:eastAsia="Noto Sans" w:cs="Noto Sans"/>
          <w:b/>
          <w:color w:val="008F87"/>
          <w:sz w:val="29"/>
        </w:rPr>
        <w:t xml:space="preserve">Visual evidence</w:t>
      </w:r>
    </w:p>
    <w:p>
      <w:pPr>
        <w:pStyle w:val="FirstParagraph"/>
      </w:pPr>
      <w:r>
        <w:drawing>
          <wp:inline>
            <wp:extent cx="4907280" cy="2904515"/>
            <wp:effectExtent b="0" l="0" r="0" t="0"/>
            <wp:docPr descr="Image: rId197.png" title="" id="198" name="Picture"/>
            <a:graphic>
              <a:graphicData uri="http://schemas.openxmlformats.org/drawingml/2006/picture">
                <pic:pic>
                  <pic:nvPicPr>
                    <pic:cNvPr descr="figures/fig_10_missingness.png" id="199" name="Picture"/>
                    <pic:cNvPicPr>
                      <a:picLocks noChangeArrowheads="1" noChangeAspect="1"/>
                    </pic:cNvPicPr>
                  </pic:nvPicPr>
                  <pic:blipFill>
                    <a:blip r:embed="rId197"/>
                    <a:stretch>
                      <a:fillRect/>
                    </a:stretch>
                  </pic:blipFill>
                  <pic:spPr bwMode="auto">
                    <a:xfrm>
                      <a:off x="0" y="0"/>
                      <a:ext cx="4907280" cy="2904515"/>
                    </a:xfrm>
                    <a:prstGeom prst="rect">
                      <a:avLst/>
                    </a:prstGeom>
                    <a:noFill/>
                    <a:ln w="9525">
                      <a:noFill/>
                      <a:headEnd/>
                      <a:tailEnd/>
                    </a:ln>
                  </pic:spPr>
                </pic:pic>
              </a:graphicData>
            </a:graphic>
          </wp:inline>
        </w:drawing>
      </w:r>
    </w:p>
    <w:p>
      <w:pPr>
        <w:pStyle w:val="Caption"/>
        <w:keepNext w:val="0"/>
        <w:jc w:val="center"/>
      </w:pPr>
      <w:r>
        <w:rPr>
          <w:b/>
          <w:bCs/>
        </w:rPr>
        <w:t xml:space="preserve">Figure 10.</w:t>
      </w:r>
      <w:r>
        <w:t xml:space="preserve"> </w:t>
      </w:r>
      <w:r>
        <w:t xml:space="preserve">A missing-value map helps reveal whether gaps are isolated, clustered, or systematic.</w:t>
      </w:r>
    </w:p>
    <w:bookmarkEnd w:id="200"/>
    <w:bookmarkStart w:id="201" w:name="reference-table-9"/>
    <w:p>
      <w:pPr>
        <w:pStyle w:val="Heading2"/>
        <w:keepNext/>
      </w:pPr>
      <w:r>
        <w:rPr>
          <w:rStyle w:val="SectionNumber"/>
          <w:rFonts w:ascii="Noto Sans" w:hAnsi="Noto Sans" w:eastAsia="Noto Sans" w:cs="Noto Sans"/>
          <w:b/>
          <w:color w:val="008F87"/>
          <w:sz w:val="29"/>
        </w:rPr>
        <w:t xml:space="preserve">10.7</w:t>
      </w:r>
      <w:r>
        <w:rPr>
          <w:rFonts w:ascii="Noto Sans" w:hAnsi="Noto Sans" w:eastAsia="Noto Sans" w:cs="Noto Sans"/>
          <w:b/>
          <w:color w:val="008F87"/>
          <w:sz w:val="29"/>
        </w:rPr>
        <w:tab/>
      </w:r>
      <w:r>
        <w:rPr>
          <w:rFonts w:ascii="Noto Sans" w:hAnsi="Noto Sans" w:eastAsia="Noto Sans" w:cs="Noto Sans"/>
          <w:b/>
          <w:color w:val="008F87"/>
          <w:sz w:val="29"/>
        </w:rPr>
        <w:t xml:space="preserve">Reference table</w:t>
      </w:r>
    </w:p>
    <w:p>
      <w:pPr>
        <w:pStyle w:val="Caption"/>
        <w:keepNext/>
        <w:jc w:val="center"/>
      </w:pPr>
      <w:r>
        <w:rPr>
          <w:b/>
          <w:bCs/>
        </w:rPr>
        <w:t xml:space="preserve">Table 10. Chapter reference.</w:t>
      </w:r>
    </w:p>
    <w:tbl>
      <w:tblPr>
        <w:tblStyle w:val="Table"/>
        <w:tblW w:type="pct" w:w="5000"/>
        <w:jc w:val="center"/>
        <w:tblLayout w:type="autofit"/>
        <w:tblLook w:firstRow="1" w:lastRow="0" w:firstColumn="0" w:lastColumn="0" w:noHBand="0" w:noVBand="0" w:val="0020"/>
      </w:tblPr>
      <w:tblGrid>
        <w:gridCol w:w="2640"/>
        <w:gridCol w:w="2640"/>
        <w:gridCol w:w="2640"/>
      </w:tblGrid>
      <w:tr>
        <w:trPr>
          <w:tblHeader w:val="on"/>
          <w:tblHeader w:val="true"/>
          <w:cantSplit/>
        </w:trPr>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0A2342" w:val="clear"/>
          </w:tcPr>
          <w:p>
            <w:pPr>
              <w:pStyle w:val="Compact"/>
              <w:spacing w:before="30" w:after="30" w:line="240" w:lineRule="auto"/>
              <w:jc w:val="left"/>
            </w:pPr>
            <w:r>
              <w:rPr>
                <w:rFonts w:ascii="Noto Sans" w:hAnsi="Noto Sans" w:eastAsia="Noto Sans" w:cs="Noto Sans"/>
                <w:b/>
                <w:color w:val="FFFFFF"/>
                <w:sz w:val="16"/>
              </w:rPr>
              <w:t xml:space="preserve">Issue</w:t>
            </w:r>
          </w:p>
        </w:tc>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0A2342" w:val="clear"/>
          </w:tcPr>
          <w:p>
            <w:pPr>
              <w:pStyle w:val="Compact"/>
              <w:spacing w:before="30" w:after="30" w:line="240" w:lineRule="auto"/>
              <w:jc w:val="left"/>
            </w:pPr>
            <w:r>
              <w:rPr>
                <w:rFonts w:ascii="Noto Sans" w:hAnsi="Noto Sans" w:eastAsia="Noto Sans" w:cs="Noto Sans"/>
                <w:b/>
                <w:color w:val="FFFFFF"/>
                <w:sz w:val="16"/>
              </w:rPr>
              <w:t xml:space="preserve">Diagnostic</w:t>
            </w:r>
          </w:p>
        </w:tc>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0A2342" w:val="clear"/>
          </w:tcPr>
          <w:p>
            <w:pPr>
              <w:pStyle w:val="Compact"/>
              <w:spacing w:before="30" w:after="30" w:line="240" w:lineRule="auto"/>
              <w:jc w:val="left"/>
            </w:pPr>
            <w:r>
              <w:rPr>
                <w:rFonts w:ascii="Noto Sans" w:hAnsi="Noto Sans" w:eastAsia="Noto Sans" w:cs="Noto Sans"/>
                <w:b/>
                <w:color w:val="FFFFFF"/>
                <w:sz w:val="16"/>
              </w:rPr>
              <w:t xml:space="preserve">Possible response</w:t>
            </w:r>
          </w:p>
        </w:tc>
      </w:tr>
      <w:tr>
        <w:trPr>
          <w:cantSplit/>
        </w:trPr>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EEF4F8" w:val="clear"/>
          </w:tcPr>
          <w:p>
            <w:pPr>
              <w:pStyle w:val="Compact"/>
              <w:spacing w:before="30" w:after="30" w:line="240" w:lineRule="auto"/>
              <w:jc w:val="left"/>
            </w:pPr>
            <w:r>
              <w:rPr>
                <w:rFonts w:ascii="Noto Sans" w:hAnsi="Noto Sans" w:eastAsia="Noto Sans" w:cs="Noto Sans"/>
                <w:b w:val="0"/>
                <w:color w:val="18212B"/>
                <w:sz w:val="16"/>
              </w:rPr>
              <w:t xml:space="preserve">Missing value</w:t>
            </w:r>
          </w:p>
        </w:tc>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EEF4F8" w:val="clear"/>
          </w:tcPr>
          <w:p>
            <w:pPr>
              <w:pStyle w:val="Compact"/>
              <w:spacing w:before="30" w:after="30" w:line="240" w:lineRule="auto"/>
              <w:jc w:val="left"/>
            </w:pPr>
            <w:r>
              <w:rPr>
                <w:rFonts w:ascii="Noto Sans" w:hAnsi="Noto Sans" w:eastAsia="Noto Sans" w:cs="Noto Sans"/>
                <w:b w:val="0"/>
                <w:color w:val="18212B"/>
                <w:sz w:val="16"/>
              </w:rPr>
              <w:t xml:space="preserve">isna().sum()</w:t>
            </w:r>
          </w:p>
        </w:tc>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EEF4F8" w:val="clear"/>
          </w:tcPr>
          <w:p>
            <w:pPr>
              <w:pStyle w:val="Compact"/>
              <w:spacing w:before="30" w:after="30" w:line="240" w:lineRule="auto"/>
              <w:jc w:val="left"/>
            </w:pPr>
            <w:r>
              <w:rPr>
                <w:rFonts w:ascii="Noto Sans" w:hAnsi="Noto Sans" w:eastAsia="Noto Sans" w:cs="Noto Sans"/>
                <w:b w:val="0"/>
                <w:color w:val="18212B"/>
                <w:sz w:val="16"/>
              </w:rPr>
              <w:t xml:space="preserve">investigate mechanism; impute only with justification</w:t>
            </w:r>
          </w:p>
        </w:tc>
      </w:tr>
      <w:tr>
        <w:trPr>
          <w:cantSplit/>
        </w:trPr>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FFFFFF" w:val="clear"/>
          </w:tcPr>
          <w:p>
            <w:pPr>
              <w:pStyle w:val="Compact"/>
              <w:spacing w:before="30" w:after="30" w:line="240" w:lineRule="auto"/>
              <w:jc w:val="left"/>
            </w:pPr>
            <w:r>
              <w:rPr>
                <w:rFonts w:ascii="Noto Sans" w:hAnsi="Noto Sans" w:eastAsia="Noto Sans" w:cs="Noto Sans"/>
                <w:b w:val="0"/>
                <w:color w:val="18212B"/>
                <w:sz w:val="16"/>
              </w:rPr>
              <w:t xml:space="preserve">Duplicate key</w:t>
            </w:r>
          </w:p>
        </w:tc>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FFFFFF" w:val="clear"/>
          </w:tcPr>
          <w:p>
            <w:pPr>
              <w:pStyle w:val="Compact"/>
              <w:spacing w:before="30" w:after="30" w:line="240" w:lineRule="auto"/>
              <w:jc w:val="left"/>
            </w:pPr>
            <w:r>
              <w:rPr>
                <w:rFonts w:ascii="Noto Sans" w:hAnsi="Noto Sans" w:eastAsia="Noto Sans" w:cs="Noto Sans"/>
                <w:b w:val="0"/>
                <w:color w:val="18212B"/>
                <w:sz w:val="16"/>
              </w:rPr>
              <w:t xml:space="preserve">duplicated(keys)</w:t>
            </w:r>
          </w:p>
        </w:tc>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FFFFFF" w:val="clear"/>
          </w:tcPr>
          <w:p>
            <w:pPr>
              <w:pStyle w:val="Compact"/>
              <w:spacing w:before="30" w:after="30" w:line="240" w:lineRule="auto"/>
              <w:jc w:val="left"/>
            </w:pPr>
            <w:r>
              <w:rPr>
                <w:rFonts w:ascii="Noto Sans" w:hAnsi="Noto Sans" w:eastAsia="Noto Sans" w:cs="Noto Sans"/>
                <w:b w:val="0"/>
                <w:color w:val="18212B"/>
                <w:sz w:val="16"/>
              </w:rPr>
              <w:t xml:space="preserve">resolve or aggregate with documented rule</w:t>
            </w:r>
          </w:p>
        </w:tc>
      </w:tr>
      <w:tr>
        <w:trPr>
          <w:cantSplit/>
        </w:trPr>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EEF4F8" w:val="clear"/>
          </w:tcPr>
          <w:p>
            <w:pPr>
              <w:pStyle w:val="Compact"/>
              <w:spacing w:before="30" w:after="30" w:line="240" w:lineRule="auto"/>
              <w:jc w:val="left"/>
            </w:pPr>
            <w:r>
              <w:rPr>
                <w:rFonts w:ascii="Noto Sans" w:hAnsi="Noto Sans" w:eastAsia="Noto Sans" w:cs="Noto Sans"/>
                <w:b w:val="0"/>
                <w:color w:val="18212B"/>
                <w:sz w:val="16"/>
              </w:rPr>
              <w:t xml:space="preserve">Invalid range</w:t>
            </w:r>
          </w:p>
        </w:tc>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EEF4F8" w:val="clear"/>
          </w:tcPr>
          <w:p>
            <w:pPr>
              <w:pStyle w:val="Compact"/>
              <w:spacing w:before="30" w:after="30" w:line="240" w:lineRule="auto"/>
              <w:jc w:val="left"/>
            </w:pPr>
            <w:r>
              <w:rPr>
                <w:rFonts w:ascii="Noto Sans" w:hAnsi="Noto Sans" w:eastAsia="Noto Sans" w:cs="Noto Sans"/>
                <w:b w:val="0"/>
                <w:color w:val="18212B"/>
                <w:sz w:val="16"/>
              </w:rPr>
              <w:t xml:space="preserve">between(low, high)</w:t>
            </w:r>
          </w:p>
        </w:tc>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EEF4F8" w:val="clear"/>
          </w:tcPr>
          <w:p>
            <w:pPr>
              <w:pStyle w:val="Compact"/>
              <w:spacing w:before="30" w:after="30" w:line="240" w:lineRule="auto"/>
              <w:jc w:val="left"/>
            </w:pPr>
            <w:r>
              <w:rPr>
                <w:rFonts w:ascii="Noto Sans" w:hAnsi="Noto Sans" w:eastAsia="Noto Sans" w:cs="Noto Sans"/>
                <w:b w:val="0"/>
                <w:color w:val="18212B"/>
                <w:sz w:val="16"/>
              </w:rPr>
              <w:t xml:space="preserve">correct source or reject row</w:t>
            </w:r>
          </w:p>
        </w:tc>
      </w:tr>
      <w:tr>
        <w:trPr>
          <w:cantSplit/>
        </w:trPr>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FFFFFF" w:val="clear"/>
          </w:tcPr>
          <w:p>
            <w:pPr>
              <w:pStyle w:val="Compact"/>
              <w:spacing w:before="30" w:after="30" w:line="240" w:lineRule="auto"/>
              <w:jc w:val="left"/>
            </w:pPr>
            <w:r>
              <w:rPr>
                <w:rFonts w:ascii="Noto Sans" w:hAnsi="Noto Sans" w:eastAsia="Noto Sans" w:cs="Noto Sans"/>
                <w:b w:val="0"/>
                <w:color w:val="18212B"/>
                <w:sz w:val="16"/>
              </w:rPr>
              <w:t xml:space="preserve">Wrong dtype</w:t>
            </w:r>
          </w:p>
        </w:tc>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FFFFFF" w:val="clear"/>
          </w:tcPr>
          <w:p>
            <w:pPr>
              <w:pStyle w:val="Compact"/>
              <w:spacing w:before="30" w:after="30" w:line="240" w:lineRule="auto"/>
              <w:jc w:val="left"/>
            </w:pPr>
            <w:r>
              <w:rPr>
                <w:rFonts w:ascii="Noto Sans" w:hAnsi="Noto Sans" w:eastAsia="Noto Sans" w:cs="Noto Sans"/>
                <w:b w:val="0"/>
                <w:color w:val="18212B"/>
                <w:sz w:val="16"/>
              </w:rPr>
              <w:t xml:space="preserve">dtypes / to_numeric</w:t>
            </w:r>
          </w:p>
        </w:tc>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FFFFFF" w:val="clear"/>
          </w:tcPr>
          <w:p>
            <w:pPr>
              <w:pStyle w:val="Compact"/>
              <w:spacing w:before="30" w:after="30" w:line="240" w:lineRule="auto"/>
              <w:jc w:val="left"/>
            </w:pPr>
            <w:r>
              <w:rPr>
                <w:rFonts w:ascii="Noto Sans" w:hAnsi="Noto Sans" w:eastAsia="Noto Sans" w:cs="Noto Sans"/>
                <w:b w:val="0"/>
                <w:color w:val="18212B"/>
                <w:sz w:val="16"/>
              </w:rPr>
              <w:t xml:space="preserve">parse with explicit error handling</w:t>
            </w:r>
          </w:p>
        </w:tc>
      </w:tr>
      <w:tr>
        <w:trPr>
          <w:cantSplit/>
        </w:trPr>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EEF4F8" w:val="clear"/>
          </w:tcPr>
          <w:p>
            <w:pPr>
              <w:pStyle w:val="Compact"/>
              <w:spacing w:before="30" w:after="30" w:line="240" w:lineRule="auto"/>
              <w:jc w:val="left"/>
            </w:pPr>
            <w:r>
              <w:rPr>
                <w:rFonts w:ascii="Noto Sans" w:hAnsi="Noto Sans" w:eastAsia="Noto Sans" w:cs="Noto Sans"/>
                <w:b w:val="0"/>
                <w:color w:val="18212B"/>
                <w:sz w:val="16"/>
              </w:rPr>
              <w:t xml:space="preserve">Outlier</w:t>
            </w:r>
          </w:p>
        </w:tc>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EEF4F8" w:val="clear"/>
          </w:tcPr>
          <w:p>
            <w:pPr>
              <w:pStyle w:val="Compact"/>
              <w:spacing w:before="30" w:after="30" w:line="240" w:lineRule="auto"/>
              <w:jc w:val="left"/>
            </w:pPr>
            <w:r>
              <w:rPr>
                <w:rFonts w:ascii="Noto Sans" w:hAnsi="Noto Sans" w:eastAsia="Noto Sans" w:cs="Noto Sans"/>
                <w:b w:val="0"/>
                <w:color w:val="18212B"/>
                <w:sz w:val="16"/>
              </w:rPr>
              <w:t xml:space="preserve">robust summaries and plots</w:t>
            </w:r>
          </w:p>
        </w:tc>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EEF4F8" w:val="clear"/>
          </w:tcPr>
          <w:p>
            <w:pPr>
              <w:pStyle w:val="Compact"/>
              <w:spacing w:before="30" w:after="30" w:line="240" w:lineRule="auto"/>
              <w:jc w:val="left"/>
            </w:pPr>
            <w:r>
              <w:rPr>
                <w:rFonts w:ascii="Noto Sans" w:hAnsi="Noto Sans" w:eastAsia="Noto Sans" w:cs="Noto Sans"/>
                <w:b w:val="0"/>
                <w:color w:val="18212B"/>
                <w:sz w:val="16"/>
              </w:rPr>
              <w:t xml:space="preserve">retain, flag, winsorize only with rationale</w:t>
            </w:r>
          </w:p>
        </w:tc>
      </w:tr>
    </w:tbl>
    <w:p>
      <w:pPr>
        <w:pStyle w:val="BlockText"/>
        <w:shd w:fill="EAF7F5" w:val="clear"/>
        <w:pBdr>
          <w:left w:val="single" w:sz="18" w:space="8" w:color="008F87"/>
        </w:pBdr>
      </w:pPr>
      <w:r>
        <w:rPr>
          <w:b/>
          <w:bCs/>
        </w:rPr>
        <w:t xml:space="preserve">Why This Matters</w:t>
      </w:r>
    </w:p>
    <w:p>
      <w:pPr>
        <w:pStyle w:val="BlockText"/>
        <w:shd w:fill="EAF7F5" w:val="clear"/>
        <w:pBdr>
          <w:left w:val="single" w:sz="18" w:space="8" w:color="008F87"/>
        </w:pBdr>
      </w:pPr>
      <w:r>
        <w:t xml:space="preserve">Data validation prevents errors from becoming polished charts and confident coefficients.</w:t>
      </w:r>
    </w:p>
    <w:p>
      <w:pPr>
        <w:pStyle w:val="BlockText"/>
        <w:shd w:fill="EAF7F5" w:val="clear"/>
        <w:pBdr>
          <w:left w:val="single" w:sz="18" w:space="8" w:color="008F87"/>
        </w:pBdr>
      </w:pPr>
      <w:r>
        <w:rPr>
          <w:b/>
          <w:bCs/>
        </w:rPr>
        <w:t xml:space="preserve">Common Mistake</w:t>
      </w:r>
    </w:p>
    <w:p>
      <w:pPr>
        <w:pStyle w:val="BlockText"/>
        <w:shd w:fill="EAF7F5" w:val="clear"/>
        <w:pBdr>
          <w:left w:val="single" w:sz="18" w:space="8" w:color="008F87"/>
        </w:pBdr>
      </w:pPr>
      <w:r>
        <w:t xml:space="preserve">Dropping all missing rows without asking why they are missing or how the deletion changes the sample.</w:t>
      </w:r>
    </w:p>
    <w:p>
      <w:pPr>
        <w:pStyle w:val="BlockText"/>
        <w:shd w:fill="EAF7F5" w:val="clear"/>
        <w:pBdr>
          <w:left w:val="single" w:sz="18" w:space="8" w:color="008F87"/>
        </w:pBdr>
      </w:pPr>
      <w:r>
        <w:rPr>
          <w:b/>
          <w:bCs/>
        </w:rPr>
        <w:t xml:space="preserve">Ceteris LAB Tip</w:t>
      </w:r>
    </w:p>
    <w:p>
      <w:pPr>
        <w:pStyle w:val="BlockText"/>
        <w:shd w:fill="EAF7F5" w:val="clear"/>
        <w:pBdr>
          <w:left w:val="single" w:sz="18" w:space="8" w:color="008F87"/>
        </w:pBdr>
      </w:pPr>
      <w:r>
        <w:t xml:space="preserve">Create a quality table before cleaning and another after cleaning. The difference is your audit trail.</w:t>
      </w:r>
    </w:p>
    <w:p>
      <w:pPr>
        <w:pStyle w:val="BlockText"/>
        <w:shd w:fill="EAF7F5" w:val="clear"/>
        <w:pBdr>
          <w:left w:val="single" w:sz="18" w:space="8" w:color="008F87"/>
        </w:pBdr>
      </w:pPr>
      <w:r>
        <w:rPr>
          <w:b/>
          <w:bCs/>
        </w:rPr>
        <w:t xml:space="preserve">R-to-Python / Source Bridge</w:t>
      </w:r>
    </w:p>
    <w:p>
      <w:pPr>
        <w:pStyle w:val="BlockText"/>
        <w:shd w:fill="EAF7F5" w:val="clear"/>
        <w:pBdr>
          <w:left w:val="single" w:sz="18" w:space="8" w:color="008F87"/>
        </w:pBdr>
      </w:pPr>
      <w:r>
        <w:t xml:space="preserve">Older examples loaded text files with implicit assumptions. This chapter replaces them with explicit schemas, validation, and an audit trail.</w:t>
      </w:r>
    </w:p>
    <w:bookmarkEnd w:id="201"/>
    <w:bookmarkStart w:id="202" w:name="guided-practice-9"/>
    <w:p>
      <w:pPr>
        <w:pStyle w:val="Heading2"/>
        <w:keepNext/>
      </w:pPr>
      <w:r>
        <w:rPr>
          <w:rStyle w:val="SectionNumber"/>
          <w:rFonts w:ascii="Noto Sans" w:hAnsi="Noto Sans" w:eastAsia="Noto Sans" w:cs="Noto Sans"/>
          <w:b/>
          <w:color w:val="008F87"/>
          <w:sz w:val="29"/>
        </w:rPr>
        <w:t xml:space="preserve">10.8</w:t>
      </w:r>
      <w:r>
        <w:rPr>
          <w:rFonts w:ascii="Noto Sans" w:hAnsi="Noto Sans" w:eastAsia="Noto Sans" w:cs="Noto Sans"/>
          <w:b/>
          <w:color w:val="008F87"/>
          <w:sz w:val="29"/>
        </w:rPr>
        <w:tab/>
      </w:r>
      <w:r>
        <w:rPr>
          <w:rFonts w:ascii="Noto Sans" w:hAnsi="Noto Sans" w:eastAsia="Noto Sans" w:cs="Noto Sans"/>
          <w:b/>
          <w:color w:val="008F87"/>
          <w:sz w:val="29"/>
        </w:rPr>
        <w:t xml:space="preserve">Guided practice</w:t>
      </w:r>
    </w:p>
    <w:p>
      <w:pPr>
        <w:pStyle w:val="Compact"/>
        <w:numPr>
          <w:ilvl w:val="0"/>
          <w:numId w:val="1040"/>
        </w:numPr>
      </w:pPr>
      <w:r>
        <w:t xml:space="preserve">Re-run Demonstration 10.1 and change one input while keeping the analytical question fixed.</w:t>
      </w:r>
    </w:p>
    <w:p>
      <w:pPr>
        <w:pStyle w:val="Compact"/>
        <w:numPr>
          <w:ilvl w:val="0"/>
          <w:numId w:val="1040"/>
        </w:numPr>
      </w:pPr>
      <w:r>
        <w:t xml:space="preserve">Explain in two sentences how the output supports, or fails to support, the chapter opening question.</w:t>
      </w:r>
    </w:p>
    <w:p>
      <w:pPr>
        <w:pStyle w:val="Compact"/>
        <w:numPr>
          <w:ilvl w:val="0"/>
          <w:numId w:val="1040"/>
        </w:numPr>
      </w:pPr>
      <w:r>
        <w:t xml:space="preserve">Add one validation check that would prevent a plausible error.</w:t>
      </w:r>
    </w:p>
    <w:bookmarkEnd w:id="202"/>
    <w:bookmarkStart w:id="203" w:name="exercises-9"/>
    <w:p>
      <w:pPr>
        <w:pStyle w:val="Heading2"/>
        <w:keepNext/>
      </w:pPr>
      <w:r>
        <w:rPr>
          <w:rStyle w:val="SectionNumber"/>
          <w:rFonts w:ascii="Noto Sans" w:hAnsi="Noto Sans" w:eastAsia="Noto Sans" w:cs="Noto Sans"/>
          <w:b/>
          <w:color w:val="008F87"/>
          <w:sz w:val="29"/>
        </w:rPr>
        <w:t xml:space="preserve">10.9</w:t>
      </w:r>
      <w:r>
        <w:rPr>
          <w:rFonts w:ascii="Noto Sans" w:hAnsi="Noto Sans" w:eastAsia="Noto Sans" w:cs="Noto Sans"/>
          <w:b/>
          <w:color w:val="008F87"/>
          <w:sz w:val="29"/>
        </w:rPr>
        <w:tab/>
      </w:r>
      <w:r>
        <w:rPr>
          <w:rFonts w:ascii="Noto Sans" w:hAnsi="Noto Sans" w:eastAsia="Noto Sans" w:cs="Noto Sans"/>
          <w:b/>
          <w:color w:val="008F87"/>
          <w:sz w:val="29"/>
        </w:rPr>
        <w:t xml:space="preserve">Exercises</w:t>
      </w:r>
    </w:p>
    <w:p>
      <w:pPr>
        <w:pStyle w:val="Compact"/>
        <w:numPr>
          <w:ilvl w:val="0"/>
          <w:numId w:val="1041"/>
        </w:numPr>
      </w:pPr>
      <w:r>
        <w:t xml:space="preserve">Import a CSV with explicit date parsing.</w:t>
      </w:r>
    </w:p>
    <w:p>
      <w:pPr>
        <w:pStyle w:val="Compact"/>
        <w:numPr>
          <w:ilvl w:val="0"/>
          <w:numId w:val="1041"/>
        </w:numPr>
      </w:pPr>
      <w:r>
        <w:t xml:space="preserve">Count missing values by column.</w:t>
      </w:r>
    </w:p>
    <w:p>
      <w:pPr>
        <w:pStyle w:val="Compact"/>
        <w:numPr>
          <w:ilvl w:val="0"/>
          <w:numId w:val="1041"/>
        </w:numPr>
      </w:pPr>
      <w:r>
        <w:t xml:space="preserve">Check uniqueness of a composite key.</w:t>
      </w:r>
    </w:p>
    <w:p>
      <w:pPr>
        <w:pStyle w:val="Compact"/>
        <w:numPr>
          <w:ilvl w:val="0"/>
          <w:numId w:val="1041"/>
        </w:numPr>
      </w:pPr>
      <w:r>
        <w:t xml:space="preserve">Export a processed table and a metadata file.</w:t>
      </w:r>
    </w:p>
    <w:bookmarkEnd w:id="203"/>
    <w:bookmarkStart w:id="204" w:name="chapter-summary-9"/>
    <w:p>
      <w:pPr>
        <w:pStyle w:val="Heading2"/>
        <w:keepNext/>
      </w:pPr>
      <w:r>
        <w:rPr>
          <w:rStyle w:val="SectionNumber"/>
          <w:rFonts w:ascii="Noto Sans" w:hAnsi="Noto Sans" w:eastAsia="Noto Sans" w:cs="Noto Sans"/>
          <w:b/>
          <w:color w:val="008F87"/>
          <w:sz w:val="29"/>
        </w:rPr>
        <w:t xml:space="preserve">10.10</w:t>
      </w:r>
      <w:r>
        <w:rPr>
          <w:rFonts w:ascii="Noto Sans" w:hAnsi="Noto Sans" w:eastAsia="Noto Sans" w:cs="Noto Sans"/>
          <w:b/>
          <w:color w:val="008F87"/>
          <w:sz w:val="29"/>
        </w:rPr>
        <w:tab/>
      </w:r>
      <w:r>
        <w:rPr>
          <w:rFonts w:ascii="Noto Sans" w:hAnsi="Noto Sans" w:eastAsia="Noto Sans" w:cs="Noto Sans"/>
          <w:b/>
          <w:color w:val="008F87"/>
          <w:sz w:val="29"/>
        </w:rPr>
        <w:t xml:space="preserve">Chapter summary</w:t>
      </w:r>
    </w:p>
    <w:p>
      <w:pPr>
        <w:pStyle w:val="Compact"/>
        <w:numPr>
          <w:ilvl w:val="0"/>
          <w:numId w:val="1042"/>
        </w:numPr>
      </w:pPr>
      <w:r>
        <w:t xml:space="preserve">Import decisions affect types and missingness.</w:t>
      </w:r>
    </w:p>
    <w:p>
      <w:pPr>
        <w:pStyle w:val="Compact"/>
        <w:numPr>
          <w:ilvl w:val="0"/>
          <w:numId w:val="1042"/>
        </w:numPr>
      </w:pPr>
      <w:r>
        <w:t xml:space="preserve">Cleaning rules require substantive justification.</w:t>
      </w:r>
    </w:p>
    <w:p>
      <w:pPr>
        <w:pStyle w:val="Compact"/>
        <w:numPr>
          <w:ilvl w:val="0"/>
          <w:numId w:val="1042"/>
        </w:numPr>
      </w:pPr>
      <w:r>
        <w:t xml:space="preserve">Validation turns assumptions into checks.</w:t>
      </w:r>
    </w:p>
    <w:bookmarkEnd w:id="204"/>
    <w:bookmarkStart w:id="205" w:name="key-python-commands-9"/>
    <w:p>
      <w:pPr>
        <w:pStyle w:val="Heading2"/>
        <w:keepNext/>
      </w:pPr>
      <w:r>
        <w:rPr>
          <w:rStyle w:val="SectionNumber"/>
          <w:rFonts w:ascii="Noto Sans" w:hAnsi="Noto Sans" w:eastAsia="Noto Sans" w:cs="Noto Sans"/>
          <w:b/>
          <w:color w:val="008F87"/>
          <w:sz w:val="29"/>
        </w:rPr>
        <w:t xml:space="preserve">10.11</w:t>
      </w:r>
      <w:r>
        <w:rPr>
          <w:rFonts w:ascii="Noto Sans" w:hAnsi="Noto Sans" w:eastAsia="Noto Sans" w:cs="Noto Sans"/>
          <w:b/>
          <w:color w:val="008F87"/>
          <w:sz w:val="29"/>
        </w:rPr>
        <w:tab/>
      </w:r>
      <w:r>
        <w:rPr>
          <w:rFonts w:ascii="Noto Sans" w:hAnsi="Noto Sans" w:eastAsia="Noto Sans" w:cs="Noto Sans"/>
          <w:b/>
          <w:color w:val="008F87"/>
          <w:sz w:val="29"/>
        </w:rPr>
        <w:t xml:space="preserve">Key Python commands</w:t>
      </w:r>
    </w:p>
    <w:p>
      <w:pPr>
        <w:pStyle w:val="SourceCode"/>
        <w:shd w:fill="F6F8FA" w:val="clear"/>
      </w:pPr>
      <w:r>
        <w:rPr>
          <w:rStyle w:val="ImportTok"/>
        </w:rPr>
        <w:t xml:space="preserve">import</w:t>
      </w:r>
      <w:r>
        <w:rPr>
          <w:rStyle w:val="NormalTok"/>
        </w:rPr>
        <w:t xml:space="preserve"> pandas </w:t>
      </w:r>
      <w:r>
        <w:rPr>
          <w:rStyle w:val="ImportTok"/>
        </w:rPr>
        <w:t xml:space="preserve">as</w:t>
      </w:r>
      <w:r>
        <w:rPr>
          <w:rStyle w:val="NormalTok"/>
        </w:rPr>
        <w:t xml:space="preserve"> pd</w:t>
      </w:r>
      <w:r>
        <w:br/>
      </w:r>
      <w:r>
        <w:rPr>
          <w:rStyle w:val="ImportTok"/>
        </w:rPr>
        <w:t xml:space="preserve">from</w:t>
      </w:r>
      <w:r>
        <w:rPr>
          <w:rStyle w:val="NormalTok"/>
        </w:rPr>
        <w:t xml:space="preserve"> io </w:t>
      </w:r>
      <w:r>
        <w:rPr>
          <w:rStyle w:val="ImportTok"/>
        </w:rPr>
        <w:t xml:space="preserve">import</w:t>
      </w:r>
      <w:r>
        <w:rPr>
          <w:rStyle w:val="NormalTok"/>
        </w:rPr>
        <w:t xml:space="preserve"> StringIO</w:t>
      </w:r>
      <w:r>
        <w:br/>
      </w:r>
      <w:r>
        <w:rPr>
          <w:rStyle w:val="NormalTok"/>
        </w:rPr>
        <w:t xml:space="preserve">raw </w:t>
      </w:r>
      <w:r>
        <w:rPr>
          <w:rStyle w:val="OperatorTok"/>
        </w:rPr>
        <w:t xml:space="preserve">=</w:t>
      </w:r>
      <w:r>
        <w:rPr>
          <w:rStyle w:val="NormalTok"/>
        </w:rPr>
        <w:t xml:space="preserve"> StringIO(</w:t>
      </w:r>
      <w:r>
        <w:rPr>
          <w:rStyle w:val="StringTok"/>
        </w:rPr>
        <w:t xml:space="preserve">"date,value</w:t>
      </w:r>
      <w:r>
        <w:rPr>
          <w:rStyle w:val="CharTok"/>
        </w:rPr>
        <w:t xml:space="preserve">\n</w:t>
      </w:r>
      <w:r>
        <w:rPr>
          <w:rStyle w:val="StringTok"/>
        </w:rPr>
        <w:t xml:space="preserve">2026-01-01,2.1</w:t>
      </w:r>
      <w:r>
        <w:rPr>
          <w:rStyle w:val="CharTok"/>
        </w:rPr>
        <w:t xml:space="preserve">\n</w:t>
      </w:r>
      <w:r>
        <w:rPr>
          <w:rStyle w:val="StringTok"/>
        </w:rPr>
        <w:t xml:space="preserve">2026-02-01,NA</w:t>
      </w:r>
      <w:r>
        <w:rPr>
          <w:rStyle w:val="CharTok"/>
        </w:rPr>
        <w:t xml:space="preserve">\n</w:t>
      </w:r>
      <w:r>
        <w:rPr>
          <w:rStyle w:val="StringTok"/>
        </w:rPr>
        <w:t xml:space="preserve">2026-02-01,2.4"</w:t>
      </w:r>
      <w:r>
        <w:rPr>
          <w:rStyle w:val="NormalTok"/>
        </w:rPr>
        <w:t xml:space="preserve">)</w:t>
      </w:r>
      <w:r>
        <w:br/>
      </w:r>
      <w:r>
        <w:rPr>
          <w:rStyle w:val="NormalTok"/>
        </w:rPr>
        <w:t xml:space="preserve">df </w:t>
      </w:r>
      <w:r>
        <w:rPr>
          <w:rStyle w:val="OperatorTok"/>
        </w:rPr>
        <w:t xml:space="preserve">=</w:t>
      </w:r>
      <w:r>
        <w:rPr>
          <w:rStyle w:val="NormalTok"/>
        </w:rPr>
        <w:t xml:space="preserve"> pd.read_csv(raw, parse_dates</w:t>
      </w:r>
      <w:r>
        <w:rPr>
          <w:rStyle w:val="OperatorTok"/>
        </w:rPr>
        <w:t xml:space="preserve">=</w:t>
      </w:r>
      <w:r>
        <w:rPr>
          <w:rStyle w:val="NormalTok"/>
        </w:rPr>
        <w:t xml:space="preserve">[</w:t>
      </w:r>
      <w:r>
        <w:rPr>
          <w:rStyle w:val="StringTok"/>
        </w:rPr>
        <w:t xml:space="preserve">"date"</w:t>
      </w:r>
      <w:r>
        <w:rPr>
          <w:rStyle w:val="NormalTok"/>
        </w:rPr>
        <w:t xml:space="preserve">], na_values</w:t>
      </w:r>
      <w:r>
        <w:rPr>
          <w:rStyle w:val="OperatorTok"/>
        </w:rPr>
        <w:t xml:space="preserve">=</w:t>
      </w:r>
      <w:r>
        <w:rPr>
          <w:rStyle w:val="NormalTok"/>
        </w:rPr>
        <w:t xml:space="preserve">[</w:t>
      </w:r>
      <w:r>
        <w:rPr>
          <w:rStyle w:val="StringTok"/>
        </w:rPr>
        <w:t xml:space="preserve">"NA"</w:t>
      </w:r>
      <w:r>
        <w:rPr>
          <w:rStyle w:val="NormalTok"/>
        </w:rPr>
        <w:t xml:space="preserve">])</w:t>
      </w:r>
      <w:r>
        <w:br/>
      </w:r>
      <w:r>
        <w:rPr>
          <w:rStyle w:val="NormalTok"/>
        </w:rPr>
        <w:t xml:space="preserve">df[</w:t>
      </w:r>
      <w:r>
        <w:rPr>
          <w:rStyle w:val="StringTok"/>
        </w:rPr>
        <w:t xml:space="preserve">"is_duplicate_date"</w:t>
      </w:r>
      <w:r>
        <w:rPr>
          <w:rStyle w:val="NormalTok"/>
        </w:rPr>
        <w:t xml:space="preserve">] </w:t>
      </w:r>
      <w:r>
        <w:rPr>
          <w:rStyle w:val="OperatorTok"/>
        </w:rPr>
        <w:t xml:space="preserve">=</w:t>
      </w:r>
      <w:r>
        <w:rPr>
          <w:rStyle w:val="NormalTok"/>
        </w:rPr>
        <w:t xml:space="preserve"> df.duplicated(</w:t>
      </w:r>
      <w:r>
        <w:rPr>
          <w:rStyle w:val="StringTok"/>
        </w:rPr>
        <w:t xml:space="preserve">"date"</w:t>
      </w:r>
      <w:r>
        <w:rPr>
          <w:rStyle w:val="NormalTok"/>
        </w:rPr>
        <w:t xml:space="preserve">, keep</w:t>
      </w:r>
      <w:r>
        <w:rPr>
          <w:rStyle w:val="OperatorTok"/>
        </w:rPr>
        <w:t xml:space="preserve">=</w:t>
      </w:r>
      <w:r>
        <w:rPr>
          <w:rStyle w:val="VariableTok"/>
        </w:rPr>
        <w:t xml:space="preserve">False</w:t>
      </w:r>
      <w:r>
        <w:rPr>
          <w:rStyle w:val="NormalTok"/>
        </w:rPr>
        <w:t xml:space="preserve">)</w:t>
      </w:r>
      <w:r>
        <w:br/>
      </w:r>
      <w:r>
        <w:rPr>
          <w:rStyle w:val="BuiltInTok"/>
        </w:rPr>
        <w:t xml:space="preserve">print</w:t>
      </w:r>
      <w:r>
        <w:rPr>
          <w:rStyle w:val="NormalTok"/>
        </w:rPr>
        <w:t xml:space="preserve">(df.isna().</w:t>
      </w:r>
      <w:r>
        <w:rPr>
          <w:rStyle w:val="BuiltInTok"/>
        </w:rPr>
        <w:t xml:space="preserve">sum</w:t>
      </w:r>
      <w:r>
        <w:rPr>
          <w:rStyle w:val="NormalTok"/>
        </w:rPr>
        <w:t xml:space="preserve">().to_dict())</w:t>
      </w:r>
    </w:p>
    <w:bookmarkEnd w:id="205"/>
    <w:bookmarkEnd w:id="206"/>
    <w:bookmarkStart w:id="223" w:name="X1f4bad5ae805f59534c7b2c47785d7bab49fc25"/>
    <w:p>
      <w:pPr>
        <w:pStyle w:val="Heading1"/>
        <w:keepNext/>
        <w:pageBreakBefore/>
      </w:pPr>
      <w:r>
        <w:rPr>
          <w:rStyle w:val="SectionNumber"/>
          <w:rFonts w:ascii="Noto Sans" w:hAnsi="Noto Sans" w:eastAsia="Noto Sans" w:cs="Noto Sans"/>
          <w:b/>
          <w:color w:val="0A2342"/>
          <w:sz w:val="43"/>
        </w:rPr>
        <w:t xml:space="preserve">11</w:t>
      </w:r>
      <w:r>
        <w:rPr>
          <w:rFonts w:ascii="Noto Sans" w:hAnsi="Noto Sans" w:eastAsia="Noto Sans" w:cs="Noto Sans"/>
          <w:b/>
          <w:color w:val="0A2342"/>
          <w:sz w:val="43"/>
        </w:rPr>
        <w:tab/>
      </w:r>
      <w:r>
        <w:rPr>
          <w:rFonts w:ascii="Noto Sans" w:hAnsi="Noto Sans" w:eastAsia="Noto Sans" w:cs="Noto Sans"/>
          <w:b/>
          <w:color w:val="0A2342"/>
          <w:sz w:val="43"/>
        </w:rPr>
        <w:t xml:space="preserve">Manipulating, Grouping, Reshaping, and Joining Data</w:t>
      </w:r>
    </w:p>
    <w:p>
      <w:pPr>
        <w:pStyle w:val="FirstParagraph"/>
      </w:pPr>
      <w:r>
        <w:rPr>
          <w:i/>
          <w:iCs/>
        </w:rPr>
        <w:t xml:space="preserve">Opening question:</w:t>
      </w:r>
      <w:r>
        <w:t xml:space="preserve"> </w:t>
      </w:r>
      <w:r>
        <w:rPr>
          <w:b/>
          <w:bCs/>
        </w:rPr>
        <w:t xml:space="preserve">How can information be reorganized without accidentally changing the number or meaning of observations?</w:t>
      </w:r>
    </w:p>
    <w:bookmarkStart w:id="207" w:name="learning-objectives-10"/>
    <w:p>
      <w:pPr>
        <w:pStyle w:val="Heading2"/>
        <w:keepNext/>
      </w:pPr>
      <w:r>
        <w:rPr>
          <w:rStyle w:val="SectionNumber"/>
          <w:rFonts w:ascii="Noto Sans" w:hAnsi="Noto Sans" w:eastAsia="Noto Sans" w:cs="Noto Sans"/>
          <w:b/>
          <w:color w:val="008F87"/>
          <w:sz w:val="29"/>
        </w:rPr>
        <w:t xml:space="preserve">11.1</w:t>
      </w:r>
      <w:r>
        <w:rPr>
          <w:rFonts w:ascii="Noto Sans" w:hAnsi="Noto Sans" w:eastAsia="Noto Sans" w:cs="Noto Sans"/>
          <w:b/>
          <w:color w:val="008F87"/>
          <w:sz w:val="29"/>
        </w:rPr>
        <w:tab/>
      </w:r>
      <w:r>
        <w:rPr>
          <w:rFonts w:ascii="Noto Sans" w:hAnsi="Noto Sans" w:eastAsia="Noto Sans" w:cs="Noto Sans"/>
          <w:b/>
          <w:color w:val="008F87"/>
          <w:sz w:val="29"/>
        </w:rPr>
        <w:t xml:space="preserve">Learning objectives</w:t>
      </w:r>
    </w:p>
    <w:p>
      <w:pPr>
        <w:pStyle w:val="Compact"/>
        <w:numPr>
          <w:ilvl w:val="0"/>
          <w:numId w:val="1043"/>
        </w:numPr>
      </w:pPr>
      <w:r>
        <w:t xml:space="preserve">Aggregate with groupby.</w:t>
      </w:r>
    </w:p>
    <w:p>
      <w:pPr>
        <w:pStyle w:val="Compact"/>
        <w:numPr>
          <w:ilvl w:val="0"/>
          <w:numId w:val="1043"/>
        </w:numPr>
      </w:pPr>
      <w:r>
        <w:t xml:space="preserve">Move between wide and long forms.</w:t>
      </w:r>
    </w:p>
    <w:p>
      <w:pPr>
        <w:pStyle w:val="Compact"/>
        <w:numPr>
          <w:ilvl w:val="0"/>
          <w:numId w:val="1043"/>
        </w:numPr>
      </w:pPr>
      <w:r>
        <w:t xml:space="preserve">Merge tables using keys.</w:t>
      </w:r>
    </w:p>
    <w:p>
      <w:pPr>
        <w:pStyle w:val="Compact"/>
        <w:numPr>
          <w:ilvl w:val="0"/>
          <w:numId w:val="1043"/>
        </w:numPr>
      </w:pPr>
      <w:r>
        <w:t xml:space="preserve">Diagnose duplicate keys and many-to-many joins.</w:t>
      </w:r>
    </w:p>
    <w:p>
      <w:pPr>
        <w:pStyle w:val="FirstParagraph"/>
      </w:pPr>
      <w:r>
        <w:rPr>
          <w:b/>
          <w:bCs/>
        </w:rPr>
        <w:t xml:space="preserve">Prerequisites:</w:t>
      </w:r>
      <w:r>
        <w:t xml:space="preserve"> </w:t>
      </w:r>
      <w:r>
        <w:t xml:space="preserve">Chapters 9 and 10.</w:t>
      </w:r>
    </w:p>
    <w:p>
      <w:pPr>
        <w:pStyle w:val="BodyText"/>
      </w:pPr>
      <w:r>
        <w:rPr>
          <w:b/>
          <w:bCs/>
        </w:rPr>
        <w:t xml:space="preserve">Key terms:</w:t>
      </w:r>
      <w:r>
        <w:t xml:space="preserve"> </w:t>
      </w:r>
      <w:r>
        <w:t xml:space="preserve">groupby, aggregation, pivot, melt, merge, key.</w:t>
      </w:r>
    </w:p>
    <w:bookmarkEnd w:id="207"/>
    <w:bookmarkStart w:id="208" w:name="grouping-changes-the-unit-of-analysis"/>
    <w:p>
      <w:pPr>
        <w:pStyle w:val="Heading2"/>
        <w:keepNext/>
      </w:pPr>
      <w:r>
        <w:rPr>
          <w:rStyle w:val="SectionNumber"/>
          <w:rFonts w:ascii="Noto Sans" w:hAnsi="Noto Sans" w:eastAsia="Noto Sans" w:cs="Noto Sans"/>
          <w:b/>
          <w:color w:val="008F87"/>
          <w:sz w:val="29"/>
        </w:rPr>
        <w:t xml:space="preserve">11.2</w:t>
      </w:r>
      <w:r>
        <w:rPr>
          <w:rFonts w:ascii="Noto Sans" w:hAnsi="Noto Sans" w:eastAsia="Noto Sans" w:cs="Noto Sans"/>
          <w:b/>
          <w:color w:val="008F87"/>
          <w:sz w:val="29"/>
        </w:rPr>
        <w:tab/>
      </w:r>
      <w:r>
        <w:rPr>
          <w:rFonts w:ascii="Noto Sans" w:hAnsi="Noto Sans" w:eastAsia="Noto Sans" w:cs="Noto Sans"/>
          <w:b/>
          <w:color w:val="008F87"/>
          <w:sz w:val="29"/>
        </w:rPr>
        <w:t xml:space="preserve">Grouping changes the unit of analysis</w:t>
      </w:r>
    </w:p>
    <w:p>
      <w:pPr>
        <w:pStyle w:val="FirstParagraph"/>
      </w:pPr>
      <w:r>
        <w:t xml:space="preserve">A grouped summary collapses observations within categories or time periods. The output unit must be stated: an average across households is not a household-level variable, and a monthly average of daily rates is not a month-end rate.</w:t>
      </w:r>
      <w:r>
        <w:t xml:space="preserve"> </w:t>
      </w:r>
      <w:r>
        <w:rPr>
          <w:rStyle w:val="VerbatimChar"/>
        </w:rPr>
        <w:t xml:space="preserve">groupby</w:t>
      </w:r>
      <w:r>
        <w:t xml:space="preserve"> </w:t>
      </w:r>
      <w:r>
        <w:t xml:space="preserve">is most useful when the grouping keys, aggregation function, and output names are explicit.</w:t>
      </w:r>
    </w:p>
    <w:bookmarkEnd w:id="208"/>
    <w:bookmarkStart w:id="209" w:name="X93b036458af61b330ee9b6bdf69b6918a468fa6"/>
    <w:p>
      <w:pPr>
        <w:pStyle w:val="Heading2"/>
        <w:keepNext/>
      </w:pPr>
      <w:r>
        <w:rPr>
          <w:rStyle w:val="SectionNumber"/>
          <w:rFonts w:ascii="Noto Sans" w:hAnsi="Noto Sans" w:eastAsia="Noto Sans" w:cs="Noto Sans"/>
          <w:b/>
          <w:color w:val="008F87"/>
          <w:sz w:val="29"/>
        </w:rPr>
        <w:t xml:space="preserve">11.3</w:t>
      </w:r>
      <w:r>
        <w:rPr>
          <w:rFonts w:ascii="Noto Sans" w:hAnsi="Noto Sans" w:eastAsia="Noto Sans" w:cs="Noto Sans"/>
          <w:b/>
          <w:color w:val="008F87"/>
          <w:sz w:val="29"/>
        </w:rPr>
        <w:tab/>
      </w:r>
      <w:r>
        <w:rPr>
          <w:rFonts w:ascii="Noto Sans" w:hAnsi="Noto Sans" w:eastAsia="Noto Sans" w:cs="Noto Sans"/>
          <w:b/>
          <w:color w:val="008F87"/>
          <w:sz w:val="29"/>
        </w:rPr>
        <w:t xml:space="preserve">Wide and long are views of the same logic</w:t>
      </w:r>
    </w:p>
    <w:p>
      <w:pPr>
        <w:pStyle w:val="FirstParagraph"/>
      </w:pPr>
      <w:r>
        <w:t xml:space="preserve">Wide data place repeated measures in separate columns; long data place the measure name in one column and values in another. Long form is often convenient for plotting and grouped operations, while wide form is useful for matrix models such as VAR. Reshaping should preserve a key that uniquely identifies each observation. A failed pivot often reveals duplicates that need substantive resolution.</w:t>
      </w:r>
    </w:p>
    <w:bookmarkEnd w:id="209"/>
    <w:bookmarkStart w:id="210" w:name="joins-are-models-of-relationships"/>
    <w:p>
      <w:pPr>
        <w:pStyle w:val="Heading2"/>
        <w:keepNext/>
      </w:pPr>
      <w:r>
        <w:rPr>
          <w:rStyle w:val="SectionNumber"/>
          <w:rFonts w:ascii="Noto Sans" w:hAnsi="Noto Sans" w:eastAsia="Noto Sans" w:cs="Noto Sans"/>
          <w:b/>
          <w:color w:val="008F87"/>
          <w:sz w:val="29"/>
        </w:rPr>
        <w:t xml:space="preserve">11.4</w:t>
      </w:r>
      <w:r>
        <w:rPr>
          <w:rFonts w:ascii="Noto Sans" w:hAnsi="Noto Sans" w:eastAsia="Noto Sans" w:cs="Noto Sans"/>
          <w:b/>
          <w:color w:val="008F87"/>
          <w:sz w:val="29"/>
        </w:rPr>
        <w:tab/>
      </w:r>
      <w:r>
        <w:rPr>
          <w:rFonts w:ascii="Noto Sans" w:hAnsi="Noto Sans" w:eastAsia="Noto Sans" w:cs="Noto Sans"/>
          <w:b/>
          <w:color w:val="008F87"/>
          <w:sz w:val="29"/>
        </w:rPr>
        <w:t xml:space="preserve">Joins are models of relationships</w:t>
      </w:r>
    </w:p>
    <w:p>
      <w:pPr>
        <w:pStyle w:val="FirstParagraph"/>
      </w:pPr>
      <w:r>
        <w:t xml:space="preserve">A merge states how two tables are related. One-to-one and many-to-one joins are usually easiest to verify. An unintended many-to-many join can multiply rows and distort totals. pandas can validate expected cardinality. Analysts should compare row counts, unmatched keys, and duplicate keys before and after every important merge.</w:t>
      </w:r>
    </w:p>
    <w:bookmarkEnd w:id="210"/>
    <w:bookmarkStart w:id="213" w:name="python-demonstrations-10"/>
    <w:p>
      <w:pPr>
        <w:pStyle w:val="Heading2"/>
        <w:keepNext/>
      </w:pPr>
      <w:r>
        <w:rPr>
          <w:rStyle w:val="SectionNumber"/>
          <w:rFonts w:ascii="Noto Sans" w:hAnsi="Noto Sans" w:eastAsia="Noto Sans" w:cs="Noto Sans"/>
          <w:b/>
          <w:color w:val="008F87"/>
          <w:sz w:val="29"/>
        </w:rPr>
        <w:t xml:space="preserve">11.5</w:t>
      </w:r>
      <w:r>
        <w:rPr>
          <w:rFonts w:ascii="Noto Sans" w:hAnsi="Noto Sans" w:eastAsia="Noto Sans" w:cs="Noto Sans"/>
          <w:b/>
          <w:color w:val="008F87"/>
          <w:sz w:val="29"/>
        </w:rPr>
        <w:tab/>
      </w:r>
      <w:r>
        <w:rPr>
          <w:rFonts w:ascii="Noto Sans" w:hAnsi="Noto Sans" w:eastAsia="Noto Sans" w:cs="Noto Sans"/>
          <w:b/>
          <w:color w:val="008F87"/>
          <w:sz w:val="29"/>
        </w:rPr>
        <w:t xml:space="preserve">Python demonstrations</w:t>
      </w:r>
    </w:p>
    <w:bookmarkStart w:id="211" w:name="demonstration-11.1-group-and-summarize"/>
    <w:p>
      <w:pPr>
        <w:pStyle w:val="Heading3"/>
        <w:keepNext/>
      </w:pPr>
      <w:r>
        <w:rPr>
          <w:rStyle w:val="SectionNumber"/>
          <w:rFonts w:ascii="Noto Sans" w:hAnsi="Noto Sans" w:eastAsia="Noto Sans" w:cs="Noto Sans"/>
          <w:b/>
          <w:color w:val="0A2342"/>
          <w:sz w:val="23"/>
        </w:rPr>
        <w:t xml:space="preserve">11.5.1</w:t>
      </w:r>
      <w:r>
        <w:rPr>
          <w:rFonts w:ascii="Noto Sans" w:hAnsi="Noto Sans" w:eastAsia="Noto Sans" w:cs="Noto Sans"/>
          <w:b/>
          <w:color w:val="0A2342"/>
          <w:sz w:val="23"/>
        </w:rPr>
        <w:tab/>
      </w:r>
      <w:r>
        <w:rPr>
          <w:rFonts w:ascii="Noto Sans" w:hAnsi="Noto Sans" w:eastAsia="Noto Sans" w:cs="Noto Sans"/>
          <w:b/>
          <w:color w:val="0A2342"/>
          <w:sz w:val="23"/>
        </w:rPr>
        <w:t xml:space="preserve">Demonstration 11.1: Group and summarize</w:t>
      </w:r>
    </w:p>
    <w:p>
      <w:pPr>
        <w:pStyle w:val="SourceCode"/>
        <w:shd w:fill="F6F8FA" w:val="clear"/>
      </w:pPr>
      <w:r>
        <w:rPr>
          <w:rStyle w:val="ImportTok"/>
        </w:rPr>
        <w:t xml:space="preserve">import</w:t>
      </w:r>
      <w:r>
        <w:rPr>
          <w:rStyle w:val="NormalTok"/>
        </w:rPr>
        <w:t xml:space="preserve"> pandas </w:t>
      </w:r>
      <w:r>
        <w:rPr>
          <w:rStyle w:val="ImportTok"/>
        </w:rPr>
        <w:t xml:space="preserve">as</w:t>
      </w:r>
      <w:r>
        <w:rPr>
          <w:rStyle w:val="NormalTok"/>
        </w:rPr>
        <w:t xml:space="preserve"> pd</w:t>
      </w:r>
      <w:r>
        <w:br/>
      </w:r>
      <w:r>
        <w:br/>
      </w:r>
      <w:r>
        <w:rPr>
          <w:rStyle w:val="NormalTok"/>
        </w:rPr>
        <w:t xml:space="preserve">df </w:t>
      </w:r>
      <w:r>
        <w:rPr>
          <w:rStyle w:val="OperatorTok"/>
        </w:rPr>
        <w:t xml:space="preserve">=</w:t>
      </w:r>
      <w:r>
        <w:rPr>
          <w:rStyle w:val="NormalTok"/>
        </w:rPr>
        <w:t xml:space="preserve"> pd.DataFrame({</w:t>
      </w:r>
      <w:r>
        <w:br/>
      </w:r>
      <w:r>
        <w:rPr>
          <w:rStyle w:val="NormalTok"/>
        </w:rPr>
        <w:t xml:space="preserve">    </w:t>
      </w:r>
      <w:r>
        <w:rPr>
          <w:rStyle w:val="StringTok"/>
        </w:rPr>
        <w:t xml:space="preserve">"province"</w:t>
      </w:r>
      <w:r>
        <w:rPr>
          <w:rStyle w:val="NormalTok"/>
        </w:rPr>
        <w:t xml:space="preserve">: [</w:t>
      </w:r>
      <w:r>
        <w:rPr>
          <w:rStyle w:val="StringTok"/>
        </w:rPr>
        <w:t xml:space="preserve">"ON"</w:t>
      </w:r>
      <w:r>
        <w:rPr>
          <w:rStyle w:val="NormalTok"/>
        </w:rPr>
        <w:t xml:space="preserve">, </w:t>
      </w:r>
      <w:r>
        <w:rPr>
          <w:rStyle w:val="StringTok"/>
        </w:rPr>
        <w:t xml:space="preserve">"ON"</w:t>
      </w:r>
      <w:r>
        <w:rPr>
          <w:rStyle w:val="NormalTok"/>
        </w:rPr>
        <w:t xml:space="preserve">, </w:t>
      </w:r>
      <w:r>
        <w:rPr>
          <w:rStyle w:val="StringTok"/>
        </w:rPr>
        <w:t xml:space="preserve">"QC"</w:t>
      </w:r>
      <w:r>
        <w:rPr>
          <w:rStyle w:val="NormalTok"/>
        </w:rPr>
        <w:t xml:space="preserve">, </w:t>
      </w:r>
      <w:r>
        <w:rPr>
          <w:rStyle w:val="StringTok"/>
        </w:rPr>
        <w:t xml:space="preserve">"QC"</w:t>
      </w:r>
      <w:r>
        <w:rPr>
          <w:rStyle w:val="NormalTok"/>
        </w:rPr>
        <w:t xml:space="preserve">],</w:t>
      </w:r>
      <w:r>
        <w:br/>
      </w:r>
      <w:r>
        <w:rPr>
          <w:rStyle w:val="NormalTok"/>
        </w:rPr>
        <w:t xml:space="preserve">    </w:t>
      </w:r>
      <w:r>
        <w:rPr>
          <w:rStyle w:val="StringTok"/>
        </w:rPr>
        <w:t xml:space="preserve">"year"</w:t>
      </w:r>
      <w:r>
        <w:rPr>
          <w:rStyle w:val="NormalTok"/>
        </w:rPr>
        <w:t xml:space="preserve">: [</w:t>
      </w:r>
      <w:r>
        <w:rPr>
          <w:rStyle w:val="DecValTok"/>
        </w:rPr>
        <w:t xml:space="preserve">2025</w:t>
      </w:r>
      <w:r>
        <w:rPr>
          <w:rStyle w:val="NormalTok"/>
        </w:rPr>
        <w:t xml:space="preserve">, </w:t>
      </w:r>
      <w:r>
        <w:rPr>
          <w:rStyle w:val="DecValTok"/>
        </w:rPr>
        <w:t xml:space="preserve">2026</w:t>
      </w:r>
      <w:r>
        <w:rPr>
          <w:rStyle w:val="NormalTok"/>
        </w:rPr>
        <w:t xml:space="preserve">, </w:t>
      </w:r>
      <w:r>
        <w:rPr>
          <w:rStyle w:val="DecValTok"/>
        </w:rPr>
        <w:t xml:space="preserve">2025</w:t>
      </w:r>
      <w:r>
        <w:rPr>
          <w:rStyle w:val="NormalTok"/>
        </w:rPr>
        <w:t xml:space="preserve">, </w:t>
      </w:r>
      <w:r>
        <w:rPr>
          <w:rStyle w:val="DecValTok"/>
        </w:rPr>
        <w:t xml:space="preserve">2026</w:t>
      </w:r>
      <w:r>
        <w:rPr>
          <w:rStyle w:val="NormalTok"/>
        </w:rPr>
        <w:t xml:space="preserve">],</w:t>
      </w:r>
      <w:r>
        <w:br/>
      </w:r>
      <w:r>
        <w:rPr>
          <w:rStyle w:val="NormalTok"/>
        </w:rPr>
        <w:t xml:space="preserve">    </w:t>
      </w:r>
      <w:r>
        <w:rPr>
          <w:rStyle w:val="StringTok"/>
        </w:rPr>
        <w:t xml:space="preserve">"income"</w:t>
      </w:r>
      <w:r>
        <w:rPr>
          <w:rStyle w:val="NormalTok"/>
        </w:rPr>
        <w:t xml:space="preserve">: [</w:t>
      </w:r>
      <w:r>
        <w:rPr>
          <w:rStyle w:val="DecValTok"/>
        </w:rPr>
        <w:t xml:space="preserve">60</w:t>
      </w:r>
      <w:r>
        <w:rPr>
          <w:rStyle w:val="NormalTok"/>
        </w:rPr>
        <w:t xml:space="preserve">, </w:t>
      </w:r>
      <w:r>
        <w:rPr>
          <w:rStyle w:val="DecValTok"/>
        </w:rPr>
        <w:t xml:space="preserve">63</w:t>
      </w:r>
      <w:r>
        <w:rPr>
          <w:rStyle w:val="NormalTok"/>
        </w:rPr>
        <w:t xml:space="preserve">, </w:t>
      </w:r>
      <w:r>
        <w:rPr>
          <w:rStyle w:val="DecValTok"/>
        </w:rPr>
        <w:t xml:space="preserve">55</w:t>
      </w:r>
      <w:r>
        <w:rPr>
          <w:rStyle w:val="NormalTok"/>
        </w:rPr>
        <w:t xml:space="preserve">, </w:t>
      </w:r>
      <w:r>
        <w:rPr>
          <w:rStyle w:val="DecValTok"/>
        </w:rPr>
        <w:t xml:space="preserve">58</w:t>
      </w:r>
      <w:r>
        <w:rPr>
          <w:rStyle w:val="NormalTok"/>
        </w:rPr>
        <w:t xml:space="preserve">],</w:t>
      </w:r>
      <w:r>
        <w:br/>
      </w:r>
      <w:r>
        <w:rPr>
          <w:rStyle w:val="NormalTok"/>
        </w:rPr>
        <w:t xml:space="preserve">})</w:t>
      </w:r>
      <w:r>
        <w:br/>
      </w:r>
      <w:r>
        <w:rPr>
          <w:rStyle w:val="NormalTok"/>
        </w:rPr>
        <w:t xml:space="preserve">summary </w:t>
      </w:r>
      <w:r>
        <w:rPr>
          <w:rStyle w:val="OperatorTok"/>
        </w:rPr>
        <w:t xml:space="preserve">=</w:t>
      </w:r>
      <w:r>
        <w:rPr>
          <w:rStyle w:val="NormalTok"/>
        </w:rPr>
        <w:t xml:space="preserve"> df.groupby(</w:t>
      </w:r>
      <w:r>
        <w:rPr>
          <w:rStyle w:val="StringTok"/>
        </w:rPr>
        <w:t xml:space="preserve">"province"</w:t>
      </w:r>
      <w:r>
        <w:rPr>
          <w:rStyle w:val="NormalTok"/>
        </w:rPr>
        <w:t xml:space="preserve">, as_index</w:t>
      </w:r>
      <w:r>
        <w:rPr>
          <w:rStyle w:val="OperatorTok"/>
        </w:rPr>
        <w:t xml:space="preserve">=</w:t>
      </w:r>
      <w:r>
        <w:rPr>
          <w:rStyle w:val="VariableTok"/>
        </w:rPr>
        <w:t xml:space="preserve">False</w:t>
      </w:r>
      <w:r>
        <w:rPr>
          <w:rStyle w:val="NormalTok"/>
        </w:rPr>
        <w:t xml:space="preserve">).agg(mean_income</w:t>
      </w:r>
      <w:r>
        <w:rPr>
          <w:rStyle w:val="OperatorTok"/>
        </w:rPr>
        <w:t xml:space="preserve">=</w:t>
      </w:r>
      <w:r>
        <w:rPr>
          <w:rStyle w:val="NormalTok"/>
        </w:rPr>
        <w:t xml:space="preserve">(</w:t>
      </w:r>
      <w:r>
        <w:rPr>
          <w:rStyle w:val="StringTok"/>
        </w:rPr>
        <w:t xml:space="preserve">"income"</w:t>
      </w:r>
      <w:r>
        <w:rPr>
          <w:rStyle w:val="NormalTok"/>
        </w:rPr>
        <w:t xml:space="preserve">, </w:t>
      </w:r>
      <w:r>
        <w:rPr>
          <w:rStyle w:val="StringTok"/>
        </w:rPr>
        <w:t xml:space="preserve">"mean"</w:t>
      </w:r>
      <w:r>
        <w:rPr>
          <w:rStyle w:val="NormalTok"/>
        </w:rPr>
        <w:t xml:space="preserve">))</w:t>
      </w:r>
      <w:r>
        <w:br/>
      </w:r>
      <w:r>
        <w:rPr>
          <w:rStyle w:val="BuiltInTok"/>
        </w:rPr>
        <w:t xml:space="preserve">print</w:t>
      </w:r>
      <w:r>
        <w:rPr>
          <w:rStyle w:val="NormalTok"/>
        </w:rPr>
        <w:t xml:space="preserve">(summary)</w:t>
      </w:r>
    </w:p>
    <w:p>
      <w:pPr>
        <w:pStyle w:val="FirstParagraph"/>
      </w:pPr>
      <w:r>
        <w:rPr>
          <w:b/>
          <w:bCs/>
        </w:rPr>
        <w:t xml:space="preserve">Verified output</w:t>
      </w:r>
    </w:p>
    <w:p>
      <w:pPr>
        <w:pStyle w:val="SourceCode"/>
        <w:keepLines/>
        <w:shd w:fill="F6F8FA" w:val="clear"/>
      </w:pPr>
      <w:r>
        <w:rPr>
          <w:rStyle w:val="VerbatimChar"/>
        </w:rPr>
        <w:t xml:space="preserve">province  mean_income</w:t>
      </w:r>
      <w:r>
        <w:br/>
      </w:r>
      <w:r>
        <w:rPr>
          <w:rStyle w:val="VerbatimChar"/>
        </w:rPr>
        <w:t xml:space="preserve">0       ON         61.5</w:t>
      </w:r>
      <w:r>
        <w:br/>
      </w:r>
      <w:r>
        <w:rPr>
          <w:rStyle w:val="VerbatimChar"/>
        </w:rPr>
        <w:t xml:space="preserve">1       QC         56.5</w:t>
      </w:r>
    </w:p>
    <w:p>
      <w:pPr>
        <w:pStyle w:val="FirstParagraph"/>
      </w:pPr>
      <w:r>
        <w:rPr>
          <w:b/>
          <w:bCs/>
        </w:rPr>
        <w:t xml:space="preserve">Interpretation.</w:t>
      </w:r>
      <w:r>
        <w:t xml:space="preserve"> </w:t>
      </w:r>
      <w:r>
        <w:t xml:space="preserve">The result has one row per province, so its unit differs from the original province-year table.</w:t>
      </w:r>
    </w:p>
    <w:bookmarkEnd w:id="211"/>
    <w:bookmarkStart w:id="212" w:name="demonstration-11.2-validate-a-merge"/>
    <w:p>
      <w:pPr>
        <w:pStyle w:val="Heading3"/>
        <w:keepNext/>
      </w:pPr>
      <w:r>
        <w:rPr>
          <w:rStyle w:val="SectionNumber"/>
          <w:rFonts w:ascii="Noto Sans" w:hAnsi="Noto Sans" w:eastAsia="Noto Sans" w:cs="Noto Sans"/>
          <w:b/>
          <w:color w:val="0A2342"/>
          <w:sz w:val="23"/>
        </w:rPr>
        <w:t xml:space="preserve">11.5.2</w:t>
      </w:r>
      <w:r>
        <w:rPr>
          <w:rFonts w:ascii="Noto Sans" w:hAnsi="Noto Sans" w:eastAsia="Noto Sans" w:cs="Noto Sans"/>
          <w:b/>
          <w:color w:val="0A2342"/>
          <w:sz w:val="23"/>
        </w:rPr>
        <w:tab/>
      </w:r>
      <w:r>
        <w:rPr>
          <w:rFonts w:ascii="Noto Sans" w:hAnsi="Noto Sans" w:eastAsia="Noto Sans" w:cs="Noto Sans"/>
          <w:b/>
          <w:color w:val="0A2342"/>
          <w:sz w:val="23"/>
        </w:rPr>
        <w:t xml:space="preserve">Demonstration 11.2: Validate a merge</w:t>
      </w:r>
    </w:p>
    <w:p>
      <w:pPr>
        <w:pStyle w:val="SourceCode"/>
        <w:shd w:fill="F6F8FA" w:val="clear"/>
      </w:pPr>
      <w:r>
        <w:rPr>
          <w:rStyle w:val="NormalTok"/>
        </w:rPr>
        <w:t xml:space="preserve">meta </w:t>
      </w:r>
      <w:r>
        <w:rPr>
          <w:rStyle w:val="OperatorTok"/>
        </w:rPr>
        <w:t xml:space="preserve">=</w:t>
      </w:r>
      <w:r>
        <w:rPr>
          <w:rStyle w:val="NormalTok"/>
        </w:rPr>
        <w:t xml:space="preserve"> pd.DataFrame({</w:t>
      </w:r>
      <w:r>
        <w:rPr>
          <w:rStyle w:val="StringTok"/>
        </w:rPr>
        <w:t xml:space="preserve">"province"</w:t>
      </w:r>
      <w:r>
        <w:rPr>
          <w:rStyle w:val="NormalTok"/>
        </w:rPr>
        <w:t xml:space="preserve">: [</w:t>
      </w:r>
      <w:r>
        <w:rPr>
          <w:rStyle w:val="StringTok"/>
        </w:rPr>
        <w:t xml:space="preserve">"ON"</w:t>
      </w:r>
      <w:r>
        <w:rPr>
          <w:rStyle w:val="NormalTok"/>
        </w:rPr>
        <w:t xml:space="preserve">, </w:t>
      </w:r>
      <w:r>
        <w:rPr>
          <w:rStyle w:val="StringTok"/>
        </w:rPr>
        <w:t xml:space="preserve">"QC"</w:t>
      </w:r>
      <w:r>
        <w:rPr>
          <w:rStyle w:val="NormalTok"/>
        </w:rPr>
        <w:t xml:space="preserve">], </w:t>
      </w:r>
      <w:r>
        <w:rPr>
          <w:rStyle w:val="StringTok"/>
        </w:rPr>
        <w:t xml:space="preserve">"region"</w:t>
      </w:r>
      <w:r>
        <w:rPr>
          <w:rStyle w:val="NormalTok"/>
        </w:rPr>
        <w:t xml:space="preserve">: [</w:t>
      </w:r>
      <w:r>
        <w:rPr>
          <w:rStyle w:val="StringTok"/>
        </w:rPr>
        <w:t xml:space="preserve">"Central"</w:t>
      </w:r>
      <w:r>
        <w:rPr>
          <w:rStyle w:val="NormalTok"/>
        </w:rPr>
        <w:t xml:space="preserve">, </w:t>
      </w:r>
      <w:r>
        <w:rPr>
          <w:rStyle w:val="StringTok"/>
        </w:rPr>
        <w:t xml:space="preserve">"Central"</w:t>
      </w:r>
      <w:r>
        <w:rPr>
          <w:rStyle w:val="NormalTok"/>
        </w:rPr>
        <w:t xml:space="preserve">]})</w:t>
      </w:r>
      <w:r>
        <w:br/>
      </w:r>
      <w:r>
        <w:rPr>
          <w:rStyle w:val="NormalTok"/>
        </w:rPr>
        <w:t xml:space="preserve">merged </w:t>
      </w:r>
      <w:r>
        <w:rPr>
          <w:rStyle w:val="OperatorTok"/>
        </w:rPr>
        <w:t xml:space="preserve">=</w:t>
      </w:r>
      <w:r>
        <w:rPr>
          <w:rStyle w:val="NormalTok"/>
        </w:rPr>
        <w:t xml:space="preserve"> df.merge(meta, on</w:t>
      </w:r>
      <w:r>
        <w:rPr>
          <w:rStyle w:val="OperatorTok"/>
        </w:rPr>
        <w:t xml:space="preserve">=</w:t>
      </w:r>
      <w:r>
        <w:rPr>
          <w:rStyle w:val="StringTok"/>
        </w:rPr>
        <w:t xml:space="preserve">"province"</w:t>
      </w:r>
      <w:r>
        <w:rPr>
          <w:rStyle w:val="NormalTok"/>
        </w:rPr>
        <w:t xml:space="preserve">, how</w:t>
      </w:r>
      <w:r>
        <w:rPr>
          <w:rStyle w:val="OperatorTok"/>
        </w:rPr>
        <w:t xml:space="preserve">=</w:t>
      </w:r>
      <w:r>
        <w:rPr>
          <w:rStyle w:val="StringTok"/>
        </w:rPr>
        <w:t xml:space="preserve">"left"</w:t>
      </w:r>
      <w:r>
        <w:rPr>
          <w:rStyle w:val="NormalTok"/>
        </w:rPr>
        <w:t xml:space="preserve">, validate</w:t>
      </w:r>
      <w:r>
        <w:rPr>
          <w:rStyle w:val="OperatorTok"/>
        </w:rPr>
        <w:t xml:space="preserve">=</w:t>
      </w:r>
      <w:r>
        <w:rPr>
          <w:rStyle w:val="StringTok"/>
        </w:rPr>
        <w:t xml:space="preserve">"many_to_one"</w:t>
      </w:r>
      <w:r>
        <w:rPr>
          <w:rStyle w:val="NormalTok"/>
        </w:rPr>
        <w:t xml:space="preserve">, indicator</w:t>
      </w:r>
      <w:r>
        <w:rPr>
          <w:rStyle w:val="OperatorTok"/>
        </w:rPr>
        <w:t xml:space="preserve">=</w:t>
      </w:r>
      <w:r>
        <w:rPr>
          <w:rStyle w:val="VariableTok"/>
        </w:rPr>
        <w:t xml:space="preserve">True</w:t>
      </w:r>
      <w:r>
        <w:rPr>
          <w:rStyle w:val="NormalTok"/>
        </w:rPr>
        <w:t xml:space="preserve">)</w:t>
      </w:r>
      <w:r>
        <w:br/>
      </w:r>
      <w:r>
        <w:rPr>
          <w:rStyle w:val="BuiltInTok"/>
        </w:rPr>
        <w:t xml:space="preserve">print</w:t>
      </w:r>
      <w:r>
        <w:rPr>
          <w:rStyle w:val="NormalTok"/>
        </w:rPr>
        <w:t xml:space="preserve">(merged.shape)</w:t>
      </w:r>
      <w:r>
        <w:br/>
      </w:r>
      <w:r>
        <w:rPr>
          <w:rStyle w:val="BuiltInTok"/>
        </w:rPr>
        <w:t xml:space="preserve">print</w:t>
      </w:r>
      <w:r>
        <w:rPr>
          <w:rStyle w:val="NormalTok"/>
        </w:rPr>
        <w:t xml:space="preserve">(merged[</w:t>
      </w:r>
      <w:r>
        <w:rPr>
          <w:rStyle w:val="StringTok"/>
        </w:rPr>
        <w:t xml:space="preserve">"_merge"</w:t>
      </w:r>
      <w:r>
        <w:rPr>
          <w:rStyle w:val="NormalTok"/>
        </w:rPr>
        <w:t xml:space="preserve">].value_counts().to_dict())</w:t>
      </w:r>
    </w:p>
    <w:p>
      <w:pPr>
        <w:pStyle w:val="FirstParagraph"/>
      </w:pPr>
      <w:r>
        <w:rPr>
          <w:b/>
          <w:bCs/>
        </w:rPr>
        <w:t xml:space="preserve">Verified output</w:t>
      </w:r>
    </w:p>
    <w:p>
      <w:pPr>
        <w:pStyle w:val="SourceCode"/>
        <w:keepLines/>
        <w:shd w:fill="F6F8FA" w:val="clear"/>
      </w:pPr>
      <w:r>
        <w:rPr>
          <w:rStyle w:val="VerbatimChar"/>
        </w:rPr>
        <w:t xml:space="preserve">(4, 5)</w:t>
      </w:r>
      <w:r>
        <w:br/>
      </w:r>
      <w:r>
        <w:rPr>
          <w:rStyle w:val="VerbatimChar"/>
        </w:rPr>
        <w:t xml:space="preserve">{'both': 4, 'left_only': 0, 'right_only': 0}</w:t>
      </w:r>
    </w:p>
    <w:p>
      <w:pPr>
        <w:pStyle w:val="FirstParagraph"/>
      </w:pPr>
      <w:r>
        <w:rPr>
          <w:b/>
          <w:bCs/>
        </w:rPr>
        <w:t xml:space="preserve">Interpretation.</w:t>
      </w:r>
      <w:r>
        <w:t xml:space="preserve"> </w:t>
      </w:r>
      <w:r>
        <w:t xml:space="preserve">Cardinality validation and the merge indicator confirm that metadata attached without multiplying rows.</w:t>
      </w:r>
    </w:p>
    <w:bookmarkEnd w:id="212"/>
    <w:bookmarkEnd w:id="213"/>
    <w:bookmarkStart w:id="217" w:name="visual-evidence-10"/>
    <w:p>
      <w:pPr>
        <w:pStyle w:val="Heading2"/>
        <w:keepNext/>
      </w:pPr>
      <w:r>
        <w:rPr>
          <w:rStyle w:val="SectionNumber"/>
          <w:rFonts w:ascii="Noto Sans" w:hAnsi="Noto Sans" w:eastAsia="Noto Sans" w:cs="Noto Sans"/>
          <w:b/>
          <w:color w:val="008F87"/>
          <w:sz w:val="29"/>
        </w:rPr>
        <w:t xml:space="preserve">11.6</w:t>
      </w:r>
      <w:r>
        <w:rPr>
          <w:rFonts w:ascii="Noto Sans" w:hAnsi="Noto Sans" w:eastAsia="Noto Sans" w:cs="Noto Sans"/>
          <w:b/>
          <w:color w:val="008F87"/>
          <w:sz w:val="29"/>
        </w:rPr>
        <w:tab/>
      </w:r>
      <w:r>
        <w:rPr>
          <w:rFonts w:ascii="Noto Sans" w:hAnsi="Noto Sans" w:eastAsia="Noto Sans" w:cs="Noto Sans"/>
          <w:b/>
          <w:color w:val="008F87"/>
          <w:sz w:val="29"/>
        </w:rPr>
        <w:t xml:space="preserve">Visual evidence</w:t>
      </w:r>
    </w:p>
    <w:p>
      <w:pPr>
        <w:pStyle w:val="FirstParagraph"/>
      </w:pPr>
      <w:r>
        <w:drawing>
          <wp:inline>
            <wp:extent cx="4907280" cy="2514675"/>
            <wp:effectExtent b="0" l="0" r="0" t="0"/>
            <wp:docPr descr="Image: rId214.png" title="" id="215" name="Picture"/>
            <a:graphic>
              <a:graphicData uri="http://schemas.openxmlformats.org/drawingml/2006/picture">
                <pic:pic>
                  <pic:nvPicPr>
                    <pic:cNvPr descr="figures/fig_11_joins.png" id="216" name="Picture"/>
                    <pic:cNvPicPr>
                      <a:picLocks noChangeArrowheads="1" noChangeAspect="1"/>
                    </pic:cNvPicPr>
                  </pic:nvPicPr>
                  <pic:blipFill>
                    <a:blip r:embed="rId214"/>
                    <a:stretch>
                      <a:fillRect/>
                    </a:stretch>
                  </pic:blipFill>
                  <pic:spPr bwMode="auto">
                    <a:xfrm>
                      <a:off x="0" y="0"/>
                      <a:ext cx="4907280" cy="2514675"/>
                    </a:xfrm>
                    <a:prstGeom prst="rect">
                      <a:avLst/>
                    </a:prstGeom>
                    <a:noFill/>
                    <a:ln w="9525">
                      <a:noFill/>
                      <a:headEnd/>
                      <a:tailEnd/>
                    </a:ln>
                  </pic:spPr>
                </pic:pic>
              </a:graphicData>
            </a:graphic>
          </wp:inline>
        </w:drawing>
      </w:r>
    </w:p>
    <w:p>
      <w:pPr>
        <w:pStyle w:val="Caption"/>
        <w:keepNext w:val="0"/>
        <w:jc w:val="center"/>
      </w:pPr>
      <w:r>
        <w:rPr>
          <w:b/>
          <w:bCs/>
        </w:rPr>
        <w:t xml:space="preserve">Figure 11.</w:t>
      </w:r>
      <w:r>
        <w:t xml:space="preserve"> </w:t>
      </w:r>
      <w:r>
        <w:t xml:space="preserve">Joining two tables requires explicit keys and duplicate-key diagnostics.</w:t>
      </w:r>
    </w:p>
    <w:bookmarkEnd w:id="217"/>
    <w:bookmarkStart w:id="218" w:name="reference-table-10"/>
    <w:p>
      <w:pPr>
        <w:pStyle w:val="Heading2"/>
        <w:keepNext/>
      </w:pPr>
      <w:r>
        <w:rPr>
          <w:rStyle w:val="SectionNumber"/>
          <w:rFonts w:ascii="Noto Sans" w:hAnsi="Noto Sans" w:eastAsia="Noto Sans" w:cs="Noto Sans"/>
          <w:b/>
          <w:color w:val="008F87"/>
          <w:sz w:val="29"/>
        </w:rPr>
        <w:t xml:space="preserve">11.7</w:t>
      </w:r>
      <w:r>
        <w:rPr>
          <w:rFonts w:ascii="Noto Sans" w:hAnsi="Noto Sans" w:eastAsia="Noto Sans" w:cs="Noto Sans"/>
          <w:b/>
          <w:color w:val="008F87"/>
          <w:sz w:val="29"/>
        </w:rPr>
        <w:tab/>
      </w:r>
      <w:r>
        <w:rPr>
          <w:rFonts w:ascii="Noto Sans" w:hAnsi="Noto Sans" w:eastAsia="Noto Sans" w:cs="Noto Sans"/>
          <w:b/>
          <w:color w:val="008F87"/>
          <w:sz w:val="29"/>
        </w:rPr>
        <w:t xml:space="preserve">Reference table</w:t>
      </w:r>
    </w:p>
    <w:p>
      <w:pPr>
        <w:pStyle w:val="Caption"/>
        <w:keepNext/>
        <w:jc w:val="center"/>
      </w:pPr>
      <w:r>
        <w:rPr>
          <w:b/>
          <w:bCs/>
        </w:rPr>
        <w:t xml:space="preserve">Table 11. Chapter reference.</w:t>
      </w:r>
    </w:p>
    <w:tbl>
      <w:tblPr>
        <w:tblStyle w:val="Table"/>
        <w:tblW w:type="auto" w:w="0"/>
        <w:jc w:val="center"/>
        <w:tblLayout w:type="autofit"/>
        <w:tblLook w:firstRow="1" w:lastRow="0" w:firstColumn="0" w:lastColumn="0" w:noHBand="0" w:noVBand="0" w:val="0020"/>
      </w:tblPr>
      <w:tblGrid>
        <w:gridCol w:w="2640"/>
        <w:gridCol w:w="2640"/>
        <w:gridCol w:w="2640"/>
      </w:tblGrid>
      <w:tr>
        <w:trPr>
          <w:tblHeader w:val="on"/>
          <w:tblHeader w:val="true"/>
          <w:cantSplit/>
        </w:trPr>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0A2342" w:val="clear"/>
          </w:tcPr>
          <w:p>
            <w:pPr>
              <w:pStyle w:val="Compact"/>
              <w:spacing w:before="30" w:after="30" w:line="240" w:lineRule="auto"/>
              <w:jc w:val="left"/>
            </w:pPr>
            <w:r>
              <w:rPr>
                <w:rFonts w:ascii="Noto Sans" w:hAnsi="Noto Sans" w:eastAsia="Noto Sans" w:cs="Noto Sans"/>
                <w:b/>
                <w:color w:val="FFFFFF"/>
                <w:sz w:val="16"/>
              </w:rPr>
              <w:t xml:space="preserve">Join</w:t>
            </w:r>
          </w:p>
        </w:tc>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0A2342" w:val="clear"/>
          </w:tcPr>
          <w:p>
            <w:pPr>
              <w:pStyle w:val="Compact"/>
              <w:spacing w:before="30" w:after="30" w:line="240" w:lineRule="auto"/>
              <w:jc w:val="left"/>
            </w:pPr>
            <w:r>
              <w:rPr>
                <w:rFonts w:ascii="Noto Sans" w:hAnsi="Noto Sans" w:eastAsia="Noto Sans" w:cs="Noto Sans"/>
                <w:b/>
                <w:color w:val="FFFFFF"/>
                <w:sz w:val="16"/>
              </w:rPr>
              <w:t xml:space="preserve">Keeps</w:t>
            </w:r>
          </w:p>
        </w:tc>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0A2342" w:val="clear"/>
          </w:tcPr>
          <w:p>
            <w:pPr>
              <w:pStyle w:val="Compact"/>
              <w:spacing w:before="30" w:after="30" w:line="240" w:lineRule="auto"/>
              <w:jc w:val="left"/>
            </w:pPr>
            <w:r>
              <w:rPr>
                <w:rFonts w:ascii="Noto Sans" w:hAnsi="Noto Sans" w:eastAsia="Noto Sans" w:cs="Noto Sans"/>
                <w:b/>
                <w:color w:val="FFFFFF"/>
                <w:sz w:val="16"/>
              </w:rPr>
              <w:t xml:space="preserve">Use case</w:t>
            </w:r>
          </w:p>
        </w:tc>
      </w:tr>
      <w:tr>
        <w:trPr>
          <w:cantSplit/>
        </w:trPr>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EEF4F8" w:val="clear"/>
          </w:tcPr>
          <w:p>
            <w:pPr>
              <w:pStyle w:val="Compact"/>
              <w:spacing w:before="30" w:after="30" w:line="240" w:lineRule="auto"/>
              <w:jc w:val="left"/>
            </w:pPr>
            <w:r>
              <w:rPr>
                <w:rFonts w:ascii="Noto Sans" w:hAnsi="Noto Sans" w:eastAsia="Noto Sans" w:cs="Noto Sans"/>
                <w:b w:val="0"/>
                <w:color w:val="18212B"/>
                <w:sz w:val="16"/>
              </w:rPr>
              <w:t xml:space="preserve">inner</w:t>
            </w:r>
          </w:p>
        </w:tc>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EEF4F8" w:val="clear"/>
          </w:tcPr>
          <w:p>
            <w:pPr>
              <w:pStyle w:val="Compact"/>
              <w:spacing w:before="30" w:after="30" w:line="240" w:lineRule="auto"/>
              <w:jc w:val="left"/>
            </w:pPr>
            <w:r>
              <w:rPr>
                <w:rFonts w:ascii="Noto Sans" w:hAnsi="Noto Sans" w:eastAsia="Noto Sans" w:cs="Noto Sans"/>
                <w:b w:val="0"/>
                <w:color w:val="18212B"/>
                <w:sz w:val="16"/>
              </w:rPr>
              <w:t xml:space="preserve">matching keys only</w:t>
            </w:r>
          </w:p>
        </w:tc>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EEF4F8" w:val="clear"/>
          </w:tcPr>
          <w:p>
            <w:pPr>
              <w:pStyle w:val="Compact"/>
              <w:spacing w:before="30" w:after="30" w:line="240" w:lineRule="auto"/>
              <w:jc w:val="left"/>
            </w:pPr>
            <w:r>
              <w:rPr>
                <w:rFonts w:ascii="Noto Sans" w:hAnsi="Noto Sans" w:eastAsia="Noto Sans" w:cs="Noto Sans"/>
                <w:b w:val="0"/>
                <w:color w:val="18212B"/>
                <w:sz w:val="16"/>
              </w:rPr>
              <w:t xml:space="preserve">complete overlap</w:t>
            </w:r>
          </w:p>
        </w:tc>
      </w:tr>
      <w:tr>
        <w:trPr>
          <w:cantSplit/>
        </w:trPr>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FFFFFF" w:val="clear"/>
          </w:tcPr>
          <w:p>
            <w:pPr>
              <w:pStyle w:val="Compact"/>
              <w:spacing w:before="30" w:after="30" w:line="240" w:lineRule="auto"/>
              <w:jc w:val="left"/>
            </w:pPr>
            <w:r>
              <w:rPr>
                <w:rFonts w:ascii="Noto Sans" w:hAnsi="Noto Sans" w:eastAsia="Noto Sans" w:cs="Noto Sans"/>
                <w:b w:val="0"/>
                <w:color w:val="18212B"/>
                <w:sz w:val="16"/>
              </w:rPr>
              <w:t xml:space="preserve">left</w:t>
            </w:r>
          </w:p>
        </w:tc>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FFFFFF" w:val="clear"/>
          </w:tcPr>
          <w:p>
            <w:pPr>
              <w:pStyle w:val="Compact"/>
              <w:spacing w:before="30" w:after="30" w:line="240" w:lineRule="auto"/>
              <w:jc w:val="left"/>
            </w:pPr>
            <w:r>
              <w:rPr>
                <w:rFonts w:ascii="Noto Sans" w:hAnsi="Noto Sans" w:eastAsia="Noto Sans" w:cs="Noto Sans"/>
                <w:b w:val="0"/>
                <w:color w:val="18212B"/>
                <w:sz w:val="16"/>
              </w:rPr>
              <w:t xml:space="preserve">all left rows</w:t>
            </w:r>
          </w:p>
        </w:tc>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FFFFFF" w:val="clear"/>
          </w:tcPr>
          <w:p>
            <w:pPr>
              <w:pStyle w:val="Compact"/>
              <w:spacing w:before="30" w:after="30" w:line="240" w:lineRule="auto"/>
              <w:jc w:val="left"/>
            </w:pPr>
            <w:r>
              <w:rPr>
                <w:rFonts w:ascii="Noto Sans" w:hAnsi="Noto Sans" w:eastAsia="Noto Sans" w:cs="Noto Sans"/>
                <w:b w:val="0"/>
                <w:color w:val="18212B"/>
                <w:sz w:val="16"/>
              </w:rPr>
              <w:t xml:space="preserve">attach metadata</w:t>
            </w:r>
          </w:p>
        </w:tc>
      </w:tr>
      <w:tr>
        <w:trPr>
          <w:cantSplit/>
        </w:trPr>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EEF4F8" w:val="clear"/>
          </w:tcPr>
          <w:p>
            <w:pPr>
              <w:pStyle w:val="Compact"/>
              <w:spacing w:before="30" w:after="30" w:line="240" w:lineRule="auto"/>
              <w:jc w:val="left"/>
            </w:pPr>
            <w:r>
              <w:rPr>
                <w:rFonts w:ascii="Noto Sans" w:hAnsi="Noto Sans" w:eastAsia="Noto Sans" w:cs="Noto Sans"/>
                <w:b w:val="0"/>
                <w:color w:val="18212B"/>
                <w:sz w:val="16"/>
              </w:rPr>
              <w:t xml:space="preserve">right</w:t>
            </w:r>
          </w:p>
        </w:tc>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EEF4F8" w:val="clear"/>
          </w:tcPr>
          <w:p>
            <w:pPr>
              <w:pStyle w:val="Compact"/>
              <w:spacing w:before="30" w:after="30" w:line="240" w:lineRule="auto"/>
              <w:jc w:val="left"/>
            </w:pPr>
            <w:r>
              <w:rPr>
                <w:rFonts w:ascii="Noto Sans" w:hAnsi="Noto Sans" w:eastAsia="Noto Sans" w:cs="Noto Sans"/>
                <w:b w:val="0"/>
                <w:color w:val="18212B"/>
                <w:sz w:val="16"/>
              </w:rPr>
              <w:t xml:space="preserve">all right rows</w:t>
            </w:r>
          </w:p>
        </w:tc>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EEF4F8" w:val="clear"/>
          </w:tcPr>
          <w:p>
            <w:pPr>
              <w:pStyle w:val="Compact"/>
              <w:spacing w:before="30" w:after="30" w:line="240" w:lineRule="auto"/>
              <w:jc w:val="left"/>
            </w:pPr>
            <w:r>
              <w:rPr>
                <w:rFonts w:ascii="Noto Sans" w:hAnsi="Noto Sans" w:eastAsia="Noto Sans" w:cs="Noto Sans"/>
                <w:b w:val="0"/>
                <w:color w:val="18212B"/>
                <w:sz w:val="16"/>
              </w:rPr>
              <w:t xml:space="preserve">less common mirror of left</w:t>
            </w:r>
          </w:p>
        </w:tc>
      </w:tr>
      <w:tr>
        <w:trPr>
          <w:cantSplit/>
        </w:trPr>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FFFFFF" w:val="clear"/>
          </w:tcPr>
          <w:p>
            <w:pPr>
              <w:pStyle w:val="Compact"/>
              <w:spacing w:before="30" w:after="30" w:line="240" w:lineRule="auto"/>
              <w:jc w:val="left"/>
            </w:pPr>
            <w:r>
              <w:rPr>
                <w:rFonts w:ascii="Noto Sans" w:hAnsi="Noto Sans" w:eastAsia="Noto Sans" w:cs="Noto Sans"/>
                <w:b w:val="0"/>
                <w:color w:val="18212B"/>
                <w:sz w:val="16"/>
              </w:rPr>
              <w:t xml:space="preserve">outer</w:t>
            </w:r>
          </w:p>
        </w:tc>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FFFFFF" w:val="clear"/>
          </w:tcPr>
          <w:p>
            <w:pPr>
              <w:pStyle w:val="Compact"/>
              <w:spacing w:before="30" w:after="30" w:line="240" w:lineRule="auto"/>
              <w:jc w:val="left"/>
            </w:pPr>
            <w:r>
              <w:rPr>
                <w:rFonts w:ascii="Noto Sans" w:hAnsi="Noto Sans" w:eastAsia="Noto Sans" w:cs="Noto Sans"/>
                <w:b w:val="0"/>
                <w:color w:val="18212B"/>
                <w:sz w:val="16"/>
              </w:rPr>
              <w:t xml:space="preserve">all keys</w:t>
            </w:r>
          </w:p>
        </w:tc>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FFFFFF" w:val="clear"/>
          </w:tcPr>
          <w:p>
            <w:pPr>
              <w:pStyle w:val="Compact"/>
              <w:spacing w:before="30" w:after="30" w:line="240" w:lineRule="auto"/>
              <w:jc w:val="left"/>
            </w:pPr>
            <w:r>
              <w:rPr>
                <w:rFonts w:ascii="Noto Sans" w:hAnsi="Noto Sans" w:eastAsia="Noto Sans" w:cs="Noto Sans"/>
                <w:b w:val="0"/>
                <w:color w:val="18212B"/>
                <w:sz w:val="16"/>
              </w:rPr>
              <w:t xml:space="preserve">reconciliation and coverage audit</w:t>
            </w:r>
          </w:p>
        </w:tc>
      </w:tr>
    </w:tbl>
    <w:p>
      <w:pPr>
        <w:pStyle w:val="BlockText"/>
        <w:shd w:fill="EAF7F5" w:val="clear"/>
        <w:pBdr>
          <w:left w:val="single" w:sz="18" w:space="8" w:color="008F87"/>
        </w:pBdr>
      </w:pPr>
      <w:r>
        <w:rPr>
          <w:b/>
          <w:bCs/>
        </w:rPr>
        <w:t xml:space="preserve">Why This Matters</w:t>
      </w:r>
    </w:p>
    <w:p>
      <w:pPr>
        <w:pStyle w:val="BlockText"/>
        <w:shd w:fill="EAF7F5" w:val="clear"/>
        <w:pBdr>
          <w:left w:val="single" w:sz="18" w:space="8" w:color="008F87"/>
        </w:pBdr>
      </w:pPr>
      <w:r>
        <w:t xml:space="preserve">Many large analytical errors begin with an unnoticed change in observational unit during aggregation or merging.</w:t>
      </w:r>
    </w:p>
    <w:p>
      <w:pPr>
        <w:pStyle w:val="BlockText"/>
        <w:shd w:fill="EAF7F5" w:val="clear"/>
        <w:pBdr>
          <w:left w:val="single" w:sz="18" w:space="8" w:color="008F87"/>
        </w:pBdr>
      </w:pPr>
      <w:r>
        <w:rPr>
          <w:b/>
          <w:bCs/>
        </w:rPr>
        <w:t xml:space="preserve">Common Mistake</w:t>
      </w:r>
    </w:p>
    <w:p>
      <w:pPr>
        <w:pStyle w:val="BlockText"/>
        <w:shd w:fill="EAF7F5" w:val="clear"/>
        <w:pBdr>
          <w:left w:val="single" w:sz="18" w:space="8" w:color="008F87"/>
        </w:pBdr>
      </w:pPr>
      <w:r>
        <w:t xml:space="preserve">Joining on a variable that is not unique in the lookup table. The output may expand without an obvious error message.</w:t>
      </w:r>
    </w:p>
    <w:p>
      <w:pPr>
        <w:pStyle w:val="BlockText"/>
        <w:shd w:fill="EAF7F5" w:val="clear"/>
        <w:pBdr>
          <w:left w:val="single" w:sz="18" w:space="8" w:color="008F87"/>
        </w:pBdr>
      </w:pPr>
      <w:r>
        <w:rPr>
          <w:b/>
          <w:bCs/>
        </w:rPr>
        <w:t xml:space="preserve">Ceteris LAB Tip</w:t>
      </w:r>
    </w:p>
    <w:p>
      <w:pPr>
        <w:pStyle w:val="BlockText"/>
        <w:shd w:fill="EAF7F5" w:val="clear"/>
        <w:pBdr>
          <w:left w:val="single" w:sz="18" w:space="8" w:color="008F87"/>
        </w:pBdr>
      </w:pPr>
      <w:r>
        <w:t xml:space="preserve">Write the expected join cardinality in words before writing the merge code.</w:t>
      </w:r>
    </w:p>
    <w:p>
      <w:pPr>
        <w:pStyle w:val="BlockText"/>
        <w:shd w:fill="EAF7F5" w:val="clear"/>
        <w:pBdr>
          <w:left w:val="single" w:sz="18" w:space="8" w:color="008F87"/>
        </w:pBdr>
      </w:pPr>
      <w:r>
        <w:rPr>
          <w:b/>
          <w:bCs/>
        </w:rPr>
        <w:t xml:space="preserve">R-to-Python / Source Bridge</w:t>
      </w:r>
    </w:p>
    <w:p>
      <w:pPr>
        <w:pStyle w:val="BlockText"/>
        <w:shd w:fill="EAF7F5" w:val="clear"/>
        <w:pBdr>
          <w:left w:val="single" w:sz="18" w:space="8" w:color="008F87"/>
        </w:pBdr>
      </w:pPr>
      <w:r>
        <w:t xml:space="preserve">Financial and macroeconomic source examples combine dates, identifiers, and multiple series. This chapter supplies the safe restructuring tools needed before time-series modeling.</w:t>
      </w:r>
    </w:p>
    <w:bookmarkEnd w:id="218"/>
    <w:bookmarkStart w:id="219" w:name="guided-practice-10"/>
    <w:p>
      <w:pPr>
        <w:pStyle w:val="Heading2"/>
        <w:keepNext/>
      </w:pPr>
      <w:r>
        <w:rPr>
          <w:rStyle w:val="SectionNumber"/>
          <w:rFonts w:ascii="Noto Sans" w:hAnsi="Noto Sans" w:eastAsia="Noto Sans" w:cs="Noto Sans"/>
          <w:b/>
          <w:color w:val="008F87"/>
          <w:sz w:val="29"/>
        </w:rPr>
        <w:t xml:space="preserve">11.8</w:t>
      </w:r>
      <w:r>
        <w:rPr>
          <w:rFonts w:ascii="Noto Sans" w:hAnsi="Noto Sans" w:eastAsia="Noto Sans" w:cs="Noto Sans"/>
          <w:b/>
          <w:color w:val="008F87"/>
          <w:sz w:val="29"/>
        </w:rPr>
        <w:tab/>
      </w:r>
      <w:r>
        <w:rPr>
          <w:rFonts w:ascii="Noto Sans" w:hAnsi="Noto Sans" w:eastAsia="Noto Sans" w:cs="Noto Sans"/>
          <w:b/>
          <w:color w:val="008F87"/>
          <w:sz w:val="29"/>
        </w:rPr>
        <w:t xml:space="preserve">Guided practice</w:t>
      </w:r>
    </w:p>
    <w:p>
      <w:pPr>
        <w:pStyle w:val="Compact"/>
        <w:numPr>
          <w:ilvl w:val="0"/>
          <w:numId w:val="1044"/>
        </w:numPr>
      </w:pPr>
      <w:r>
        <w:t xml:space="preserve">Re-run Demonstration 11.1 and change one input while keeping the analytical question fixed.</w:t>
      </w:r>
    </w:p>
    <w:p>
      <w:pPr>
        <w:pStyle w:val="Compact"/>
        <w:numPr>
          <w:ilvl w:val="0"/>
          <w:numId w:val="1044"/>
        </w:numPr>
      </w:pPr>
      <w:r>
        <w:t xml:space="preserve">Explain in two sentences how the output supports, or fails to support, the chapter opening question.</w:t>
      </w:r>
    </w:p>
    <w:p>
      <w:pPr>
        <w:pStyle w:val="Compact"/>
        <w:numPr>
          <w:ilvl w:val="0"/>
          <w:numId w:val="1044"/>
        </w:numPr>
      </w:pPr>
      <w:r>
        <w:t xml:space="preserve">Add one validation check that would prevent a plausible error.</w:t>
      </w:r>
    </w:p>
    <w:bookmarkEnd w:id="219"/>
    <w:bookmarkStart w:id="220" w:name="exercises-10"/>
    <w:p>
      <w:pPr>
        <w:pStyle w:val="Heading2"/>
        <w:keepNext/>
      </w:pPr>
      <w:r>
        <w:rPr>
          <w:rStyle w:val="SectionNumber"/>
          <w:rFonts w:ascii="Noto Sans" w:hAnsi="Noto Sans" w:eastAsia="Noto Sans" w:cs="Noto Sans"/>
          <w:b/>
          <w:color w:val="008F87"/>
          <w:sz w:val="29"/>
        </w:rPr>
        <w:t xml:space="preserve">11.9</w:t>
      </w:r>
      <w:r>
        <w:rPr>
          <w:rFonts w:ascii="Noto Sans" w:hAnsi="Noto Sans" w:eastAsia="Noto Sans" w:cs="Noto Sans"/>
          <w:b/>
          <w:color w:val="008F87"/>
          <w:sz w:val="29"/>
        </w:rPr>
        <w:tab/>
      </w:r>
      <w:r>
        <w:rPr>
          <w:rFonts w:ascii="Noto Sans" w:hAnsi="Noto Sans" w:eastAsia="Noto Sans" w:cs="Noto Sans"/>
          <w:b/>
          <w:color w:val="008F87"/>
          <w:sz w:val="29"/>
        </w:rPr>
        <w:t xml:space="preserve">Exercises</w:t>
      </w:r>
    </w:p>
    <w:p>
      <w:pPr>
        <w:pStyle w:val="Compact"/>
        <w:numPr>
          <w:ilvl w:val="0"/>
          <w:numId w:val="1045"/>
        </w:numPr>
      </w:pPr>
      <w:r>
        <w:t xml:space="preserve">Create a grouped mean and count.</w:t>
      </w:r>
    </w:p>
    <w:p>
      <w:pPr>
        <w:pStyle w:val="Compact"/>
        <w:numPr>
          <w:ilvl w:val="0"/>
          <w:numId w:val="1045"/>
        </w:numPr>
      </w:pPr>
      <w:r>
        <w:t xml:space="preserve">Reshape a two-year wide table to long form.</w:t>
      </w:r>
    </w:p>
    <w:p>
      <w:pPr>
        <w:pStyle w:val="Compact"/>
        <w:numPr>
          <w:ilvl w:val="0"/>
          <w:numId w:val="1045"/>
        </w:numPr>
      </w:pPr>
      <w:r>
        <w:t xml:space="preserve">Perform a left join with validation.</w:t>
      </w:r>
    </w:p>
    <w:p>
      <w:pPr>
        <w:pStyle w:val="Compact"/>
        <w:numPr>
          <w:ilvl w:val="0"/>
          <w:numId w:val="1045"/>
        </w:numPr>
      </w:pPr>
      <w:r>
        <w:t xml:space="preserve">Find keys that do not match across two tables.</w:t>
      </w:r>
    </w:p>
    <w:bookmarkEnd w:id="220"/>
    <w:bookmarkStart w:id="221" w:name="chapter-summary-10"/>
    <w:p>
      <w:pPr>
        <w:pStyle w:val="Heading2"/>
        <w:keepNext/>
      </w:pPr>
      <w:r>
        <w:rPr>
          <w:rStyle w:val="SectionNumber"/>
          <w:rFonts w:ascii="Noto Sans" w:hAnsi="Noto Sans" w:eastAsia="Noto Sans" w:cs="Noto Sans"/>
          <w:b/>
          <w:color w:val="008F87"/>
          <w:sz w:val="29"/>
        </w:rPr>
        <w:t xml:space="preserve">11.10</w:t>
      </w:r>
      <w:r>
        <w:rPr>
          <w:rFonts w:ascii="Noto Sans" w:hAnsi="Noto Sans" w:eastAsia="Noto Sans" w:cs="Noto Sans"/>
          <w:b/>
          <w:color w:val="008F87"/>
          <w:sz w:val="29"/>
        </w:rPr>
        <w:tab/>
      </w:r>
      <w:r>
        <w:rPr>
          <w:rFonts w:ascii="Noto Sans" w:hAnsi="Noto Sans" w:eastAsia="Noto Sans" w:cs="Noto Sans"/>
          <w:b/>
          <w:color w:val="008F87"/>
          <w:sz w:val="29"/>
        </w:rPr>
        <w:t xml:space="preserve">Chapter summary</w:t>
      </w:r>
    </w:p>
    <w:p>
      <w:pPr>
        <w:pStyle w:val="Compact"/>
        <w:numPr>
          <w:ilvl w:val="0"/>
          <w:numId w:val="1046"/>
        </w:numPr>
      </w:pPr>
      <w:r>
        <w:t xml:space="preserve">Grouping changes the unit of analysis.</w:t>
      </w:r>
    </w:p>
    <w:p>
      <w:pPr>
        <w:pStyle w:val="Compact"/>
        <w:numPr>
          <w:ilvl w:val="0"/>
          <w:numId w:val="1046"/>
        </w:numPr>
      </w:pPr>
      <w:r>
        <w:t xml:space="preserve">Wide and long formats support different tasks.</w:t>
      </w:r>
    </w:p>
    <w:p>
      <w:pPr>
        <w:pStyle w:val="Compact"/>
        <w:numPr>
          <w:ilvl w:val="0"/>
          <w:numId w:val="1046"/>
        </w:numPr>
      </w:pPr>
      <w:r>
        <w:t xml:space="preserve">Join cardinality and unmatched keys must be audited.</w:t>
      </w:r>
    </w:p>
    <w:bookmarkEnd w:id="221"/>
    <w:bookmarkStart w:id="222" w:name="key-python-commands-10"/>
    <w:p>
      <w:pPr>
        <w:pStyle w:val="Heading2"/>
        <w:keepNext/>
      </w:pPr>
      <w:r>
        <w:rPr>
          <w:rStyle w:val="SectionNumber"/>
          <w:rFonts w:ascii="Noto Sans" w:hAnsi="Noto Sans" w:eastAsia="Noto Sans" w:cs="Noto Sans"/>
          <w:b/>
          <w:color w:val="008F87"/>
          <w:sz w:val="29"/>
        </w:rPr>
        <w:t xml:space="preserve">11.11</w:t>
      </w:r>
      <w:r>
        <w:rPr>
          <w:rFonts w:ascii="Noto Sans" w:hAnsi="Noto Sans" w:eastAsia="Noto Sans" w:cs="Noto Sans"/>
          <w:b/>
          <w:color w:val="008F87"/>
          <w:sz w:val="29"/>
        </w:rPr>
        <w:tab/>
      </w:r>
      <w:r>
        <w:rPr>
          <w:rFonts w:ascii="Noto Sans" w:hAnsi="Noto Sans" w:eastAsia="Noto Sans" w:cs="Noto Sans"/>
          <w:b/>
          <w:color w:val="008F87"/>
          <w:sz w:val="29"/>
        </w:rPr>
        <w:t xml:space="preserve">Key Python commands</w:t>
      </w:r>
    </w:p>
    <w:p>
      <w:pPr>
        <w:pStyle w:val="SourceCode"/>
        <w:shd w:fill="F6F8FA" w:val="clear"/>
      </w:pPr>
      <w:r>
        <w:rPr>
          <w:rStyle w:val="ImportTok"/>
        </w:rPr>
        <w:t xml:space="preserve">import</w:t>
      </w:r>
      <w:r>
        <w:rPr>
          <w:rStyle w:val="NormalTok"/>
        </w:rPr>
        <w:t xml:space="preserve"> pandas </w:t>
      </w:r>
      <w:r>
        <w:rPr>
          <w:rStyle w:val="ImportTok"/>
        </w:rPr>
        <w:t xml:space="preserve">as</w:t>
      </w:r>
      <w:r>
        <w:rPr>
          <w:rStyle w:val="NormalTok"/>
        </w:rPr>
        <w:t xml:space="preserve"> pd</w:t>
      </w:r>
      <w:r>
        <w:br/>
      </w:r>
      <w:r>
        <w:rPr>
          <w:rStyle w:val="NormalTok"/>
        </w:rPr>
        <w:t xml:space="preserve">df </w:t>
      </w:r>
      <w:r>
        <w:rPr>
          <w:rStyle w:val="OperatorTok"/>
        </w:rPr>
        <w:t xml:space="preserve">=</w:t>
      </w:r>
      <w:r>
        <w:rPr>
          <w:rStyle w:val="NormalTok"/>
        </w:rPr>
        <w:t xml:space="preserve"> pd.DataFrame({</w:t>
      </w:r>
      <w:r>
        <w:br/>
      </w:r>
      <w:r>
        <w:rPr>
          <w:rStyle w:val="NormalTok"/>
        </w:rPr>
        <w:t xml:space="preserve">summary </w:t>
      </w:r>
      <w:r>
        <w:rPr>
          <w:rStyle w:val="OperatorTok"/>
        </w:rPr>
        <w:t xml:space="preserve">=</w:t>
      </w:r>
      <w:r>
        <w:rPr>
          <w:rStyle w:val="NormalTok"/>
        </w:rPr>
        <w:t xml:space="preserve"> df.groupby(</w:t>
      </w:r>
      <w:r>
        <w:rPr>
          <w:rStyle w:val="StringTok"/>
        </w:rPr>
        <w:t xml:space="preserve">"province"</w:t>
      </w:r>
      <w:r>
        <w:rPr>
          <w:rStyle w:val="NormalTok"/>
        </w:rPr>
        <w:t xml:space="preserve">, as_index</w:t>
      </w:r>
      <w:r>
        <w:rPr>
          <w:rStyle w:val="OperatorTok"/>
        </w:rPr>
        <w:t xml:space="preserve">=</w:t>
      </w:r>
      <w:r>
        <w:rPr>
          <w:rStyle w:val="VariableTok"/>
        </w:rPr>
        <w:t xml:space="preserve">False</w:t>
      </w:r>
      <w:r>
        <w:rPr>
          <w:rStyle w:val="NormalTok"/>
        </w:rPr>
        <w:t xml:space="preserve">).agg(mean_income</w:t>
      </w:r>
      <w:r>
        <w:rPr>
          <w:rStyle w:val="OperatorTok"/>
        </w:rPr>
        <w:t xml:space="preserve">=</w:t>
      </w:r>
      <w:r>
        <w:rPr>
          <w:rStyle w:val="NormalTok"/>
        </w:rPr>
        <w:t xml:space="preserve">(</w:t>
      </w:r>
      <w:r>
        <w:rPr>
          <w:rStyle w:val="StringTok"/>
        </w:rPr>
        <w:t xml:space="preserve">"income"</w:t>
      </w:r>
      <w:r>
        <w:rPr>
          <w:rStyle w:val="NormalTok"/>
        </w:rPr>
        <w:t xml:space="preserve">, </w:t>
      </w:r>
      <w:r>
        <w:rPr>
          <w:rStyle w:val="StringTok"/>
        </w:rPr>
        <w:t xml:space="preserve">"mean"</w:t>
      </w:r>
      <w:r>
        <w:rPr>
          <w:rStyle w:val="NormalTok"/>
        </w:rPr>
        <w:t xml:space="preserve">))</w:t>
      </w:r>
      <w:r>
        <w:br/>
      </w:r>
      <w:r>
        <w:rPr>
          <w:rStyle w:val="BuiltInTok"/>
        </w:rPr>
        <w:t xml:space="preserve">print</w:t>
      </w:r>
      <w:r>
        <w:rPr>
          <w:rStyle w:val="NormalTok"/>
        </w:rPr>
        <w:t xml:space="preserve">(summary)</w:t>
      </w:r>
      <w:r>
        <w:br/>
      </w:r>
      <w:r>
        <w:rPr>
          <w:rStyle w:val="NormalTok"/>
        </w:rPr>
        <w:t xml:space="preserve">meta </w:t>
      </w:r>
      <w:r>
        <w:rPr>
          <w:rStyle w:val="OperatorTok"/>
        </w:rPr>
        <w:t xml:space="preserve">=</w:t>
      </w:r>
      <w:r>
        <w:rPr>
          <w:rStyle w:val="NormalTok"/>
        </w:rPr>
        <w:t xml:space="preserve"> pd.DataFrame({</w:t>
      </w:r>
      <w:r>
        <w:rPr>
          <w:rStyle w:val="StringTok"/>
        </w:rPr>
        <w:t xml:space="preserve">"province"</w:t>
      </w:r>
      <w:r>
        <w:rPr>
          <w:rStyle w:val="NormalTok"/>
        </w:rPr>
        <w:t xml:space="preserve">: [</w:t>
      </w:r>
      <w:r>
        <w:rPr>
          <w:rStyle w:val="StringTok"/>
        </w:rPr>
        <w:t xml:space="preserve">"ON"</w:t>
      </w:r>
      <w:r>
        <w:rPr>
          <w:rStyle w:val="NormalTok"/>
        </w:rPr>
        <w:t xml:space="preserve">, </w:t>
      </w:r>
      <w:r>
        <w:rPr>
          <w:rStyle w:val="StringTok"/>
        </w:rPr>
        <w:t xml:space="preserve">"QC"</w:t>
      </w:r>
      <w:r>
        <w:rPr>
          <w:rStyle w:val="NormalTok"/>
        </w:rPr>
        <w:t xml:space="preserve">], </w:t>
      </w:r>
      <w:r>
        <w:rPr>
          <w:rStyle w:val="StringTok"/>
        </w:rPr>
        <w:t xml:space="preserve">"region"</w:t>
      </w:r>
      <w:r>
        <w:rPr>
          <w:rStyle w:val="NormalTok"/>
        </w:rPr>
        <w:t xml:space="preserve">: [</w:t>
      </w:r>
      <w:r>
        <w:rPr>
          <w:rStyle w:val="StringTok"/>
        </w:rPr>
        <w:t xml:space="preserve">"Central"</w:t>
      </w:r>
      <w:r>
        <w:rPr>
          <w:rStyle w:val="NormalTok"/>
        </w:rPr>
        <w:t xml:space="preserve">, </w:t>
      </w:r>
      <w:r>
        <w:rPr>
          <w:rStyle w:val="StringTok"/>
        </w:rPr>
        <w:t xml:space="preserve">"Central"</w:t>
      </w:r>
      <w:r>
        <w:rPr>
          <w:rStyle w:val="NormalTok"/>
        </w:rPr>
        <w:t xml:space="preserve">]})</w:t>
      </w:r>
      <w:r>
        <w:br/>
      </w:r>
      <w:r>
        <w:rPr>
          <w:rStyle w:val="NormalTok"/>
        </w:rPr>
        <w:t xml:space="preserve">merged </w:t>
      </w:r>
      <w:r>
        <w:rPr>
          <w:rStyle w:val="OperatorTok"/>
        </w:rPr>
        <w:t xml:space="preserve">=</w:t>
      </w:r>
      <w:r>
        <w:rPr>
          <w:rStyle w:val="NormalTok"/>
        </w:rPr>
        <w:t xml:space="preserve"> df.merge(meta, on</w:t>
      </w:r>
      <w:r>
        <w:rPr>
          <w:rStyle w:val="OperatorTok"/>
        </w:rPr>
        <w:t xml:space="preserve">=</w:t>
      </w:r>
      <w:r>
        <w:rPr>
          <w:rStyle w:val="StringTok"/>
        </w:rPr>
        <w:t xml:space="preserve">"province"</w:t>
      </w:r>
      <w:r>
        <w:rPr>
          <w:rStyle w:val="NormalTok"/>
        </w:rPr>
        <w:t xml:space="preserve">, how</w:t>
      </w:r>
      <w:r>
        <w:rPr>
          <w:rStyle w:val="OperatorTok"/>
        </w:rPr>
        <w:t xml:space="preserve">=</w:t>
      </w:r>
      <w:r>
        <w:rPr>
          <w:rStyle w:val="StringTok"/>
        </w:rPr>
        <w:t xml:space="preserve">"left"</w:t>
      </w:r>
      <w:r>
        <w:rPr>
          <w:rStyle w:val="NormalTok"/>
        </w:rPr>
        <w:t xml:space="preserve">, validate</w:t>
      </w:r>
      <w:r>
        <w:rPr>
          <w:rStyle w:val="OperatorTok"/>
        </w:rPr>
        <w:t xml:space="preserve">=</w:t>
      </w:r>
      <w:r>
        <w:rPr>
          <w:rStyle w:val="StringTok"/>
        </w:rPr>
        <w:t xml:space="preserve">"many_to_one"</w:t>
      </w:r>
      <w:r>
        <w:rPr>
          <w:rStyle w:val="NormalTok"/>
        </w:rPr>
        <w:t xml:space="preserve">, indicator</w:t>
      </w:r>
      <w:r>
        <w:rPr>
          <w:rStyle w:val="OperatorTok"/>
        </w:rPr>
        <w:t xml:space="preserve">=</w:t>
      </w:r>
      <w:r>
        <w:rPr>
          <w:rStyle w:val="VariableTok"/>
        </w:rPr>
        <w:t xml:space="preserve">True</w:t>
      </w:r>
      <w:r>
        <w:rPr>
          <w:rStyle w:val="NormalTok"/>
        </w:rPr>
        <w:t xml:space="preserve">)</w:t>
      </w:r>
    </w:p>
    <w:bookmarkEnd w:id="222"/>
    <w:bookmarkEnd w:id="223"/>
    <w:bookmarkStart w:id="240" w:name="data-visualization-with-python"/>
    <w:p>
      <w:pPr>
        <w:pStyle w:val="Heading1"/>
        <w:keepNext/>
        <w:pageBreakBefore/>
      </w:pPr>
      <w:r>
        <w:rPr>
          <w:rStyle w:val="SectionNumber"/>
          <w:rFonts w:ascii="Noto Sans" w:hAnsi="Noto Sans" w:eastAsia="Noto Sans" w:cs="Noto Sans"/>
          <w:b/>
          <w:color w:val="0A2342"/>
          <w:sz w:val="43"/>
        </w:rPr>
        <w:t xml:space="preserve">12</w:t>
      </w:r>
      <w:r>
        <w:rPr>
          <w:rFonts w:ascii="Noto Sans" w:hAnsi="Noto Sans" w:eastAsia="Noto Sans" w:cs="Noto Sans"/>
          <w:b/>
          <w:color w:val="0A2342"/>
          <w:sz w:val="43"/>
        </w:rPr>
        <w:tab/>
      </w:r>
      <w:r>
        <w:rPr>
          <w:rFonts w:ascii="Noto Sans" w:hAnsi="Noto Sans" w:eastAsia="Noto Sans" w:cs="Noto Sans"/>
          <w:b/>
          <w:color w:val="0A2342"/>
          <w:sz w:val="43"/>
        </w:rPr>
        <w:t xml:space="preserve">Data Visualization with Python</w:t>
      </w:r>
    </w:p>
    <w:p>
      <w:pPr>
        <w:pStyle w:val="FirstParagraph"/>
      </w:pPr>
      <w:r>
        <w:rPr>
          <w:i/>
          <w:iCs/>
        </w:rPr>
        <w:t xml:space="preserve">Opening question:</w:t>
      </w:r>
      <w:r>
        <w:t xml:space="preserve"> </w:t>
      </w:r>
      <w:r>
        <w:rPr>
          <w:b/>
          <w:bCs/>
        </w:rPr>
        <w:t xml:space="preserve">What should a figure reveal that a table or coefficient cannot show as clearly?</w:t>
      </w:r>
    </w:p>
    <w:bookmarkStart w:id="224" w:name="learning-objectives-11"/>
    <w:p>
      <w:pPr>
        <w:pStyle w:val="Heading2"/>
        <w:keepNext/>
      </w:pPr>
      <w:r>
        <w:rPr>
          <w:rStyle w:val="SectionNumber"/>
          <w:rFonts w:ascii="Noto Sans" w:hAnsi="Noto Sans" w:eastAsia="Noto Sans" w:cs="Noto Sans"/>
          <w:b/>
          <w:color w:val="008F87"/>
          <w:sz w:val="29"/>
        </w:rPr>
        <w:t xml:space="preserve">12.1</w:t>
      </w:r>
      <w:r>
        <w:rPr>
          <w:rFonts w:ascii="Noto Sans" w:hAnsi="Noto Sans" w:eastAsia="Noto Sans" w:cs="Noto Sans"/>
          <w:b/>
          <w:color w:val="008F87"/>
          <w:sz w:val="29"/>
        </w:rPr>
        <w:tab/>
      </w:r>
      <w:r>
        <w:rPr>
          <w:rFonts w:ascii="Noto Sans" w:hAnsi="Noto Sans" w:eastAsia="Noto Sans" w:cs="Noto Sans"/>
          <w:b/>
          <w:color w:val="008F87"/>
          <w:sz w:val="29"/>
        </w:rPr>
        <w:t xml:space="preserve">Learning objectives</w:t>
      </w:r>
    </w:p>
    <w:p>
      <w:pPr>
        <w:pStyle w:val="Compact"/>
        <w:numPr>
          <w:ilvl w:val="0"/>
          <w:numId w:val="1047"/>
        </w:numPr>
      </w:pPr>
      <w:r>
        <w:t xml:space="preserve">Construct line, scatter, distribution, and categorical charts.</w:t>
      </w:r>
    </w:p>
    <w:p>
      <w:pPr>
        <w:pStyle w:val="Compact"/>
        <w:numPr>
          <w:ilvl w:val="0"/>
          <w:numId w:val="1047"/>
        </w:numPr>
      </w:pPr>
      <w:r>
        <w:t xml:space="preserve">Label units, sources, and transformations.</w:t>
      </w:r>
    </w:p>
    <w:p>
      <w:pPr>
        <w:pStyle w:val="Compact"/>
        <w:numPr>
          <w:ilvl w:val="0"/>
          <w:numId w:val="1047"/>
        </w:numPr>
      </w:pPr>
      <w:r>
        <w:t xml:space="preserve">Design for accessibility and grayscale printing.</w:t>
      </w:r>
    </w:p>
    <w:p>
      <w:pPr>
        <w:pStyle w:val="Compact"/>
        <w:numPr>
          <w:ilvl w:val="0"/>
          <w:numId w:val="1047"/>
        </w:numPr>
      </w:pPr>
      <w:r>
        <w:t xml:space="preserve">Recognize misleading scales and overplotting.</w:t>
      </w:r>
    </w:p>
    <w:p>
      <w:pPr>
        <w:pStyle w:val="FirstParagraph"/>
      </w:pPr>
      <w:r>
        <w:rPr>
          <w:b/>
          <w:bCs/>
        </w:rPr>
        <w:t xml:space="preserve">Prerequisites:</w:t>
      </w:r>
      <w:r>
        <w:t xml:space="preserve"> </w:t>
      </w:r>
      <w:r>
        <w:t xml:space="preserve">Chapters 8 to 11.</w:t>
      </w:r>
    </w:p>
    <w:p>
      <w:pPr>
        <w:pStyle w:val="BodyText"/>
      </w:pPr>
      <w:r>
        <w:rPr>
          <w:b/>
          <w:bCs/>
        </w:rPr>
        <w:t xml:space="preserve">Key terms:</w:t>
      </w:r>
      <w:r>
        <w:t xml:space="preserve"> </w:t>
      </w:r>
      <w:r>
        <w:t xml:space="preserve">figure, axes, encoding, scale, annotation, accessibility.</w:t>
      </w:r>
    </w:p>
    <w:bookmarkEnd w:id="224"/>
    <w:bookmarkStart w:id="225" w:name="X6f36c58088c561cdfc9a165aa55b8eb66c0a134"/>
    <w:p>
      <w:pPr>
        <w:pStyle w:val="Heading2"/>
        <w:keepNext/>
      </w:pPr>
      <w:r>
        <w:rPr>
          <w:rStyle w:val="SectionNumber"/>
          <w:rFonts w:ascii="Noto Sans" w:hAnsi="Noto Sans" w:eastAsia="Noto Sans" w:cs="Noto Sans"/>
          <w:b/>
          <w:color w:val="008F87"/>
          <w:sz w:val="29"/>
        </w:rPr>
        <w:t xml:space="preserve">12.2</w:t>
      </w:r>
      <w:r>
        <w:rPr>
          <w:rFonts w:ascii="Noto Sans" w:hAnsi="Noto Sans" w:eastAsia="Noto Sans" w:cs="Noto Sans"/>
          <w:b/>
          <w:color w:val="008F87"/>
          <w:sz w:val="29"/>
        </w:rPr>
        <w:tab/>
      </w:r>
      <w:r>
        <w:rPr>
          <w:rFonts w:ascii="Noto Sans" w:hAnsi="Noto Sans" w:eastAsia="Noto Sans" w:cs="Noto Sans"/>
          <w:b/>
          <w:color w:val="008F87"/>
          <w:sz w:val="29"/>
        </w:rPr>
        <w:t xml:space="preserve">A chart is an argument with visual grammar</w:t>
      </w:r>
    </w:p>
    <w:p>
      <w:pPr>
        <w:pStyle w:val="FirstParagraph"/>
      </w:pPr>
      <w:r>
        <w:t xml:space="preserve">A figure maps variables to position, length, shape, and sometimes colour. Position along a common scale is usually easier to compare than area or angle. Time belongs on an ordered horizontal axis; distributions need enough bins or a density representation; uncertainty should be shown when it affects interpretation. Matplotlib exposes the figure and axes objects that control these choices</w:t>
      </w:r>
      <w:r>
        <w:t xml:space="preserve"> </w:t>
      </w:r>
      <w:r>
        <w:t xml:space="preserve">(Matplotlib Development Team 2026)</w:t>
      </w:r>
      <w:r>
        <w:t xml:space="preserve">.</w:t>
      </w:r>
    </w:p>
    <w:bookmarkEnd w:id="225"/>
    <w:bookmarkStart w:id="226" w:name="labels-protect-meaning"/>
    <w:p>
      <w:pPr>
        <w:pStyle w:val="Heading2"/>
        <w:keepNext/>
      </w:pPr>
      <w:r>
        <w:rPr>
          <w:rStyle w:val="SectionNumber"/>
          <w:rFonts w:ascii="Noto Sans" w:hAnsi="Noto Sans" w:eastAsia="Noto Sans" w:cs="Noto Sans"/>
          <w:b/>
          <w:color w:val="008F87"/>
          <w:sz w:val="29"/>
        </w:rPr>
        <w:t xml:space="preserve">12.3</w:t>
      </w:r>
      <w:r>
        <w:rPr>
          <w:rFonts w:ascii="Noto Sans" w:hAnsi="Noto Sans" w:eastAsia="Noto Sans" w:cs="Noto Sans"/>
          <w:b/>
          <w:color w:val="008F87"/>
          <w:sz w:val="29"/>
        </w:rPr>
        <w:tab/>
      </w:r>
      <w:r>
        <w:rPr>
          <w:rFonts w:ascii="Noto Sans" w:hAnsi="Noto Sans" w:eastAsia="Noto Sans" w:cs="Noto Sans"/>
          <w:b/>
          <w:color w:val="008F87"/>
          <w:sz w:val="29"/>
        </w:rPr>
        <w:t xml:space="preserve">Labels protect meaning</w:t>
      </w:r>
    </w:p>
    <w:p>
      <w:pPr>
        <w:pStyle w:val="FirstParagraph"/>
      </w:pPr>
      <w:r>
        <w:t xml:space="preserve">A title should state the subject, not merely repeat a variable name. Axes need units, transformations, and frequency. A source note should identify the provider and whether values were calculated by the author. Legends are useful when direct labels are impractical. An annotation can point to a recession, policy change, or data break, but decoration should not compete with the evidence.</w:t>
      </w:r>
    </w:p>
    <w:bookmarkEnd w:id="226"/>
    <w:bookmarkStart w:id="227" w:name="accessibility-is-part-of-accuracy"/>
    <w:p>
      <w:pPr>
        <w:pStyle w:val="Heading2"/>
        <w:keepNext/>
      </w:pPr>
      <w:r>
        <w:rPr>
          <w:rStyle w:val="SectionNumber"/>
          <w:rFonts w:ascii="Noto Sans" w:hAnsi="Noto Sans" w:eastAsia="Noto Sans" w:cs="Noto Sans"/>
          <w:b/>
          <w:color w:val="008F87"/>
          <w:sz w:val="29"/>
        </w:rPr>
        <w:t xml:space="preserve">12.4</w:t>
      </w:r>
      <w:r>
        <w:rPr>
          <w:rFonts w:ascii="Noto Sans" w:hAnsi="Noto Sans" w:eastAsia="Noto Sans" w:cs="Noto Sans"/>
          <w:b/>
          <w:color w:val="008F87"/>
          <w:sz w:val="29"/>
        </w:rPr>
        <w:tab/>
      </w:r>
      <w:r>
        <w:rPr>
          <w:rFonts w:ascii="Noto Sans" w:hAnsi="Noto Sans" w:eastAsia="Noto Sans" w:cs="Noto Sans"/>
          <w:b/>
          <w:color w:val="008F87"/>
          <w:sz w:val="29"/>
        </w:rPr>
        <w:t xml:space="preserve">Accessibility is part of accuracy</w:t>
      </w:r>
    </w:p>
    <w:p>
      <w:pPr>
        <w:pStyle w:val="FirstParagraph"/>
      </w:pPr>
      <w:r>
        <w:t xml:space="preserve">Colour should not be the only channel distinguishing categories. Contrasting line styles, markers, labels, and sufficient luminance differences help readers with colour-vision differences and support grayscale printing. Truncated axes can exaggerate small changes, while dual axes can imply relationships that depend on arbitrary scaling. The default chart should be honest before it is beautiful.</w:t>
      </w:r>
    </w:p>
    <w:bookmarkEnd w:id="227"/>
    <w:bookmarkStart w:id="230" w:name="python-demonstrations-11"/>
    <w:p>
      <w:pPr>
        <w:pStyle w:val="Heading2"/>
        <w:keepNext/>
      </w:pPr>
      <w:r>
        <w:rPr>
          <w:rStyle w:val="SectionNumber"/>
          <w:rFonts w:ascii="Noto Sans" w:hAnsi="Noto Sans" w:eastAsia="Noto Sans" w:cs="Noto Sans"/>
          <w:b/>
          <w:color w:val="008F87"/>
          <w:sz w:val="29"/>
        </w:rPr>
        <w:t xml:space="preserve">12.5</w:t>
      </w:r>
      <w:r>
        <w:rPr>
          <w:rFonts w:ascii="Noto Sans" w:hAnsi="Noto Sans" w:eastAsia="Noto Sans" w:cs="Noto Sans"/>
          <w:b/>
          <w:color w:val="008F87"/>
          <w:sz w:val="29"/>
        </w:rPr>
        <w:tab/>
      </w:r>
      <w:r>
        <w:rPr>
          <w:rFonts w:ascii="Noto Sans" w:hAnsi="Noto Sans" w:eastAsia="Noto Sans" w:cs="Noto Sans"/>
          <w:b/>
          <w:color w:val="008F87"/>
          <w:sz w:val="29"/>
        </w:rPr>
        <w:t xml:space="preserve">Python demonstrations</w:t>
      </w:r>
    </w:p>
    <w:bookmarkStart w:id="228" w:name="X38765878c719d617c3e6072e15bf039da6136fe"/>
    <w:p>
      <w:pPr>
        <w:pStyle w:val="Heading3"/>
        <w:keepNext/>
      </w:pPr>
      <w:r>
        <w:rPr>
          <w:rStyle w:val="SectionNumber"/>
          <w:rFonts w:ascii="Noto Sans" w:hAnsi="Noto Sans" w:eastAsia="Noto Sans" w:cs="Noto Sans"/>
          <w:b/>
          <w:color w:val="0A2342"/>
          <w:sz w:val="23"/>
        </w:rPr>
        <w:t xml:space="preserve">12.5.1</w:t>
      </w:r>
      <w:r>
        <w:rPr>
          <w:rFonts w:ascii="Noto Sans" w:hAnsi="Noto Sans" w:eastAsia="Noto Sans" w:cs="Noto Sans"/>
          <w:b/>
          <w:color w:val="0A2342"/>
          <w:sz w:val="23"/>
        </w:rPr>
        <w:tab/>
      </w:r>
      <w:r>
        <w:rPr>
          <w:rFonts w:ascii="Noto Sans" w:hAnsi="Noto Sans" w:eastAsia="Noto Sans" w:cs="Noto Sans"/>
          <w:b/>
          <w:color w:val="0A2342"/>
          <w:sz w:val="23"/>
        </w:rPr>
        <w:t xml:space="preserve">Demonstration 12.1: A labelled time-series chart</w:t>
      </w:r>
    </w:p>
    <w:p>
      <w:pPr>
        <w:pStyle w:val="SourceCode"/>
        <w:shd w:fill="F6F8FA" w:val="clear"/>
      </w:pPr>
      <w:r>
        <w:rPr>
          <w:rStyle w:val="ImportTok"/>
        </w:rPr>
        <w:t xml:space="preserve">import</w:t>
      </w:r>
      <w:r>
        <w:rPr>
          <w:rStyle w:val="NormalTok"/>
        </w:rPr>
        <w:t xml:space="preserve"> matplotlib.pyplot </w:t>
      </w:r>
      <w:r>
        <w:rPr>
          <w:rStyle w:val="ImportTok"/>
        </w:rPr>
        <w:t xml:space="preserve">as</w:t>
      </w:r>
      <w:r>
        <w:rPr>
          <w:rStyle w:val="NormalTok"/>
        </w:rPr>
        <w:t xml:space="preserve"> plt</w:t>
      </w:r>
      <w:r>
        <w:br/>
      </w:r>
      <w:r>
        <w:rPr>
          <w:rStyle w:val="ImportTok"/>
        </w:rPr>
        <w:t xml:space="preserve">import</w:t>
      </w:r>
      <w:r>
        <w:rPr>
          <w:rStyle w:val="NormalTok"/>
        </w:rPr>
        <w:t xml:space="preserve"> pandas </w:t>
      </w:r>
      <w:r>
        <w:rPr>
          <w:rStyle w:val="ImportTok"/>
        </w:rPr>
        <w:t xml:space="preserve">as</w:t>
      </w:r>
      <w:r>
        <w:rPr>
          <w:rStyle w:val="NormalTok"/>
        </w:rPr>
        <w:t xml:space="preserve"> pd</w:t>
      </w:r>
      <w:r>
        <w:br/>
      </w:r>
      <w:r>
        <w:br/>
      </w:r>
      <w:r>
        <w:rPr>
          <w:rStyle w:val="NormalTok"/>
        </w:rPr>
        <w:t xml:space="preserve">series </w:t>
      </w:r>
      <w:r>
        <w:rPr>
          <w:rStyle w:val="OperatorTok"/>
        </w:rPr>
        <w:t xml:space="preserve">=</w:t>
      </w:r>
      <w:r>
        <w:rPr>
          <w:rStyle w:val="NormalTok"/>
        </w:rPr>
        <w:t xml:space="preserve"> pd.Series([</w:t>
      </w:r>
      <w:r>
        <w:rPr>
          <w:rStyle w:val="FloatTok"/>
        </w:rPr>
        <w:t xml:space="preserve">1.2</w:t>
      </w:r>
      <w:r>
        <w:rPr>
          <w:rStyle w:val="NormalTok"/>
        </w:rPr>
        <w:t xml:space="preserve">, </w:t>
      </w:r>
      <w:r>
        <w:rPr>
          <w:rStyle w:val="FloatTok"/>
        </w:rPr>
        <w:t xml:space="preserve">1.4</w:t>
      </w:r>
      <w:r>
        <w:rPr>
          <w:rStyle w:val="NormalTok"/>
        </w:rPr>
        <w:t xml:space="preserve">, </w:t>
      </w:r>
      <w:r>
        <w:rPr>
          <w:rStyle w:val="FloatTok"/>
        </w:rPr>
        <w:t xml:space="preserve">1.3</w:t>
      </w:r>
      <w:r>
        <w:rPr>
          <w:rStyle w:val="NormalTok"/>
        </w:rPr>
        <w:t xml:space="preserve">, </w:t>
      </w:r>
      <w:r>
        <w:rPr>
          <w:rStyle w:val="FloatTok"/>
        </w:rPr>
        <w:t xml:space="preserve">1.6</w:t>
      </w:r>
      <w:r>
        <w:rPr>
          <w:rStyle w:val="NormalTok"/>
        </w:rPr>
        <w:t xml:space="preserve">], index</w:t>
      </w:r>
      <w:r>
        <w:rPr>
          <w:rStyle w:val="OperatorTok"/>
        </w:rPr>
        <w:t xml:space="preserve">=</w:t>
      </w:r>
      <w:r>
        <w:rPr>
          <w:rStyle w:val="NormalTok"/>
        </w:rPr>
        <w:t xml:space="preserve">pd.date_range(</w:t>
      </w:r>
      <w:r>
        <w:rPr>
          <w:rStyle w:val="StringTok"/>
        </w:rPr>
        <w:t xml:space="preserve">"2026-01-01"</w:t>
      </w:r>
      <w:r>
        <w:rPr>
          <w:rStyle w:val="NormalTok"/>
        </w:rPr>
        <w:t xml:space="preserve">, periods</w:t>
      </w:r>
      <w:r>
        <w:rPr>
          <w:rStyle w:val="OperatorTok"/>
        </w:rPr>
        <w:t xml:space="preserve">=</w:t>
      </w:r>
      <w:r>
        <w:rPr>
          <w:rStyle w:val="DecValTok"/>
        </w:rPr>
        <w:t xml:space="preserve">4</w:t>
      </w:r>
      <w:r>
        <w:rPr>
          <w:rStyle w:val="NormalTok"/>
        </w:rPr>
        <w:t xml:space="preserve">, freq</w:t>
      </w:r>
      <w:r>
        <w:rPr>
          <w:rStyle w:val="OperatorTok"/>
        </w:rPr>
        <w:t xml:space="preserve">=</w:t>
      </w:r>
      <w:r>
        <w:rPr>
          <w:rStyle w:val="StringTok"/>
        </w:rPr>
        <w:t xml:space="preserve">"MS"</w:t>
      </w:r>
      <w:r>
        <w:rPr>
          <w:rStyle w:val="NormalTok"/>
        </w:rPr>
        <w:t xml:space="preserve">))</w:t>
      </w:r>
      <w:r>
        <w:br/>
      </w:r>
      <w:r>
        <w:rPr>
          <w:rStyle w:val="NormalTok"/>
        </w:rPr>
        <w:t xml:space="preserve">fig, ax </w:t>
      </w:r>
      <w:r>
        <w:rPr>
          <w:rStyle w:val="OperatorTok"/>
        </w:rPr>
        <w:t xml:space="preserve">=</w:t>
      </w:r>
      <w:r>
        <w:rPr>
          <w:rStyle w:val="NormalTok"/>
        </w:rPr>
        <w:t xml:space="preserve"> plt.subplots()</w:t>
      </w:r>
      <w:r>
        <w:br/>
      </w:r>
      <w:r>
        <w:rPr>
          <w:rStyle w:val="NormalTok"/>
        </w:rPr>
        <w:t xml:space="preserve">ax.plot(series.index, series.values, marker</w:t>
      </w:r>
      <w:r>
        <w:rPr>
          <w:rStyle w:val="OperatorTok"/>
        </w:rPr>
        <w:t xml:space="preserve">=</w:t>
      </w:r>
      <w:r>
        <w:rPr>
          <w:rStyle w:val="StringTok"/>
        </w:rPr>
        <w:t xml:space="preserve">"o"</w:t>
      </w:r>
      <w:r>
        <w:rPr>
          <w:rStyle w:val="NormalTok"/>
        </w:rPr>
        <w:t xml:space="preserve">)</w:t>
      </w:r>
      <w:r>
        <w:br/>
      </w:r>
      <w:r>
        <w:rPr>
          <w:rStyle w:val="NormalTok"/>
        </w:rPr>
        <w:t xml:space="preserve">ax.</w:t>
      </w:r>
      <w:r>
        <w:rPr>
          <w:rStyle w:val="BuiltInTok"/>
        </w:rPr>
        <w:t xml:space="preserve">set</w:t>
      </w:r>
      <w:r>
        <w:rPr>
          <w:rStyle w:val="NormalTok"/>
        </w:rPr>
        <w:t xml:space="preserve">(title</w:t>
      </w:r>
      <w:r>
        <w:rPr>
          <w:rStyle w:val="OperatorTok"/>
        </w:rPr>
        <w:t xml:space="preserve">=</w:t>
      </w:r>
      <w:r>
        <w:rPr>
          <w:rStyle w:val="StringTok"/>
        </w:rPr>
        <w:t xml:space="preserve">"Illustrative Monthly Index"</w:t>
      </w:r>
      <w:r>
        <w:rPr>
          <w:rStyle w:val="NormalTok"/>
        </w:rPr>
        <w:t xml:space="preserve">, xlabel</w:t>
      </w:r>
      <w:r>
        <w:rPr>
          <w:rStyle w:val="OperatorTok"/>
        </w:rPr>
        <w:t xml:space="preserve">=</w:t>
      </w:r>
      <w:r>
        <w:rPr>
          <w:rStyle w:val="StringTok"/>
        </w:rPr>
        <w:t xml:space="preserve">"Month"</w:t>
      </w:r>
      <w:r>
        <w:rPr>
          <w:rStyle w:val="NormalTok"/>
        </w:rPr>
        <w:t xml:space="preserve">, ylabel</w:t>
      </w:r>
      <w:r>
        <w:rPr>
          <w:rStyle w:val="OperatorTok"/>
        </w:rPr>
        <w:t xml:space="preserve">=</w:t>
      </w:r>
      <w:r>
        <w:rPr>
          <w:rStyle w:val="StringTok"/>
        </w:rPr>
        <w:t xml:space="preserve">"Index points"</w:t>
      </w:r>
      <w:r>
        <w:rPr>
          <w:rStyle w:val="NormalTok"/>
        </w:rPr>
        <w:t xml:space="preserve">)</w:t>
      </w:r>
      <w:r>
        <w:br/>
      </w:r>
      <w:r>
        <w:rPr>
          <w:rStyle w:val="NormalTok"/>
        </w:rPr>
        <w:t xml:space="preserve">fig.tight_layout()</w:t>
      </w:r>
      <w:r>
        <w:br/>
      </w:r>
      <w:r>
        <w:rPr>
          <w:rStyle w:val="NormalTok"/>
        </w:rPr>
        <w:t xml:space="preserve">plt.close(fig)</w:t>
      </w:r>
      <w:r>
        <w:br/>
      </w:r>
      <w:r>
        <w:rPr>
          <w:rStyle w:val="BuiltInTok"/>
        </w:rPr>
        <w:t xml:space="preserve">print</w:t>
      </w:r>
      <w:r>
        <w:rPr>
          <w:rStyle w:val="NormalTok"/>
        </w:rPr>
        <w:t xml:space="preserve">(</w:t>
      </w:r>
      <w:r>
        <w:rPr>
          <w:rStyle w:val="BuiltInTok"/>
        </w:rPr>
        <w:t xml:space="preserve">len</w:t>
      </w:r>
      <w:r>
        <w:rPr>
          <w:rStyle w:val="NormalTok"/>
        </w:rPr>
        <w:t xml:space="preserve">(series))</w:t>
      </w:r>
    </w:p>
    <w:p>
      <w:pPr>
        <w:pStyle w:val="FirstParagraph"/>
      </w:pPr>
      <w:r>
        <w:rPr>
          <w:b/>
          <w:bCs/>
        </w:rPr>
        <w:t xml:space="preserve">Verified output</w:t>
      </w:r>
    </w:p>
    <w:p>
      <w:pPr>
        <w:pStyle w:val="SourceCode"/>
        <w:keepLines/>
        <w:shd w:fill="F6F8FA" w:val="clear"/>
      </w:pPr>
      <w:r>
        <w:rPr>
          <w:rStyle w:val="VerbatimChar"/>
        </w:rPr>
        <w:t xml:space="preserve">4</w:t>
      </w:r>
    </w:p>
    <w:p>
      <w:pPr>
        <w:pStyle w:val="FirstParagraph"/>
      </w:pPr>
      <w:r>
        <w:rPr>
          <w:b/>
          <w:bCs/>
        </w:rPr>
        <w:t xml:space="preserve">Interpretation.</w:t>
      </w:r>
      <w:r>
        <w:t xml:space="preserve"> </w:t>
      </w:r>
      <w:r>
        <w:t xml:space="preserve">The code creates a reusable figure object and labels both the time dimension and the unit.</w:t>
      </w:r>
    </w:p>
    <w:bookmarkEnd w:id="228"/>
    <w:bookmarkStart w:id="229" w:name="demonstration-12.2-a-distribution-check"/>
    <w:p>
      <w:pPr>
        <w:pStyle w:val="Heading3"/>
        <w:keepNext/>
      </w:pPr>
      <w:r>
        <w:rPr>
          <w:rStyle w:val="SectionNumber"/>
          <w:rFonts w:ascii="Noto Sans" w:hAnsi="Noto Sans" w:eastAsia="Noto Sans" w:cs="Noto Sans"/>
          <w:b/>
          <w:color w:val="0A2342"/>
          <w:sz w:val="23"/>
        </w:rPr>
        <w:t xml:space="preserve">12.5.2</w:t>
      </w:r>
      <w:r>
        <w:rPr>
          <w:rFonts w:ascii="Noto Sans" w:hAnsi="Noto Sans" w:eastAsia="Noto Sans" w:cs="Noto Sans"/>
          <w:b/>
          <w:color w:val="0A2342"/>
          <w:sz w:val="23"/>
        </w:rPr>
        <w:tab/>
      </w:r>
      <w:r>
        <w:rPr>
          <w:rFonts w:ascii="Noto Sans" w:hAnsi="Noto Sans" w:eastAsia="Noto Sans" w:cs="Noto Sans"/>
          <w:b/>
          <w:color w:val="0A2342"/>
          <w:sz w:val="23"/>
        </w:rPr>
        <w:t xml:space="preserve">Demonstration 12.2: A distribution check</w:t>
      </w:r>
    </w:p>
    <w:p>
      <w:pPr>
        <w:pStyle w:val="SourceCode"/>
        <w:shd w:fill="F6F8FA" w:val="clear"/>
      </w:pPr>
      <w:r>
        <w:rPr>
          <w:rStyle w:val="ImportTok"/>
        </w:rPr>
        <w:t xml:space="preserve">import</w:t>
      </w:r>
      <w:r>
        <w:rPr>
          <w:rStyle w:val="NormalTok"/>
        </w:rPr>
        <w:t xml:space="preserve"> numpy </w:t>
      </w:r>
      <w:r>
        <w:rPr>
          <w:rStyle w:val="ImportTok"/>
        </w:rPr>
        <w:t xml:space="preserve">as</w:t>
      </w:r>
      <w:r>
        <w:rPr>
          <w:rStyle w:val="NormalTok"/>
        </w:rPr>
        <w:t xml:space="preserve"> np</w:t>
      </w:r>
      <w:r>
        <w:br/>
      </w:r>
      <w:r>
        <w:rPr>
          <w:rStyle w:val="ImportTok"/>
        </w:rPr>
        <w:t xml:space="preserve">import</w:t>
      </w:r>
      <w:r>
        <w:rPr>
          <w:rStyle w:val="NormalTok"/>
        </w:rPr>
        <w:t xml:space="preserve"> matplotlib.pyplot </w:t>
      </w:r>
      <w:r>
        <w:rPr>
          <w:rStyle w:val="ImportTok"/>
        </w:rPr>
        <w:t xml:space="preserve">as</w:t>
      </w:r>
      <w:r>
        <w:rPr>
          <w:rStyle w:val="NormalTok"/>
        </w:rPr>
        <w:t xml:space="preserve"> plt</w:t>
      </w:r>
      <w:r>
        <w:br/>
      </w:r>
      <w:r>
        <w:br/>
      </w:r>
      <w:r>
        <w:rPr>
          <w:rStyle w:val="NormalTok"/>
        </w:rPr>
        <w:t xml:space="preserve">rng </w:t>
      </w:r>
      <w:r>
        <w:rPr>
          <w:rStyle w:val="OperatorTok"/>
        </w:rPr>
        <w:t xml:space="preserve">=</w:t>
      </w:r>
      <w:r>
        <w:rPr>
          <w:rStyle w:val="NormalTok"/>
        </w:rPr>
        <w:t xml:space="preserve"> np.random.default_rng(</w:t>
      </w:r>
      <w:r>
        <w:rPr>
          <w:rStyle w:val="DecValTok"/>
        </w:rPr>
        <w:t xml:space="preserve">12</w:t>
      </w:r>
      <w:r>
        <w:rPr>
          <w:rStyle w:val="NormalTok"/>
        </w:rPr>
        <w:t xml:space="preserve">)</w:t>
      </w:r>
      <w:r>
        <w:br/>
      </w:r>
      <w:r>
        <w:rPr>
          <w:rStyle w:val="NormalTok"/>
        </w:rPr>
        <w:t xml:space="preserve">values </w:t>
      </w:r>
      <w:r>
        <w:rPr>
          <w:rStyle w:val="OperatorTok"/>
        </w:rPr>
        <w:t xml:space="preserve">=</w:t>
      </w:r>
      <w:r>
        <w:rPr>
          <w:rStyle w:val="NormalTok"/>
        </w:rPr>
        <w:t xml:space="preserve"> rng.standard_t(df</w:t>
      </w:r>
      <w:r>
        <w:rPr>
          <w:rStyle w:val="OperatorTok"/>
        </w:rPr>
        <w:t xml:space="preserve">=</w:t>
      </w:r>
      <w:r>
        <w:rPr>
          <w:rStyle w:val="DecValTok"/>
        </w:rPr>
        <w:t xml:space="preserve">5</w:t>
      </w:r>
      <w:r>
        <w:rPr>
          <w:rStyle w:val="NormalTok"/>
        </w:rPr>
        <w:t xml:space="preserve">, size</w:t>
      </w:r>
      <w:r>
        <w:rPr>
          <w:rStyle w:val="OperatorTok"/>
        </w:rPr>
        <w:t xml:space="preserve">=</w:t>
      </w:r>
      <w:r>
        <w:rPr>
          <w:rStyle w:val="DecValTok"/>
        </w:rPr>
        <w:t xml:space="preserve">1_000</w:t>
      </w:r>
      <w:r>
        <w:rPr>
          <w:rStyle w:val="NormalTok"/>
        </w:rPr>
        <w:t xml:space="preserve">)</w:t>
      </w:r>
      <w:r>
        <w:br/>
      </w:r>
      <w:r>
        <w:rPr>
          <w:rStyle w:val="NormalTok"/>
        </w:rPr>
        <w:t xml:space="preserve">fig, ax </w:t>
      </w:r>
      <w:r>
        <w:rPr>
          <w:rStyle w:val="OperatorTok"/>
        </w:rPr>
        <w:t xml:space="preserve">=</w:t>
      </w:r>
      <w:r>
        <w:rPr>
          <w:rStyle w:val="NormalTok"/>
        </w:rPr>
        <w:t xml:space="preserve"> plt.subplots()</w:t>
      </w:r>
      <w:r>
        <w:br/>
      </w:r>
      <w:r>
        <w:rPr>
          <w:rStyle w:val="NormalTok"/>
        </w:rPr>
        <w:t xml:space="preserve">ax.hist(values, bins</w:t>
      </w:r>
      <w:r>
        <w:rPr>
          <w:rStyle w:val="OperatorTok"/>
        </w:rPr>
        <w:t xml:space="preserve">=</w:t>
      </w:r>
      <w:r>
        <w:rPr>
          <w:rStyle w:val="DecValTok"/>
        </w:rPr>
        <w:t xml:space="preserve">35</w:t>
      </w:r>
      <w:r>
        <w:rPr>
          <w:rStyle w:val="NormalTok"/>
        </w:rPr>
        <w:t xml:space="preserve">, density</w:t>
      </w:r>
      <w:r>
        <w:rPr>
          <w:rStyle w:val="OperatorTok"/>
        </w:rPr>
        <w:t xml:space="preserve">=</w:t>
      </w:r>
      <w:r>
        <w:rPr>
          <w:rStyle w:val="VariableTok"/>
        </w:rPr>
        <w:t xml:space="preserve">True</w:t>
      </w:r>
      <w:r>
        <w:rPr>
          <w:rStyle w:val="NormalTok"/>
        </w:rPr>
        <w:t xml:space="preserve">)</w:t>
      </w:r>
      <w:r>
        <w:br/>
      </w:r>
      <w:r>
        <w:rPr>
          <w:rStyle w:val="NormalTok"/>
        </w:rPr>
        <w:t xml:space="preserve">ax.</w:t>
      </w:r>
      <w:r>
        <w:rPr>
          <w:rStyle w:val="BuiltInTok"/>
        </w:rPr>
        <w:t xml:space="preserve">set</w:t>
      </w:r>
      <w:r>
        <w:rPr>
          <w:rStyle w:val="NormalTok"/>
        </w:rPr>
        <w:t xml:space="preserve">(title</w:t>
      </w:r>
      <w:r>
        <w:rPr>
          <w:rStyle w:val="OperatorTok"/>
        </w:rPr>
        <w:t xml:space="preserve">=</w:t>
      </w:r>
      <w:r>
        <w:rPr>
          <w:rStyle w:val="StringTok"/>
        </w:rPr>
        <w:t xml:space="preserve">"Heavy-tailed simulated observations"</w:t>
      </w:r>
      <w:r>
        <w:rPr>
          <w:rStyle w:val="NormalTok"/>
        </w:rPr>
        <w:t xml:space="preserve">, xlabel</w:t>
      </w:r>
      <w:r>
        <w:rPr>
          <w:rStyle w:val="OperatorTok"/>
        </w:rPr>
        <w:t xml:space="preserve">=</w:t>
      </w:r>
      <w:r>
        <w:rPr>
          <w:rStyle w:val="StringTok"/>
        </w:rPr>
        <w:t xml:space="preserve">"Value"</w:t>
      </w:r>
      <w:r>
        <w:rPr>
          <w:rStyle w:val="NormalTok"/>
        </w:rPr>
        <w:t xml:space="preserve">, ylabel</w:t>
      </w:r>
      <w:r>
        <w:rPr>
          <w:rStyle w:val="OperatorTok"/>
        </w:rPr>
        <w:t xml:space="preserve">=</w:t>
      </w:r>
      <w:r>
        <w:rPr>
          <w:rStyle w:val="StringTok"/>
        </w:rPr>
        <w:t xml:space="preserve">"Density"</w:t>
      </w:r>
      <w:r>
        <w:rPr>
          <w:rStyle w:val="NormalTok"/>
        </w:rPr>
        <w:t xml:space="preserve">)</w:t>
      </w:r>
      <w:r>
        <w:br/>
      </w:r>
      <w:r>
        <w:rPr>
          <w:rStyle w:val="NormalTok"/>
        </w:rPr>
        <w:t xml:space="preserve">plt.close(fig)</w:t>
      </w:r>
      <w:r>
        <w:br/>
      </w:r>
      <w:r>
        <w:rPr>
          <w:rStyle w:val="BuiltInTok"/>
        </w:rPr>
        <w:t xml:space="preserve">print</w:t>
      </w:r>
      <w:r>
        <w:rPr>
          <w:rStyle w:val="NormalTok"/>
        </w:rPr>
        <w:t xml:space="preserve">(</w:t>
      </w:r>
      <w:r>
        <w:rPr>
          <w:rStyle w:val="BuiltInTok"/>
        </w:rPr>
        <w:t xml:space="preserve">round</w:t>
      </w:r>
      <w:r>
        <w:rPr>
          <w:rStyle w:val="NormalTok"/>
        </w:rPr>
        <w:t xml:space="preserve">(values.std(), </w:t>
      </w:r>
      <w:r>
        <w:rPr>
          <w:rStyle w:val="DecValTok"/>
        </w:rPr>
        <w:t xml:space="preserve">3</w:t>
      </w:r>
      <w:r>
        <w:rPr>
          <w:rStyle w:val="NormalTok"/>
        </w:rPr>
        <w:t xml:space="preserve">))</w:t>
      </w:r>
    </w:p>
    <w:p>
      <w:pPr>
        <w:pStyle w:val="FirstParagraph"/>
      </w:pPr>
      <w:r>
        <w:rPr>
          <w:b/>
          <w:bCs/>
        </w:rPr>
        <w:t xml:space="preserve">Verified output</w:t>
      </w:r>
    </w:p>
    <w:p>
      <w:pPr>
        <w:pStyle w:val="SourceCode"/>
        <w:keepLines/>
        <w:shd w:fill="F6F8FA" w:val="clear"/>
      </w:pPr>
      <w:r>
        <w:rPr>
          <w:rStyle w:val="VerbatimChar"/>
        </w:rPr>
        <w:t xml:space="preserve">1.263</w:t>
      </w:r>
    </w:p>
    <w:p>
      <w:pPr>
        <w:pStyle w:val="FirstParagraph"/>
      </w:pPr>
      <w:r>
        <w:rPr>
          <w:b/>
          <w:bCs/>
        </w:rPr>
        <w:t xml:space="preserve">Interpretation.</w:t>
      </w:r>
      <w:r>
        <w:t xml:space="preserve"> </w:t>
      </w:r>
      <w:r>
        <w:t xml:space="preserve">The histogram reveals tails and concentration that a standard deviation alone cannot convey.</w:t>
      </w:r>
    </w:p>
    <w:bookmarkEnd w:id="229"/>
    <w:bookmarkEnd w:id="230"/>
    <w:bookmarkStart w:id="234" w:name="visual-evidence-11"/>
    <w:p>
      <w:pPr>
        <w:pStyle w:val="Heading2"/>
        <w:keepNext/>
      </w:pPr>
      <w:r>
        <w:rPr>
          <w:rStyle w:val="SectionNumber"/>
          <w:rFonts w:ascii="Noto Sans" w:hAnsi="Noto Sans" w:eastAsia="Noto Sans" w:cs="Noto Sans"/>
          <w:b/>
          <w:color w:val="008F87"/>
          <w:sz w:val="29"/>
        </w:rPr>
        <w:t xml:space="preserve">12.6</w:t>
      </w:r>
      <w:r>
        <w:rPr>
          <w:rFonts w:ascii="Noto Sans" w:hAnsi="Noto Sans" w:eastAsia="Noto Sans" w:cs="Noto Sans"/>
          <w:b/>
          <w:color w:val="008F87"/>
          <w:sz w:val="29"/>
        </w:rPr>
        <w:tab/>
      </w:r>
      <w:r>
        <w:rPr>
          <w:rFonts w:ascii="Noto Sans" w:hAnsi="Noto Sans" w:eastAsia="Noto Sans" w:cs="Noto Sans"/>
          <w:b/>
          <w:color w:val="008F87"/>
          <w:sz w:val="29"/>
        </w:rPr>
        <w:t xml:space="preserve">Visual evidence</w:t>
      </w:r>
    </w:p>
    <w:p>
      <w:pPr>
        <w:pStyle w:val="FirstParagraph"/>
      </w:pPr>
      <w:r>
        <w:drawing>
          <wp:inline>
            <wp:extent cx="4907280" cy="3461930"/>
            <wp:effectExtent b="0" l="0" r="0" t="0"/>
            <wp:docPr descr="Image: rId231.png" title="" id="232" name="Picture"/>
            <a:graphic>
              <a:graphicData uri="http://schemas.openxmlformats.org/drawingml/2006/picture">
                <pic:pic>
                  <pic:nvPicPr>
                    <pic:cNvPr descr="figures/fig_12_chart_gallery.png" id="233" name="Picture"/>
                    <pic:cNvPicPr>
                      <a:picLocks noChangeArrowheads="1" noChangeAspect="1"/>
                    </pic:cNvPicPr>
                  </pic:nvPicPr>
                  <pic:blipFill>
                    <a:blip r:embed="rId231"/>
                    <a:stretch>
                      <a:fillRect/>
                    </a:stretch>
                  </pic:blipFill>
                  <pic:spPr bwMode="auto">
                    <a:xfrm>
                      <a:off x="0" y="0"/>
                      <a:ext cx="4907280" cy="3461930"/>
                    </a:xfrm>
                    <a:prstGeom prst="rect">
                      <a:avLst/>
                    </a:prstGeom>
                    <a:noFill/>
                    <a:ln w="9525">
                      <a:noFill/>
                      <a:headEnd/>
                      <a:tailEnd/>
                    </a:ln>
                  </pic:spPr>
                </pic:pic>
              </a:graphicData>
            </a:graphic>
          </wp:inline>
        </w:drawing>
      </w:r>
    </w:p>
    <w:p>
      <w:pPr>
        <w:pStyle w:val="Caption"/>
        <w:keepNext w:val="0"/>
        <w:jc w:val="center"/>
      </w:pPr>
      <w:r>
        <w:rPr>
          <w:b/>
          <w:bCs/>
        </w:rPr>
        <w:t xml:space="preserve">Figure 12.</w:t>
      </w:r>
      <w:r>
        <w:t xml:space="preserve"> </w:t>
      </w:r>
      <w:r>
        <w:t xml:space="preserve">Four common chart forms and the analytical question each answers.</w:t>
      </w:r>
    </w:p>
    <w:bookmarkEnd w:id="234"/>
    <w:bookmarkStart w:id="235" w:name="reference-table-11"/>
    <w:p>
      <w:pPr>
        <w:pStyle w:val="Heading2"/>
        <w:keepNext/>
      </w:pPr>
      <w:r>
        <w:rPr>
          <w:rStyle w:val="SectionNumber"/>
          <w:rFonts w:ascii="Noto Sans" w:hAnsi="Noto Sans" w:eastAsia="Noto Sans" w:cs="Noto Sans"/>
          <w:b/>
          <w:color w:val="008F87"/>
          <w:sz w:val="29"/>
        </w:rPr>
        <w:t xml:space="preserve">12.7</w:t>
      </w:r>
      <w:r>
        <w:rPr>
          <w:rFonts w:ascii="Noto Sans" w:hAnsi="Noto Sans" w:eastAsia="Noto Sans" w:cs="Noto Sans"/>
          <w:b/>
          <w:color w:val="008F87"/>
          <w:sz w:val="29"/>
        </w:rPr>
        <w:tab/>
      </w:r>
      <w:r>
        <w:rPr>
          <w:rFonts w:ascii="Noto Sans" w:hAnsi="Noto Sans" w:eastAsia="Noto Sans" w:cs="Noto Sans"/>
          <w:b/>
          <w:color w:val="008F87"/>
          <w:sz w:val="29"/>
        </w:rPr>
        <w:t xml:space="preserve">Reference table</w:t>
      </w:r>
    </w:p>
    <w:p>
      <w:pPr>
        <w:pStyle w:val="Caption"/>
        <w:keepNext/>
        <w:jc w:val="center"/>
      </w:pPr>
      <w:r>
        <w:rPr>
          <w:b/>
          <w:bCs/>
        </w:rPr>
        <w:t xml:space="preserve">Table 12. Chapter reference.</w:t>
      </w:r>
    </w:p>
    <w:tbl>
      <w:tblPr>
        <w:tblStyle w:val="Table"/>
        <w:tblW w:type="pct" w:w="5000"/>
        <w:jc w:val="center"/>
        <w:tblLayout w:type="autofit"/>
        <w:tblLook w:firstRow="1" w:lastRow="0" w:firstColumn="0" w:lastColumn="0" w:noHBand="0" w:noVBand="0" w:val="0020"/>
      </w:tblPr>
      <w:tblGrid>
        <w:gridCol w:w="2640"/>
        <w:gridCol w:w="2640"/>
        <w:gridCol w:w="2640"/>
      </w:tblGrid>
      <w:tr>
        <w:trPr>
          <w:tblHeader w:val="on"/>
          <w:tblHeader w:val="true"/>
          <w:cantSplit/>
        </w:trPr>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0A2342" w:val="clear"/>
          </w:tcPr>
          <w:p>
            <w:pPr>
              <w:pStyle w:val="Compact"/>
              <w:spacing w:before="30" w:after="30" w:line="240" w:lineRule="auto"/>
              <w:jc w:val="left"/>
            </w:pPr>
            <w:r>
              <w:rPr>
                <w:rFonts w:ascii="Noto Sans" w:hAnsi="Noto Sans" w:eastAsia="Noto Sans" w:cs="Noto Sans"/>
                <w:b/>
                <w:color w:val="FFFFFF"/>
                <w:sz w:val="16"/>
              </w:rPr>
              <w:t xml:space="preserve">Question</w:t>
            </w:r>
          </w:p>
        </w:tc>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0A2342" w:val="clear"/>
          </w:tcPr>
          <w:p>
            <w:pPr>
              <w:pStyle w:val="Compact"/>
              <w:spacing w:before="30" w:after="30" w:line="240" w:lineRule="auto"/>
              <w:jc w:val="left"/>
            </w:pPr>
            <w:r>
              <w:rPr>
                <w:rFonts w:ascii="Noto Sans" w:hAnsi="Noto Sans" w:eastAsia="Noto Sans" w:cs="Noto Sans"/>
                <w:b/>
                <w:color w:val="FFFFFF"/>
                <w:sz w:val="16"/>
              </w:rPr>
              <w:t xml:space="preserve">Recommended chart</w:t>
            </w:r>
          </w:p>
        </w:tc>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0A2342" w:val="clear"/>
          </w:tcPr>
          <w:p>
            <w:pPr>
              <w:pStyle w:val="Compact"/>
              <w:spacing w:before="30" w:after="30" w:line="240" w:lineRule="auto"/>
              <w:jc w:val="left"/>
            </w:pPr>
            <w:r>
              <w:rPr>
                <w:rFonts w:ascii="Noto Sans" w:hAnsi="Noto Sans" w:eastAsia="Noto Sans" w:cs="Noto Sans"/>
                <w:b/>
                <w:color w:val="FFFFFF"/>
                <w:sz w:val="16"/>
              </w:rPr>
              <w:t xml:space="preserve">Common caution</w:t>
            </w:r>
          </w:p>
        </w:tc>
      </w:tr>
      <w:tr>
        <w:trPr>
          <w:cantSplit/>
        </w:trPr>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EEF4F8" w:val="clear"/>
          </w:tcPr>
          <w:p>
            <w:pPr>
              <w:pStyle w:val="Compact"/>
              <w:spacing w:before="30" w:after="30" w:line="240" w:lineRule="auto"/>
              <w:jc w:val="left"/>
            </w:pPr>
            <w:r>
              <w:rPr>
                <w:rFonts w:ascii="Noto Sans" w:hAnsi="Noto Sans" w:eastAsia="Noto Sans" w:cs="Noto Sans"/>
                <w:b w:val="0"/>
                <w:color w:val="18212B"/>
                <w:sz w:val="16"/>
              </w:rPr>
              <w:t xml:space="preserve">How does a variable evolve?</w:t>
            </w:r>
          </w:p>
        </w:tc>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EEF4F8" w:val="clear"/>
          </w:tcPr>
          <w:p>
            <w:pPr>
              <w:pStyle w:val="Compact"/>
              <w:spacing w:before="30" w:after="30" w:line="240" w:lineRule="auto"/>
              <w:jc w:val="left"/>
            </w:pPr>
            <w:r>
              <w:rPr>
                <w:rFonts w:ascii="Noto Sans" w:hAnsi="Noto Sans" w:eastAsia="Noto Sans" w:cs="Noto Sans"/>
                <w:b w:val="0"/>
                <w:color w:val="18212B"/>
                <w:sz w:val="16"/>
              </w:rPr>
              <w:t xml:space="preserve">line chart</w:t>
            </w:r>
          </w:p>
        </w:tc>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EEF4F8" w:val="clear"/>
          </w:tcPr>
          <w:p>
            <w:pPr>
              <w:pStyle w:val="Compact"/>
              <w:spacing w:before="30" w:after="30" w:line="240" w:lineRule="auto"/>
              <w:jc w:val="left"/>
            </w:pPr>
            <w:r>
              <w:rPr>
                <w:rFonts w:ascii="Noto Sans" w:hAnsi="Noto Sans" w:eastAsia="Noto Sans" w:cs="Noto Sans"/>
                <w:b w:val="0"/>
                <w:color w:val="18212B"/>
                <w:sz w:val="16"/>
              </w:rPr>
              <w:t xml:space="preserve">gaps and frequency</w:t>
            </w:r>
          </w:p>
        </w:tc>
      </w:tr>
      <w:tr>
        <w:trPr>
          <w:cantSplit/>
        </w:trPr>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FFFFFF" w:val="clear"/>
          </w:tcPr>
          <w:p>
            <w:pPr>
              <w:pStyle w:val="Compact"/>
              <w:spacing w:before="30" w:after="30" w:line="240" w:lineRule="auto"/>
              <w:jc w:val="left"/>
            </w:pPr>
            <w:r>
              <w:rPr>
                <w:rFonts w:ascii="Noto Sans" w:hAnsi="Noto Sans" w:eastAsia="Noto Sans" w:cs="Noto Sans"/>
                <w:b w:val="0"/>
                <w:color w:val="18212B"/>
                <w:sz w:val="16"/>
              </w:rPr>
              <w:t xml:space="preserve">How are two variables related?</w:t>
            </w:r>
          </w:p>
        </w:tc>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FFFFFF" w:val="clear"/>
          </w:tcPr>
          <w:p>
            <w:pPr>
              <w:pStyle w:val="Compact"/>
              <w:spacing w:before="30" w:after="30" w:line="240" w:lineRule="auto"/>
              <w:jc w:val="left"/>
            </w:pPr>
            <w:r>
              <w:rPr>
                <w:rFonts w:ascii="Noto Sans" w:hAnsi="Noto Sans" w:eastAsia="Noto Sans" w:cs="Noto Sans"/>
                <w:b w:val="0"/>
                <w:color w:val="18212B"/>
                <w:sz w:val="16"/>
              </w:rPr>
              <w:t xml:space="preserve">scatterplot</w:t>
            </w:r>
          </w:p>
        </w:tc>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FFFFFF" w:val="clear"/>
          </w:tcPr>
          <w:p>
            <w:pPr>
              <w:pStyle w:val="Compact"/>
              <w:spacing w:before="30" w:after="30" w:line="240" w:lineRule="auto"/>
              <w:jc w:val="left"/>
            </w:pPr>
            <w:r>
              <w:rPr>
                <w:rFonts w:ascii="Noto Sans" w:hAnsi="Noto Sans" w:eastAsia="Noto Sans" w:cs="Noto Sans"/>
                <w:b w:val="0"/>
                <w:color w:val="18212B"/>
                <w:sz w:val="16"/>
              </w:rPr>
              <w:t xml:space="preserve">overplotting and causality</w:t>
            </w:r>
          </w:p>
        </w:tc>
      </w:tr>
      <w:tr>
        <w:trPr>
          <w:cantSplit/>
        </w:trPr>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EEF4F8" w:val="clear"/>
          </w:tcPr>
          <w:p>
            <w:pPr>
              <w:pStyle w:val="Compact"/>
              <w:spacing w:before="30" w:after="30" w:line="240" w:lineRule="auto"/>
              <w:jc w:val="left"/>
            </w:pPr>
            <w:r>
              <w:rPr>
                <w:rFonts w:ascii="Noto Sans" w:hAnsi="Noto Sans" w:eastAsia="Noto Sans" w:cs="Noto Sans"/>
                <w:b w:val="0"/>
                <w:color w:val="18212B"/>
                <w:sz w:val="16"/>
              </w:rPr>
              <w:t xml:space="preserve">What is the distribution?</w:t>
            </w:r>
          </w:p>
        </w:tc>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EEF4F8" w:val="clear"/>
          </w:tcPr>
          <w:p>
            <w:pPr>
              <w:pStyle w:val="Compact"/>
              <w:spacing w:before="30" w:after="30" w:line="240" w:lineRule="auto"/>
              <w:jc w:val="left"/>
            </w:pPr>
            <w:r>
              <w:rPr>
                <w:rFonts w:ascii="Noto Sans" w:hAnsi="Noto Sans" w:eastAsia="Noto Sans" w:cs="Noto Sans"/>
                <w:b w:val="0"/>
                <w:color w:val="18212B"/>
                <w:sz w:val="16"/>
              </w:rPr>
              <w:t xml:space="preserve">histogram/density/boxplot</w:t>
            </w:r>
          </w:p>
        </w:tc>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EEF4F8" w:val="clear"/>
          </w:tcPr>
          <w:p>
            <w:pPr>
              <w:pStyle w:val="Compact"/>
              <w:spacing w:before="30" w:after="30" w:line="240" w:lineRule="auto"/>
              <w:jc w:val="left"/>
            </w:pPr>
            <w:r>
              <w:rPr>
                <w:rFonts w:ascii="Noto Sans" w:hAnsi="Noto Sans" w:eastAsia="Noto Sans" w:cs="Noto Sans"/>
                <w:b w:val="0"/>
                <w:color w:val="18212B"/>
                <w:sz w:val="16"/>
              </w:rPr>
              <w:t xml:space="preserve">bin and bandwidth choices</w:t>
            </w:r>
          </w:p>
        </w:tc>
      </w:tr>
      <w:tr>
        <w:trPr>
          <w:cantSplit/>
        </w:trPr>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FFFFFF" w:val="clear"/>
          </w:tcPr>
          <w:p>
            <w:pPr>
              <w:pStyle w:val="Compact"/>
              <w:spacing w:before="30" w:after="30" w:line="240" w:lineRule="auto"/>
              <w:jc w:val="left"/>
            </w:pPr>
            <w:r>
              <w:rPr>
                <w:rFonts w:ascii="Noto Sans" w:hAnsi="Noto Sans" w:eastAsia="Noto Sans" w:cs="Noto Sans"/>
                <w:b w:val="0"/>
                <w:color w:val="18212B"/>
                <w:sz w:val="16"/>
              </w:rPr>
              <w:t xml:space="preserve">How do categories compare?</w:t>
            </w:r>
          </w:p>
        </w:tc>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FFFFFF" w:val="clear"/>
          </w:tcPr>
          <w:p>
            <w:pPr>
              <w:pStyle w:val="Compact"/>
              <w:spacing w:before="30" w:after="30" w:line="240" w:lineRule="auto"/>
              <w:jc w:val="left"/>
            </w:pPr>
            <w:r>
              <w:rPr>
                <w:rFonts w:ascii="Noto Sans" w:hAnsi="Noto Sans" w:eastAsia="Noto Sans" w:cs="Noto Sans"/>
                <w:b w:val="0"/>
                <w:color w:val="18212B"/>
                <w:sz w:val="16"/>
              </w:rPr>
              <w:t xml:space="preserve">bar or dot plot</w:t>
            </w:r>
          </w:p>
        </w:tc>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FFFFFF" w:val="clear"/>
          </w:tcPr>
          <w:p>
            <w:pPr>
              <w:pStyle w:val="Compact"/>
              <w:spacing w:before="30" w:after="30" w:line="240" w:lineRule="auto"/>
              <w:jc w:val="left"/>
            </w:pPr>
            <w:r>
              <w:rPr>
                <w:rFonts w:ascii="Noto Sans" w:hAnsi="Noto Sans" w:eastAsia="Noto Sans" w:cs="Noto Sans"/>
                <w:b w:val="0"/>
                <w:color w:val="18212B"/>
                <w:sz w:val="16"/>
              </w:rPr>
              <w:t xml:space="preserve">zero baseline for bars</w:t>
            </w:r>
          </w:p>
        </w:tc>
      </w:tr>
    </w:tbl>
    <w:p>
      <w:pPr>
        <w:pStyle w:val="BlockText"/>
        <w:shd w:fill="EAF7F5" w:val="clear"/>
        <w:pBdr>
          <w:left w:val="single" w:sz="18" w:space="8" w:color="008F87"/>
        </w:pBdr>
      </w:pPr>
      <w:r>
        <w:rPr>
          <w:b/>
          <w:bCs/>
        </w:rPr>
        <w:t xml:space="preserve">Why This Matters</w:t>
      </w:r>
    </w:p>
    <w:p>
      <w:pPr>
        <w:pStyle w:val="BlockText"/>
        <w:shd w:fill="EAF7F5" w:val="clear"/>
        <w:pBdr>
          <w:left w:val="single" w:sz="18" w:space="8" w:color="008F87"/>
        </w:pBdr>
      </w:pPr>
      <w:r>
        <w:t xml:space="preserve">Visualization is a diagnostic instrument as well as a communication device.</w:t>
      </w:r>
    </w:p>
    <w:p>
      <w:pPr>
        <w:pStyle w:val="BlockText"/>
        <w:shd w:fill="EAF7F5" w:val="clear"/>
        <w:pBdr>
          <w:left w:val="single" w:sz="18" w:space="8" w:color="008F87"/>
        </w:pBdr>
      </w:pPr>
      <w:r>
        <w:rPr>
          <w:b/>
          <w:bCs/>
        </w:rPr>
        <w:t xml:space="preserve">Common Mistake</w:t>
      </w:r>
    </w:p>
    <w:p>
      <w:pPr>
        <w:pStyle w:val="BlockText"/>
        <w:shd w:fill="EAF7F5" w:val="clear"/>
        <w:pBdr>
          <w:left w:val="single" w:sz="18" w:space="8" w:color="008F87"/>
        </w:pBdr>
      </w:pPr>
      <w:r>
        <w:t xml:space="preserve">Selecting a chart type because it looks impressive rather than because it matches the analytical question.</w:t>
      </w:r>
    </w:p>
    <w:p>
      <w:pPr>
        <w:pStyle w:val="BlockText"/>
        <w:shd w:fill="EAF7F5" w:val="clear"/>
        <w:pBdr>
          <w:left w:val="single" w:sz="18" w:space="8" w:color="008F87"/>
        </w:pBdr>
      </w:pPr>
      <w:r>
        <w:rPr>
          <w:b/>
          <w:bCs/>
        </w:rPr>
        <w:t xml:space="preserve">Ceteris LAB Tip</w:t>
      </w:r>
    </w:p>
    <w:p>
      <w:pPr>
        <w:pStyle w:val="BlockText"/>
        <w:shd w:fill="EAF7F5" w:val="clear"/>
        <w:pBdr>
          <w:left w:val="single" w:sz="18" w:space="8" w:color="008F87"/>
        </w:pBdr>
      </w:pPr>
      <w:r>
        <w:t xml:space="preserve">Before exporting, inspect the chart at the size students will actually see in the PDF or website.</w:t>
      </w:r>
    </w:p>
    <w:p>
      <w:pPr>
        <w:pStyle w:val="BlockText"/>
        <w:shd w:fill="EAF7F5" w:val="clear"/>
        <w:pBdr>
          <w:left w:val="single" w:sz="18" w:space="8" w:color="008F87"/>
        </w:pBdr>
      </w:pPr>
      <w:r>
        <w:rPr>
          <w:b/>
          <w:bCs/>
        </w:rPr>
        <w:t xml:space="preserve">R-to-Python / Source Bridge</w:t>
      </w:r>
    </w:p>
    <w:p>
      <w:pPr>
        <w:pStyle w:val="BlockText"/>
        <w:shd w:fill="EAF7F5" w:val="clear"/>
        <w:pBdr>
          <w:left w:val="single" w:sz="18" w:space="8" w:color="008F87"/>
        </w:pBdr>
      </w:pPr>
      <w:r>
        <w:t xml:space="preserve">All low-resolution source figures were recreated as original Python visuals. The new figure library uses consistent captions, labels, and Ceteris LAB styling rather than slide screenshots.</w:t>
      </w:r>
    </w:p>
    <w:bookmarkEnd w:id="235"/>
    <w:bookmarkStart w:id="236" w:name="guided-practice-11"/>
    <w:p>
      <w:pPr>
        <w:pStyle w:val="Heading2"/>
        <w:keepNext/>
      </w:pPr>
      <w:r>
        <w:rPr>
          <w:rStyle w:val="SectionNumber"/>
          <w:rFonts w:ascii="Noto Sans" w:hAnsi="Noto Sans" w:eastAsia="Noto Sans" w:cs="Noto Sans"/>
          <w:b/>
          <w:color w:val="008F87"/>
          <w:sz w:val="29"/>
        </w:rPr>
        <w:t xml:space="preserve">12.8</w:t>
      </w:r>
      <w:r>
        <w:rPr>
          <w:rFonts w:ascii="Noto Sans" w:hAnsi="Noto Sans" w:eastAsia="Noto Sans" w:cs="Noto Sans"/>
          <w:b/>
          <w:color w:val="008F87"/>
          <w:sz w:val="29"/>
        </w:rPr>
        <w:tab/>
      </w:r>
      <w:r>
        <w:rPr>
          <w:rFonts w:ascii="Noto Sans" w:hAnsi="Noto Sans" w:eastAsia="Noto Sans" w:cs="Noto Sans"/>
          <w:b/>
          <w:color w:val="008F87"/>
          <w:sz w:val="29"/>
        </w:rPr>
        <w:t xml:space="preserve">Guided practice</w:t>
      </w:r>
    </w:p>
    <w:p>
      <w:pPr>
        <w:pStyle w:val="Compact"/>
        <w:numPr>
          <w:ilvl w:val="0"/>
          <w:numId w:val="1048"/>
        </w:numPr>
      </w:pPr>
      <w:r>
        <w:t xml:space="preserve">Re-run Demonstration 12.1 and change one input while keeping the analytical question fixed.</w:t>
      </w:r>
    </w:p>
    <w:p>
      <w:pPr>
        <w:pStyle w:val="Compact"/>
        <w:numPr>
          <w:ilvl w:val="0"/>
          <w:numId w:val="1048"/>
        </w:numPr>
      </w:pPr>
      <w:r>
        <w:t xml:space="preserve">Explain in two sentences how the output supports, or fails to support, the chapter opening question.</w:t>
      </w:r>
    </w:p>
    <w:p>
      <w:pPr>
        <w:pStyle w:val="Compact"/>
        <w:numPr>
          <w:ilvl w:val="0"/>
          <w:numId w:val="1048"/>
        </w:numPr>
      </w:pPr>
      <w:r>
        <w:t xml:space="preserve">Add one validation check that would prevent a plausible error.</w:t>
      </w:r>
    </w:p>
    <w:bookmarkEnd w:id="236"/>
    <w:bookmarkStart w:id="237" w:name="exercises-11"/>
    <w:p>
      <w:pPr>
        <w:pStyle w:val="Heading2"/>
        <w:keepNext/>
      </w:pPr>
      <w:r>
        <w:rPr>
          <w:rStyle w:val="SectionNumber"/>
          <w:rFonts w:ascii="Noto Sans" w:hAnsi="Noto Sans" w:eastAsia="Noto Sans" w:cs="Noto Sans"/>
          <w:b/>
          <w:color w:val="008F87"/>
          <w:sz w:val="29"/>
        </w:rPr>
        <w:t xml:space="preserve">12.9</w:t>
      </w:r>
      <w:r>
        <w:rPr>
          <w:rFonts w:ascii="Noto Sans" w:hAnsi="Noto Sans" w:eastAsia="Noto Sans" w:cs="Noto Sans"/>
          <w:b/>
          <w:color w:val="008F87"/>
          <w:sz w:val="29"/>
        </w:rPr>
        <w:tab/>
      </w:r>
      <w:r>
        <w:rPr>
          <w:rFonts w:ascii="Noto Sans" w:hAnsi="Noto Sans" w:eastAsia="Noto Sans" w:cs="Noto Sans"/>
          <w:b/>
          <w:color w:val="008F87"/>
          <w:sz w:val="29"/>
        </w:rPr>
        <w:t xml:space="preserve">Exercises</w:t>
      </w:r>
    </w:p>
    <w:p>
      <w:pPr>
        <w:pStyle w:val="Compact"/>
        <w:numPr>
          <w:ilvl w:val="0"/>
          <w:numId w:val="1049"/>
        </w:numPr>
      </w:pPr>
      <w:r>
        <w:t xml:space="preserve">Create a line chart with units and source note.</w:t>
      </w:r>
    </w:p>
    <w:p>
      <w:pPr>
        <w:pStyle w:val="Compact"/>
        <w:numPr>
          <w:ilvl w:val="0"/>
          <w:numId w:val="1049"/>
        </w:numPr>
      </w:pPr>
      <w:r>
        <w:t xml:space="preserve">Compare a histogram under two bin choices.</w:t>
      </w:r>
    </w:p>
    <w:p>
      <w:pPr>
        <w:pStyle w:val="Compact"/>
        <w:numPr>
          <w:ilvl w:val="0"/>
          <w:numId w:val="1049"/>
        </w:numPr>
      </w:pPr>
      <w:r>
        <w:t xml:space="preserve">Create a scatterplot and add a fitted line.</w:t>
      </w:r>
    </w:p>
    <w:p>
      <w:pPr>
        <w:pStyle w:val="Compact"/>
        <w:numPr>
          <w:ilvl w:val="0"/>
          <w:numId w:val="1049"/>
        </w:numPr>
      </w:pPr>
      <w:r>
        <w:t xml:space="preserve">Redesign a misleading truncated-axis chart.</w:t>
      </w:r>
    </w:p>
    <w:bookmarkEnd w:id="237"/>
    <w:bookmarkStart w:id="238" w:name="chapter-summary-11"/>
    <w:p>
      <w:pPr>
        <w:pStyle w:val="Heading2"/>
        <w:keepNext/>
      </w:pPr>
      <w:r>
        <w:rPr>
          <w:rStyle w:val="SectionNumber"/>
          <w:rFonts w:ascii="Noto Sans" w:hAnsi="Noto Sans" w:eastAsia="Noto Sans" w:cs="Noto Sans"/>
          <w:b/>
          <w:color w:val="008F87"/>
          <w:sz w:val="29"/>
        </w:rPr>
        <w:t xml:space="preserve">12.10</w:t>
      </w:r>
      <w:r>
        <w:rPr>
          <w:rFonts w:ascii="Noto Sans" w:hAnsi="Noto Sans" w:eastAsia="Noto Sans" w:cs="Noto Sans"/>
          <w:b/>
          <w:color w:val="008F87"/>
          <w:sz w:val="29"/>
        </w:rPr>
        <w:tab/>
      </w:r>
      <w:r>
        <w:rPr>
          <w:rFonts w:ascii="Noto Sans" w:hAnsi="Noto Sans" w:eastAsia="Noto Sans" w:cs="Noto Sans"/>
          <w:b/>
          <w:color w:val="008F87"/>
          <w:sz w:val="29"/>
        </w:rPr>
        <w:t xml:space="preserve">Chapter summary</w:t>
      </w:r>
    </w:p>
    <w:p>
      <w:pPr>
        <w:pStyle w:val="Compact"/>
        <w:numPr>
          <w:ilvl w:val="0"/>
          <w:numId w:val="1050"/>
        </w:numPr>
      </w:pPr>
      <w:r>
        <w:t xml:space="preserve">Charts map data to visual channels.</w:t>
      </w:r>
    </w:p>
    <w:p>
      <w:pPr>
        <w:pStyle w:val="Compact"/>
        <w:numPr>
          <w:ilvl w:val="0"/>
          <w:numId w:val="1050"/>
        </w:numPr>
      </w:pPr>
      <w:r>
        <w:t xml:space="preserve">Titles, units, sources, and transformations protect interpretation.</w:t>
      </w:r>
    </w:p>
    <w:p>
      <w:pPr>
        <w:pStyle w:val="Compact"/>
        <w:numPr>
          <w:ilvl w:val="0"/>
          <w:numId w:val="1050"/>
        </w:numPr>
      </w:pPr>
      <w:r>
        <w:t xml:space="preserve">Accessible design improves accuracy for every reader.</w:t>
      </w:r>
    </w:p>
    <w:bookmarkEnd w:id="238"/>
    <w:bookmarkStart w:id="239" w:name="key-python-commands-11"/>
    <w:p>
      <w:pPr>
        <w:pStyle w:val="Heading2"/>
        <w:keepNext/>
      </w:pPr>
      <w:r>
        <w:rPr>
          <w:rStyle w:val="SectionNumber"/>
          <w:rFonts w:ascii="Noto Sans" w:hAnsi="Noto Sans" w:eastAsia="Noto Sans" w:cs="Noto Sans"/>
          <w:b/>
          <w:color w:val="008F87"/>
          <w:sz w:val="29"/>
        </w:rPr>
        <w:t xml:space="preserve">12.11</w:t>
      </w:r>
      <w:r>
        <w:rPr>
          <w:rFonts w:ascii="Noto Sans" w:hAnsi="Noto Sans" w:eastAsia="Noto Sans" w:cs="Noto Sans"/>
          <w:b/>
          <w:color w:val="008F87"/>
          <w:sz w:val="29"/>
        </w:rPr>
        <w:tab/>
      </w:r>
      <w:r>
        <w:rPr>
          <w:rFonts w:ascii="Noto Sans" w:hAnsi="Noto Sans" w:eastAsia="Noto Sans" w:cs="Noto Sans"/>
          <w:b/>
          <w:color w:val="008F87"/>
          <w:sz w:val="29"/>
        </w:rPr>
        <w:t xml:space="preserve">Key Python commands</w:t>
      </w:r>
    </w:p>
    <w:p>
      <w:pPr>
        <w:pStyle w:val="SourceCode"/>
        <w:keepLines/>
        <w:shd w:fill="F6F8FA" w:val="clear"/>
      </w:pPr>
      <w:r>
        <w:rPr>
          <w:rStyle w:val="ImportTok"/>
        </w:rPr>
        <w:t xml:space="preserve">import</w:t>
      </w:r>
      <w:r>
        <w:rPr>
          <w:rStyle w:val="NormalTok"/>
        </w:rPr>
        <w:t xml:space="preserve"> matplotlib.pyplot </w:t>
      </w:r>
      <w:r>
        <w:rPr>
          <w:rStyle w:val="ImportTok"/>
        </w:rPr>
        <w:t xml:space="preserve">as</w:t>
      </w:r>
      <w:r>
        <w:rPr>
          <w:rStyle w:val="NormalTok"/>
        </w:rPr>
        <w:t xml:space="preserve"> plt</w:t>
      </w:r>
      <w:r>
        <w:br/>
      </w:r>
      <w:r>
        <w:rPr>
          <w:rStyle w:val="ImportTok"/>
        </w:rPr>
        <w:t xml:space="preserve">import</w:t>
      </w:r>
      <w:r>
        <w:rPr>
          <w:rStyle w:val="NormalTok"/>
        </w:rPr>
        <w:t xml:space="preserve"> pandas </w:t>
      </w:r>
      <w:r>
        <w:rPr>
          <w:rStyle w:val="ImportTok"/>
        </w:rPr>
        <w:t xml:space="preserve">as</w:t>
      </w:r>
      <w:r>
        <w:rPr>
          <w:rStyle w:val="NormalTok"/>
        </w:rPr>
        <w:t xml:space="preserve"> pd</w:t>
      </w:r>
      <w:r>
        <w:br/>
      </w:r>
      <w:r>
        <w:rPr>
          <w:rStyle w:val="NormalTok"/>
        </w:rPr>
        <w:t xml:space="preserve">fig, ax </w:t>
      </w:r>
      <w:r>
        <w:rPr>
          <w:rStyle w:val="OperatorTok"/>
        </w:rPr>
        <w:t xml:space="preserve">=</w:t>
      </w:r>
      <w:r>
        <w:rPr>
          <w:rStyle w:val="NormalTok"/>
        </w:rPr>
        <w:t xml:space="preserve"> plt.subplots()</w:t>
      </w:r>
      <w:r>
        <w:br/>
      </w:r>
      <w:r>
        <w:rPr>
          <w:rStyle w:val="NormalTok"/>
        </w:rPr>
        <w:t xml:space="preserve">ax.plot(series.index, series.values, marker</w:t>
      </w:r>
      <w:r>
        <w:rPr>
          <w:rStyle w:val="OperatorTok"/>
        </w:rPr>
        <w:t xml:space="preserve">=</w:t>
      </w:r>
      <w:r>
        <w:rPr>
          <w:rStyle w:val="StringTok"/>
        </w:rPr>
        <w:t xml:space="preserve">"o"</w:t>
      </w:r>
      <w:r>
        <w:rPr>
          <w:rStyle w:val="NormalTok"/>
        </w:rPr>
        <w:t xml:space="preserve">)</w:t>
      </w:r>
      <w:r>
        <w:br/>
      </w:r>
      <w:r>
        <w:rPr>
          <w:rStyle w:val="NormalTok"/>
        </w:rPr>
        <w:t xml:space="preserve">ax.</w:t>
      </w:r>
      <w:r>
        <w:rPr>
          <w:rStyle w:val="BuiltInTok"/>
        </w:rPr>
        <w:t xml:space="preserve">set</w:t>
      </w:r>
      <w:r>
        <w:rPr>
          <w:rStyle w:val="NormalTok"/>
        </w:rPr>
        <w:t xml:space="preserve">(title</w:t>
      </w:r>
      <w:r>
        <w:rPr>
          <w:rStyle w:val="OperatorTok"/>
        </w:rPr>
        <w:t xml:space="preserve">=</w:t>
      </w:r>
      <w:r>
        <w:rPr>
          <w:rStyle w:val="StringTok"/>
        </w:rPr>
        <w:t xml:space="preserve">"Illustrative Monthly Index"</w:t>
      </w:r>
      <w:r>
        <w:rPr>
          <w:rStyle w:val="NormalTok"/>
        </w:rPr>
        <w:t xml:space="preserve">, xlabel</w:t>
      </w:r>
      <w:r>
        <w:rPr>
          <w:rStyle w:val="OperatorTok"/>
        </w:rPr>
        <w:t xml:space="preserve">=</w:t>
      </w:r>
      <w:r>
        <w:rPr>
          <w:rStyle w:val="StringTok"/>
        </w:rPr>
        <w:t xml:space="preserve">"Month"</w:t>
      </w:r>
      <w:r>
        <w:rPr>
          <w:rStyle w:val="NormalTok"/>
        </w:rPr>
        <w:t xml:space="preserve">, ylabel</w:t>
      </w:r>
      <w:r>
        <w:rPr>
          <w:rStyle w:val="OperatorTok"/>
        </w:rPr>
        <w:t xml:space="preserve">=</w:t>
      </w:r>
      <w:r>
        <w:rPr>
          <w:rStyle w:val="StringTok"/>
        </w:rPr>
        <w:t xml:space="preserve">"Index points"</w:t>
      </w:r>
      <w:r>
        <w:rPr>
          <w:rStyle w:val="NormalTok"/>
        </w:rPr>
        <w:t xml:space="preserve">)</w:t>
      </w:r>
      <w:r>
        <w:br/>
      </w:r>
      <w:r>
        <w:rPr>
          <w:rStyle w:val="NormalTok"/>
        </w:rPr>
        <w:t xml:space="preserve">fig.tight_layout()</w:t>
      </w:r>
    </w:p>
    <w:bookmarkEnd w:id="239"/>
    <w:bookmarkEnd w:id="240"/>
    <w:bookmarkStart w:id="261" w:name="X275e74359f57141d78c506b409da4c220d08520"/>
    <w:p>
      <w:pPr>
        <w:pStyle w:val="Heading1"/>
        <w:keepNext/>
        <w:pageBreakBefore/>
      </w:pPr>
      <w:r>
        <w:rPr>
          <w:rStyle w:val="SectionNumber"/>
          <w:rFonts w:ascii="Noto Sans" w:hAnsi="Noto Sans" w:eastAsia="Noto Sans" w:cs="Noto Sans"/>
          <w:b/>
          <w:color w:val="0A2342"/>
          <w:sz w:val="43"/>
        </w:rPr>
        <w:t xml:space="preserve">13</w:t>
      </w:r>
      <w:r>
        <w:rPr>
          <w:rFonts w:ascii="Noto Sans" w:hAnsi="Noto Sans" w:eastAsia="Noto Sans" w:cs="Noto Sans"/>
          <w:b/>
          <w:color w:val="0A2342"/>
          <w:sz w:val="43"/>
        </w:rPr>
        <w:tab/>
      </w:r>
      <w:r>
        <w:rPr>
          <w:rFonts w:ascii="Noto Sans" w:hAnsi="Noto Sans" w:eastAsia="Noto Sans" w:cs="Noto Sans"/>
          <w:b/>
          <w:color w:val="0A2342"/>
          <w:sz w:val="43"/>
        </w:rPr>
        <w:t xml:space="preserve">Descriptive Statistics and Exploratory Data Analysis</w:t>
      </w:r>
    </w:p>
    <w:p>
      <w:pPr>
        <w:pStyle w:val="FirstParagraph"/>
      </w:pPr>
      <w:r>
        <w:rPr>
          <w:i/>
          <w:iCs/>
        </w:rPr>
        <w:t xml:space="preserve">Opening question:</w:t>
      </w:r>
      <w:r>
        <w:t xml:space="preserve"> </w:t>
      </w:r>
      <w:r>
        <w:rPr>
          <w:b/>
          <w:bCs/>
        </w:rPr>
        <w:t xml:space="preserve">How can a dataset be summarized without letting one number erase its shape?</w:t>
      </w:r>
    </w:p>
    <w:bookmarkStart w:id="241" w:name="learning-objectives-12"/>
    <w:p>
      <w:pPr>
        <w:pStyle w:val="Heading2"/>
        <w:keepNext/>
      </w:pPr>
      <w:r>
        <w:rPr>
          <w:rStyle w:val="SectionNumber"/>
          <w:rFonts w:ascii="Noto Sans" w:hAnsi="Noto Sans" w:eastAsia="Noto Sans" w:cs="Noto Sans"/>
          <w:b/>
          <w:color w:val="008F87"/>
          <w:sz w:val="29"/>
        </w:rPr>
        <w:t xml:space="preserve">13.1</w:t>
      </w:r>
      <w:r>
        <w:rPr>
          <w:rFonts w:ascii="Noto Sans" w:hAnsi="Noto Sans" w:eastAsia="Noto Sans" w:cs="Noto Sans"/>
          <w:b/>
          <w:color w:val="008F87"/>
          <w:sz w:val="29"/>
        </w:rPr>
        <w:tab/>
      </w:r>
      <w:r>
        <w:rPr>
          <w:rFonts w:ascii="Noto Sans" w:hAnsi="Noto Sans" w:eastAsia="Noto Sans" w:cs="Noto Sans"/>
          <w:b/>
          <w:color w:val="008F87"/>
          <w:sz w:val="29"/>
        </w:rPr>
        <w:t xml:space="preserve">Learning objectives</w:t>
      </w:r>
    </w:p>
    <w:p>
      <w:pPr>
        <w:pStyle w:val="Compact"/>
        <w:numPr>
          <w:ilvl w:val="0"/>
          <w:numId w:val="1051"/>
        </w:numPr>
      </w:pPr>
      <w:r>
        <w:t xml:space="preserve">Calculate location, spread, shape, and dependence statistics.</w:t>
      </w:r>
    </w:p>
    <w:p>
      <w:pPr>
        <w:pStyle w:val="Compact"/>
        <w:numPr>
          <w:ilvl w:val="0"/>
          <w:numId w:val="1051"/>
        </w:numPr>
      </w:pPr>
      <w:r>
        <w:t xml:space="preserve">Compare conventional and robust summaries.</w:t>
      </w:r>
    </w:p>
    <w:p>
      <w:pPr>
        <w:pStyle w:val="Compact"/>
        <w:numPr>
          <w:ilvl w:val="0"/>
          <w:numId w:val="1051"/>
        </w:numPr>
      </w:pPr>
      <w:r>
        <w:t xml:space="preserve">Interpret skewness and kurtosis.</w:t>
      </w:r>
    </w:p>
    <w:p>
      <w:pPr>
        <w:pStyle w:val="Compact"/>
        <w:numPr>
          <w:ilvl w:val="0"/>
          <w:numId w:val="1051"/>
        </w:numPr>
      </w:pPr>
      <w:r>
        <w:t xml:space="preserve">Use plots and tables together.</w:t>
      </w:r>
    </w:p>
    <w:p>
      <w:pPr>
        <w:pStyle w:val="FirstParagraph"/>
      </w:pPr>
      <w:r>
        <w:rPr>
          <w:b/>
          <w:bCs/>
        </w:rPr>
        <w:t xml:space="preserve">Prerequisites:</w:t>
      </w:r>
      <w:r>
        <w:t xml:space="preserve"> </w:t>
      </w:r>
      <w:r>
        <w:t xml:space="preserve">Chapters 9 to 12.</w:t>
      </w:r>
    </w:p>
    <w:p>
      <w:pPr>
        <w:pStyle w:val="BodyText"/>
      </w:pPr>
      <w:r>
        <w:rPr>
          <w:b/>
          <w:bCs/>
        </w:rPr>
        <w:t xml:space="preserve">Key terms:</w:t>
      </w:r>
      <w:r>
        <w:t xml:space="preserve"> </w:t>
      </w:r>
      <w:r>
        <w:t xml:space="preserve">mean, median, variance, skewness, kurtosis, correlation.</w:t>
      </w:r>
    </w:p>
    <w:bookmarkEnd w:id="241"/>
    <w:bookmarkStart w:id="242" w:name="X136f4ff67fe44853b5440f77ea2a2e1201597cc"/>
    <w:p>
      <w:pPr>
        <w:pStyle w:val="Heading2"/>
        <w:keepNext/>
      </w:pPr>
      <w:r>
        <w:rPr>
          <w:rStyle w:val="SectionNumber"/>
          <w:rFonts w:ascii="Noto Sans" w:hAnsi="Noto Sans" w:eastAsia="Noto Sans" w:cs="Noto Sans"/>
          <w:b/>
          <w:color w:val="008F87"/>
          <w:sz w:val="29"/>
        </w:rPr>
        <w:t xml:space="preserve">13.2</w:t>
      </w:r>
      <w:r>
        <w:rPr>
          <w:rFonts w:ascii="Noto Sans" w:hAnsi="Noto Sans" w:eastAsia="Noto Sans" w:cs="Noto Sans"/>
          <w:b/>
          <w:color w:val="008F87"/>
          <w:sz w:val="29"/>
        </w:rPr>
        <w:tab/>
      </w:r>
      <w:r>
        <w:rPr>
          <w:rFonts w:ascii="Noto Sans" w:hAnsi="Noto Sans" w:eastAsia="Noto Sans" w:cs="Noto Sans"/>
          <w:b/>
          <w:color w:val="008F87"/>
          <w:sz w:val="29"/>
        </w:rPr>
        <w:t xml:space="preserve">Location and spread answer different questions</w:t>
      </w:r>
    </w:p>
    <w:p>
      <w:pPr>
        <w:pStyle w:val="FirstParagraph"/>
      </w:pPr>
      <w:r>
        <w:t xml:space="preserve">The mean balances all observations and is sensitive to extreme values. The median identifies the middle and is more robust. Variance and standard deviation describe dispersion around the mean, while the interquartile range describes the middle half of the data. These measures should be selected according to the distribution and the decision, not reported mechanically.</w:t>
      </w:r>
    </w:p>
    <w:bookmarkEnd w:id="242"/>
    <w:bookmarkStart w:id="243" w:name="shape-matters-in-finance"/>
    <w:p>
      <w:pPr>
        <w:pStyle w:val="Heading2"/>
        <w:keepNext/>
      </w:pPr>
      <w:r>
        <w:rPr>
          <w:rStyle w:val="SectionNumber"/>
          <w:rFonts w:ascii="Noto Sans" w:hAnsi="Noto Sans" w:eastAsia="Noto Sans" w:cs="Noto Sans"/>
          <w:b/>
          <w:color w:val="008F87"/>
          <w:sz w:val="29"/>
        </w:rPr>
        <w:t xml:space="preserve">13.3</w:t>
      </w:r>
      <w:r>
        <w:rPr>
          <w:rFonts w:ascii="Noto Sans" w:hAnsi="Noto Sans" w:eastAsia="Noto Sans" w:cs="Noto Sans"/>
          <w:b/>
          <w:color w:val="008F87"/>
          <w:sz w:val="29"/>
        </w:rPr>
        <w:tab/>
      </w:r>
      <w:r>
        <w:rPr>
          <w:rFonts w:ascii="Noto Sans" w:hAnsi="Noto Sans" w:eastAsia="Noto Sans" w:cs="Noto Sans"/>
          <w:b/>
          <w:color w:val="008F87"/>
          <w:sz w:val="29"/>
        </w:rPr>
        <w:t xml:space="preserve">Shape matters in finance</w:t>
      </w:r>
    </w:p>
    <w:p>
      <w:pPr>
        <w:pStyle w:val="FirstParagraph"/>
      </w:pPr>
      <w:r>
        <w:t xml:space="preserve">Asset returns often exhibit skewness and heavier tails than a Gaussian model. Skewness describes asymmetry; kurtosis describes the weight of tails and concentration relative to a reference convention. Software differs on whether reported kurtosis subtracts three. The book uses Fisher excess kurtosis when the normal reference is zero and labels the convention explicitly</w:t>
      </w:r>
      <w:r>
        <w:t xml:space="preserve"> </w:t>
      </w:r>
      <w:r>
        <w:t xml:space="preserve">(Tsay 2010)</w:t>
      </w:r>
      <w:r>
        <w:t xml:space="preserve">.</w:t>
      </w:r>
    </w:p>
    <w:bookmarkEnd w:id="243"/>
    <w:bookmarkStart w:id="244" w:name="dependence-is-not-a-single-coefficient"/>
    <w:p>
      <w:pPr>
        <w:pStyle w:val="Heading2"/>
        <w:keepNext/>
      </w:pPr>
      <w:r>
        <w:rPr>
          <w:rStyle w:val="SectionNumber"/>
          <w:rFonts w:ascii="Noto Sans" w:hAnsi="Noto Sans" w:eastAsia="Noto Sans" w:cs="Noto Sans"/>
          <w:b/>
          <w:color w:val="008F87"/>
          <w:sz w:val="29"/>
        </w:rPr>
        <w:t xml:space="preserve">13.4</w:t>
      </w:r>
      <w:r>
        <w:rPr>
          <w:rFonts w:ascii="Noto Sans" w:hAnsi="Noto Sans" w:eastAsia="Noto Sans" w:cs="Noto Sans"/>
          <w:b/>
          <w:color w:val="008F87"/>
          <w:sz w:val="29"/>
        </w:rPr>
        <w:tab/>
      </w:r>
      <w:r>
        <w:rPr>
          <w:rFonts w:ascii="Noto Sans" w:hAnsi="Noto Sans" w:eastAsia="Noto Sans" w:cs="Noto Sans"/>
          <w:b/>
          <w:color w:val="008F87"/>
          <w:sz w:val="29"/>
        </w:rPr>
        <w:t xml:space="preserve">Dependence is not a single coefficient</w:t>
      </w:r>
    </w:p>
    <w:p>
      <w:pPr>
        <w:pStyle w:val="FirstParagraph"/>
      </w:pPr>
      <w:r>
        <w:t xml:space="preserve">Pearson correlation measures linear association and can be dominated by outliers. Spearman and Kendall correlations use ranks and capture monotonic relationships. None proves causality, and correlation can vary across regimes or frequencies. Exploratory analysis should combine scatterplots, subgroup summaries, and time ordering before a dependence measure is interpreted.</w:t>
      </w:r>
    </w:p>
    <w:bookmarkEnd w:id="244"/>
    <w:bookmarkStart w:id="245" w:name="core-equations-1"/>
    <w:p>
      <w:pPr>
        <w:pStyle w:val="Heading2"/>
        <w:keepNext/>
      </w:pPr>
      <w:r>
        <w:rPr>
          <w:rStyle w:val="SectionNumber"/>
          <w:rFonts w:ascii="Noto Sans" w:hAnsi="Noto Sans" w:eastAsia="Noto Sans" w:cs="Noto Sans"/>
          <w:b/>
          <w:color w:val="008F87"/>
          <w:sz w:val="29"/>
        </w:rPr>
        <w:t xml:space="preserve">13.5</w:t>
      </w:r>
      <w:r>
        <w:rPr>
          <w:rFonts w:ascii="Noto Sans" w:hAnsi="Noto Sans" w:eastAsia="Noto Sans" w:cs="Noto Sans"/>
          <w:b/>
          <w:color w:val="008F87"/>
          <w:sz w:val="29"/>
        </w:rPr>
        <w:tab/>
      </w:r>
      <w:r>
        <w:rPr>
          <w:rFonts w:ascii="Noto Sans" w:hAnsi="Noto Sans" w:eastAsia="Noto Sans" w:cs="Noto Sans"/>
          <w:b/>
          <w:color w:val="008F87"/>
          <w:sz w:val="29"/>
        </w:rPr>
        <w:t xml:space="preserve">Core equations</w:t>
      </w:r>
    </w:p>
    <w:p>
      <w:pPr>
        <w:pStyle w:val="FirstParagraph"/>
      </w:pPr>
      <w:r>
        <w:rPr>
          <w:b/>
          <w:bCs/>
        </w:rPr>
        <w:t xml:space="preserve">Sample variance</w:t>
      </w:r>
    </w:p>
    <w:p>
      <w:pPr>
        <w:pStyle w:val="BodyText"/>
      </w:pPr>
      <m:oMathPara>
        <m:oMathParaPr>
          <m:jc m:val="center"/>
        </m:oMathParaPr>
        <m:oMath>
          <m:sSup>
            <m:e>
              <m:r>
                <m:t>s</m:t>
              </m:r>
            </m:e>
            <m:sup>
              <m:r>
                <m:t>2</m:t>
              </m:r>
            </m:sup>
          </m:sSup>
          <m:r>
            <m:rPr>
              <m:sty m:val="p"/>
            </m:rPr>
            <m:t>=</m:t>
          </m:r>
          <m:f>
            <m:fPr>
              <m:type m:val="bar"/>
            </m:fPr>
            <m:num>
              <m:r>
                <m:t>1</m:t>
              </m:r>
            </m:num>
            <m:den>
              <m:r>
                <m:t>n</m:t>
              </m:r>
              <m:r>
                <m:rPr>
                  <m:sty m:val="p"/>
                </m:rPr>
                <m:t>−</m:t>
              </m:r>
              <m:r>
                <m:t>1</m:t>
              </m:r>
            </m:den>
          </m:f>
          <m:nary>
            <m:naryPr>
              <m:chr m:val="∑"/>
              <m:limLoc m:val="undOvr"/>
              <m:subHide m:val="off"/>
              <m:supHide m:val="off"/>
            </m:naryPr>
            <m:sub>
              <m:r>
                <m:t>i</m:t>
              </m:r>
              <m:r>
                <m:rPr>
                  <m:sty m:val="p"/>
                </m:rPr>
                <m:t>=</m:t>
              </m:r>
              <m:r>
                <m:t>1</m:t>
              </m:r>
            </m:sub>
            <m:sup>
              <m:r>
                <m:t>n</m:t>
              </m:r>
            </m:sup>
            <m:e>
              <m:sSup>
                <m:e>
                  <m:d>
                    <m:dPr>
                      <m:begChr m:val="("/>
                      <m:endChr m:val=")"/>
                      <m:sepChr m:val=""/>
                      <m:grow/>
                    </m:dPr>
                    <m:e>
                      <m:sSub>
                        <m:e>
                          <m:r>
                            <m:t>x</m:t>
                          </m:r>
                        </m:e>
                        <m:sub>
                          <m:r>
                            <m:t>i</m:t>
                          </m:r>
                        </m:sub>
                      </m:sSub>
                      <m:r>
                        <m:rPr>
                          <m:sty m:val="p"/>
                        </m:rPr>
                        <m:t>−</m:t>
                      </m:r>
                      <m:acc>
                        <m:accPr>
                          <m:chr m:val="‾"/>
                        </m:accPr>
                        <m:e>
                          <m:r>
                            <m:t>x</m:t>
                          </m:r>
                        </m:e>
                      </m:acc>
                    </m:e>
                  </m:d>
                </m:e>
                <m:sup>
                  <m:r>
                    <m:t>2</m:t>
                  </m:r>
                </m:sup>
              </m:sSup>
            </m:e>
          </m:nary>
        </m:oMath>
      </m:oMathPara>
    </w:p>
    <w:p>
      <w:pPr>
        <w:pStyle w:val="FirstParagraph"/>
      </w:pPr>
      <w:r>
        <w:t xml:space="preserve">The denominator n-1 estimates population variance under standard independent-sampling assumptions.</w:t>
      </w:r>
    </w:p>
    <w:bookmarkEnd w:id="245"/>
    <w:bookmarkStart w:id="248" w:name="python-demonstrations-12"/>
    <w:p>
      <w:pPr>
        <w:pStyle w:val="Heading2"/>
        <w:keepNext/>
      </w:pPr>
      <w:r>
        <w:rPr>
          <w:rStyle w:val="SectionNumber"/>
          <w:rFonts w:ascii="Noto Sans" w:hAnsi="Noto Sans" w:eastAsia="Noto Sans" w:cs="Noto Sans"/>
          <w:b/>
          <w:color w:val="008F87"/>
          <w:sz w:val="29"/>
        </w:rPr>
        <w:t xml:space="preserve">13.6</w:t>
      </w:r>
      <w:r>
        <w:rPr>
          <w:rFonts w:ascii="Noto Sans" w:hAnsi="Noto Sans" w:eastAsia="Noto Sans" w:cs="Noto Sans"/>
          <w:b/>
          <w:color w:val="008F87"/>
          <w:sz w:val="29"/>
        </w:rPr>
        <w:tab/>
      </w:r>
      <w:r>
        <w:rPr>
          <w:rFonts w:ascii="Noto Sans" w:hAnsi="Noto Sans" w:eastAsia="Noto Sans" w:cs="Noto Sans"/>
          <w:b/>
          <w:color w:val="008F87"/>
          <w:sz w:val="29"/>
        </w:rPr>
        <w:t xml:space="preserve">Python demonstrations</w:t>
      </w:r>
    </w:p>
    <w:bookmarkStart w:id="246" w:name="Xce48f0451a3aa13af6fd8e4e67ba0934ba6b3a3"/>
    <w:p>
      <w:pPr>
        <w:pStyle w:val="Heading3"/>
        <w:keepNext/>
      </w:pPr>
      <w:r>
        <w:rPr>
          <w:rStyle w:val="SectionNumber"/>
          <w:rFonts w:ascii="Noto Sans" w:hAnsi="Noto Sans" w:eastAsia="Noto Sans" w:cs="Noto Sans"/>
          <w:b/>
          <w:color w:val="0A2342"/>
          <w:sz w:val="23"/>
        </w:rPr>
        <w:t xml:space="preserve">13.6.1</w:t>
      </w:r>
      <w:r>
        <w:rPr>
          <w:rFonts w:ascii="Noto Sans" w:hAnsi="Noto Sans" w:eastAsia="Noto Sans" w:cs="Noto Sans"/>
          <w:b/>
          <w:color w:val="0A2342"/>
          <w:sz w:val="23"/>
        </w:rPr>
        <w:tab/>
      </w:r>
      <w:r>
        <w:rPr>
          <w:rFonts w:ascii="Noto Sans" w:hAnsi="Noto Sans" w:eastAsia="Noto Sans" w:cs="Noto Sans"/>
          <w:b/>
          <w:color w:val="0A2342"/>
          <w:sz w:val="23"/>
        </w:rPr>
        <w:t xml:space="preserve">Demonstration 13.1: Conventional and robust summaries</w:t>
      </w:r>
    </w:p>
    <w:p>
      <w:pPr>
        <w:pStyle w:val="SourceCode"/>
        <w:keepLines/>
        <w:shd w:fill="F6F8FA" w:val="clear"/>
      </w:pPr>
      <w:r>
        <w:rPr>
          <w:rStyle w:val="ImportTok"/>
        </w:rPr>
        <w:t xml:space="preserve">import</w:t>
      </w:r>
      <w:r>
        <w:rPr>
          <w:rStyle w:val="NormalTok"/>
        </w:rPr>
        <w:t xml:space="preserve"> pandas </w:t>
      </w:r>
      <w:r>
        <w:rPr>
          <w:rStyle w:val="ImportTok"/>
        </w:rPr>
        <w:t xml:space="preserve">as</w:t>
      </w:r>
      <w:r>
        <w:rPr>
          <w:rStyle w:val="NormalTok"/>
        </w:rPr>
        <w:t xml:space="preserve"> pd</w:t>
      </w:r>
      <w:r>
        <w:br/>
      </w:r>
      <w:r>
        <w:rPr>
          <w:rStyle w:val="ImportTok"/>
        </w:rPr>
        <w:t xml:space="preserve">from</w:t>
      </w:r>
      <w:r>
        <w:rPr>
          <w:rStyle w:val="NormalTok"/>
        </w:rPr>
        <w:t xml:space="preserve"> scipy </w:t>
      </w:r>
      <w:r>
        <w:rPr>
          <w:rStyle w:val="ImportTok"/>
        </w:rPr>
        <w:t xml:space="preserve">import</w:t>
      </w:r>
      <w:r>
        <w:rPr>
          <w:rStyle w:val="NormalTok"/>
        </w:rPr>
        <w:t xml:space="preserve"> stats</w:t>
      </w:r>
      <w:r>
        <w:br/>
      </w:r>
      <w:r>
        <w:br/>
      </w:r>
      <w:r>
        <w:rPr>
          <w:rStyle w:val="NormalTok"/>
        </w:rPr>
        <w:t xml:space="preserve">x </w:t>
      </w:r>
      <w:r>
        <w:rPr>
          <w:rStyle w:val="OperatorTok"/>
        </w:rPr>
        <w:t xml:space="preserve">=</w:t>
      </w:r>
      <w:r>
        <w:rPr>
          <w:rStyle w:val="NormalTok"/>
        </w:rPr>
        <w:t xml:space="preserve"> pd.Series([</w:t>
      </w:r>
      <w:r>
        <w:rPr>
          <w:rStyle w:val="DecValTok"/>
        </w:rPr>
        <w:t xml:space="preserve">10</w:t>
      </w:r>
      <w:r>
        <w:rPr>
          <w:rStyle w:val="NormalTok"/>
        </w:rPr>
        <w:t xml:space="preserve">, </w:t>
      </w:r>
      <w:r>
        <w:rPr>
          <w:rStyle w:val="DecValTok"/>
        </w:rPr>
        <w:t xml:space="preserve">11</w:t>
      </w:r>
      <w:r>
        <w:rPr>
          <w:rStyle w:val="NormalTok"/>
        </w:rPr>
        <w:t xml:space="preserve">, </w:t>
      </w:r>
      <w:r>
        <w:rPr>
          <w:rStyle w:val="DecValTok"/>
        </w:rPr>
        <w:t xml:space="preserve">12</w:t>
      </w:r>
      <w:r>
        <w:rPr>
          <w:rStyle w:val="NormalTok"/>
        </w:rPr>
        <w:t xml:space="preserve">, </w:t>
      </w:r>
      <w:r>
        <w:rPr>
          <w:rStyle w:val="DecValTok"/>
        </w:rPr>
        <w:t xml:space="preserve">13</w:t>
      </w:r>
      <w:r>
        <w:rPr>
          <w:rStyle w:val="NormalTok"/>
        </w:rPr>
        <w:t xml:space="preserve">, </w:t>
      </w:r>
      <w:r>
        <w:rPr>
          <w:rStyle w:val="DecValTok"/>
        </w:rPr>
        <w:t xml:space="preserve">55</w:t>
      </w:r>
      <w:r>
        <w:rPr>
          <w:rStyle w:val="NormalTok"/>
        </w:rPr>
        <w:t xml:space="preserve">])</w:t>
      </w:r>
      <w:r>
        <w:br/>
      </w:r>
      <w:r>
        <w:rPr>
          <w:rStyle w:val="BuiltInTok"/>
        </w:rPr>
        <w:t xml:space="preserve">print</w:t>
      </w:r>
      <w:r>
        <w:rPr>
          <w:rStyle w:val="NormalTok"/>
        </w:rPr>
        <w:t xml:space="preserve">({</w:t>
      </w:r>
      <w:r>
        <w:br/>
      </w:r>
      <w:r>
        <w:rPr>
          <w:rStyle w:val="NormalTok"/>
        </w:rPr>
        <w:t xml:space="preserve">    </w:t>
      </w:r>
      <w:r>
        <w:rPr>
          <w:rStyle w:val="StringTok"/>
        </w:rPr>
        <w:t xml:space="preserve">"mean"</w:t>
      </w:r>
      <w:r>
        <w:rPr>
          <w:rStyle w:val="NormalTok"/>
        </w:rPr>
        <w:t xml:space="preserve">: x.mean(),</w:t>
      </w:r>
      <w:r>
        <w:br/>
      </w:r>
      <w:r>
        <w:rPr>
          <w:rStyle w:val="NormalTok"/>
        </w:rPr>
        <w:t xml:space="preserve">    </w:t>
      </w:r>
      <w:r>
        <w:rPr>
          <w:rStyle w:val="StringTok"/>
        </w:rPr>
        <w:t xml:space="preserve">"median"</w:t>
      </w:r>
      <w:r>
        <w:rPr>
          <w:rStyle w:val="NormalTok"/>
        </w:rPr>
        <w:t xml:space="preserve">: x.median(),</w:t>
      </w:r>
      <w:r>
        <w:br/>
      </w:r>
      <w:r>
        <w:rPr>
          <w:rStyle w:val="NormalTok"/>
        </w:rPr>
        <w:t xml:space="preserve">    </w:t>
      </w:r>
      <w:r>
        <w:rPr>
          <w:rStyle w:val="StringTok"/>
        </w:rPr>
        <w:t xml:space="preserve">"std"</w:t>
      </w:r>
      <w:r>
        <w:rPr>
          <w:rStyle w:val="NormalTok"/>
        </w:rPr>
        <w:t xml:space="preserve">: x.std(),</w:t>
      </w:r>
      <w:r>
        <w:br/>
      </w:r>
      <w:r>
        <w:rPr>
          <w:rStyle w:val="NormalTok"/>
        </w:rPr>
        <w:t xml:space="preserve">    </w:t>
      </w:r>
      <w:r>
        <w:rPr>
          <w:rStyle w:val="StringTok"/>
        </w:rPr>
        <w:t xml:space="preserve">"iqr"</w:t>
      </w:r>
      <w:r>
        <w:rPr>
          <w:rStyle w:val="NormalTok"/>
        </w:rPr>
        <w:t xml:space="preserve">: stats.iqr(x),</w:t>
      </w:r>
      <w:r>
        <w:br/>
      </w:r>
      <w:r>
        <w:rPr>
          <w:rStyle w:val="NormalTok"/>
        </w:rPr>
        <w:t xml:space="preserve">})</w:t>
      </w:r>
    </w:p>
    <w:p>
      <w:pPr>
        <w:pStyle w:val="FirstParagraph"/>
      </w:pPr>
      <w:r>
        <w:rPr>
          <w:b/>
          <w:bCs/>
        </w:rPr>
        <w:t xml:space="preserve">Verified output</w:t>
      </w:r>
    </w:p>
    <w:p>
      <w:pPr>
        <w:pStyle w:val="SourceCode"/>
        <w:keepLines/>
        <w:shd w:fill="F6F8FA" w:val="clear"/>
      </w:pPr>
      <w:r>
        <w:rPr>
          <w:rStyle w:val="VerbatimChar"/>
        </w:rPr>
        <w:t xml:space="preserve">{'mean': np.float64(20.2), 'median': np.float64(12.0), 'std': np.float64(19.485892332659542), 'iqr': np.float64(2.0)}</w:t>
      </w:r>
    </w:p>
    <w:p>
      <w:pPr>
        <w:pStyle w:val="FirstParagraph"/>
      </w:pPr>
      <w:r>
        <w:rPr>
          <w:b/>
          <w:bCs/>
        </w:rPr>
        <w:t xml:space="preserve">Interpretation.</w:t>
      </w:r>
      <w:r>
        <w:t xml:space="preserve"> </w:t>
      </w:r>
      <w:r>
        <w:t xml:space="preserve">The extreme value pulls the mean and standard deviation upward, while the median and IQR remain close to the central cluster.</w:t>
      </w:r>
    </w:p>
    <w:bookmarkEnd w:id="246"/>
    <w:bookmarkStart w:id="247" w:name="demonstration-13.2-distribution-shape"/>
    <w:p>
      <w:pPr>
        <w:pStyle w:val="Heading3"/>
        <w:keepNext/>
      </w:pPr>
      <w:r>
        <w:rPr>
          <w:rStyle w:val="SectionNumber"/>
          <w:rFonts w:ascii="Noto Sans" w:hAnsi="Noto Sans" w:eastAsia="Noto Sans" w:cs="Noto Sans"/>
          <w:b/>
          <w:color w:val="0A2342"/>
          <w:sz w:val="23"/>
        </w:rPr>
        <w:t xml:space="preserve">13.6.2</w:t>
      </w:r>
      <w:r>
        <w:rPr>
          <w:rFonts w:ascii="Noto Sans" w:hAnsi="Noto Sans" w:eastAsia="Noto Sans" w:cs="Noto Sans"/>
          <w:b/>
          <w:color w:val="0A2342"/>
          <w:sz w:val="23"/>
        </w:rPr>
        <w:tab/>
      </w:r>
      <w:r>
        <w:rPr>
          <w:rFonts w:ascii="Noto Sans" w:hAnsi="Noto Sans" w:eastAsia="Noto Sans" w:cs="Noto Sans"/>
          <w:b/>
          <w:color w:val="0A2342"/>
          <w:sz w:val="23"/>
        </w:rPr>
        <w:t xml:space="preserve">Demonstration 13.2: Distribution shape</w:t>
      </w:r>
    </w:p>
    <w:p>
      <w:pPr>
        <w:pStyle w:val="SourceCode"/>
        <w:keepLines/>
        <w:shd w:fill="F6F8FA" w:val="clear"/>
      </w:pPr>
      <w:r>
        <w:rPr>
          <w:rStyle w:val="ImportTok"/>
        </w:rPr>
        <w:t xml:space="preserve">import</w:t>
      </w:r>
      <w:r>
        <w:rPr>
          <w:rStyle w:val="NormalTok"/>
        </w:rPr>
        <w:t xml:space="preserve"> numpy </w:t>
      </w:r>
      <w:r>
        <w:rPr>
          <w:rStyle w:val="ImportTok"/>
        </w:rPr>
        <w:t xml:space="preserve">as</w:t>
      </w:r>
      <w:r>
        <w:rPr>
          <w:rStyle w:val="NormalTok"/>
        </w:rPr>
        <w:t xml:space="preserve"> np</w:t>
      </w:r>
      <w:r>
        <w:br/>
      </w:r>
      <w:r>
        <w:rPr>
          <w:rStyle w:val="ImportTok"/>
        </w:rPr>
        <w:t xml:space="preserve">from</w:t>
      </w:r>
      <w:r>
        <w:rPr>
          <w:rStyle w:val="NormalTok"/>
        </w:rPr>
        <w:t xml:space="preserve"> scipy </w:t>
      </w:r>
      <w:r>
        <w:rPr>
          <w:rStyle w:val="ImportTok"/>
        </w:rPr>
        <w:t xml:space="preserve">import</w:t>
      </w:r>
      <w:r>
        <w:rPr>
          <w:rStyle w:val="NormalTok"/>
        </w:rPr>
        <w:t xml:space="preserve"> stats</w:t>
      </w:r>
      <w:r>
        <w:br/>
      </w:r>
      <w:r>
        <w:br/>
      </w:r>
      <w:r>
        <w:rPr>
          <w:rStyle w:val="NormalTok"/>
        </w:rPr>
        <w:t xml:space="preserve">rng </w:t>
      </w:r>
      <w:r>
        <w:rPr>
          <w:rStyle w:val="OperatorTok"/>
        </w:rPr>
        <w:t xml:space="preserve">=</w:t>
      </w:r>
      <w:r>
        <w:rPr>
          <w:rStyle w:val="NormalTok"/>
        </w:rPr>
        <w:t xml:space="preserve"> np.random.default_rng(</w:t>
      </w:r>
      <w:r>
        <w:rPr>
          <w:rStyle w:val="DecValTok"/>
        </w:rPr>
        <w:t xml:space="preserve">13</w:t>
      </w:r>
      <w:r>
        <w:rPr>
          <w:rStyle w:val="NormalTok"/>
        </w:rPr>
        <w:t xml:space="preserve">)</w:t>
      </w:r>
      <w:r>
        <w:br/>
      </w:r>
      <w:r>
        <w:rPr>
          <w:rStyle w:val="NormalTok"/>
        </w:rPr>
        <w:t xml:space="preserve">returns </w:t>
      </w:r>
      <w:r>
        <w:rPr>
          <w:rStyle w:val="OperatorTok"/>
        </w:rPr>
        <w:t xml:space="preserve">=</w:t>
      </w:r>
      <w:r>
        <w:rPr>
          <w:rStyle w:val="NormalTok"/>
        </w:rPr>
        <w:t xml:space="preserve"> rng.standard_t(df</w:t>
      </w:r>
      <w:r>
        <w:rPr>
          <w:rStyle w:val="OperatorTok"/>
        </w:rPr>
        <w:t xml:space="preserve">=</w:t>
      </w:r>
      <w:r>
        <w:rPr>
          <w:rStyle w:val="DecValTok"/>
        </w:rPr>
        <w:t xml:space="preserve">5</w:t>
      </w:r>
      <w:r>
        <w:rPr>
          <w:rStyle w:val="NormalTok"/>
        </w:rPr>
        <w:t xml:space="preserve">, size</w:t>
      </w:r>
      <w:r>
        <w:rPr>
          <w:rStyle w:val="OperatorTok"/>
        </w:rPr>
        <w:t xml:space="preserve">=</w:t>
      </w:r>
      <w:r>
        <w:rPr>
          <w:rStyle w:val="DecValTok"/>
        </w:rPr>
        <w:t xml:space="preserve">5_000</w:t>
      </w:r>
      <w:r>
        <w:rPr>
          <w:rStyle w:val="NormalTok"/>
        </w:rPr>
        <w:t xml:space="preserve">)</w:t>
      </w:r>
      <w:r>
        <w:br/>
      </w:r>
      <w:r>
        <w:rPr>
          <w:rStyle w:val="BuiltInTok"/>
        </w:rPr>
        <w:t xml:space="preserve">print</w:t>
      </w:r>
      <w:r>
        <w:rPr>
          <w:rStyle w:val="NormalTok"/>
        </w:rPr>
        <w:t xml:space="preserve">(</w:t>
      </w:r>
      <w:r>
        <w:rPr>
          <w:rStyle w:val="BuiltInTok"/>
        </w:rPr>
        <w:t xml:space="preserve">round</w:t>
      </w:r>
      <w:r>
        <w:rPr>
          <w:rStyle w:val="NormalTok"/>
        </w:rPr>
        <w:t xml:space="preserve">(stats.skew(returns), </w:t>
      </w:r>
      <w:r>
        <w:rPr>
          <w:rStyle w:val="DecValTok"/>
        </w:rPr>
        <w:t xml:space="preserve">3</w:t>
      </w:r>
      <w:r>
        <w:rPr>
          <w:rStyle w:val="NormalTok"/>
        </w:rPr>
        <w:t xml:space="preserve">))</w:t>
      </w:r>
      <w:r>
        <w:br/>
      </w:r>
      <w:r>
        <w:rPr>
          <w:rStyle w:val="BuiltInTok"/>
        </w:rPr>
        <w:t xml:space="preserve">print</w:t>
      </w:r>
      <w:r>
        <w:rPr>
          <w:rStyle w:val="NormalTok"/>
        </w:rPr>
        <w:t xml:space="preserve">(</w:t>
      </w:r>
      <w:r>
        <w:rPr>
          <w:rStyle w:val="BuiltInTok"/>
        </w:rPr>
        <w:t xml:space="preserve">round</w:t>
      </w:r>
      <w:r>
        <w:rPr>
          <w:rStyle w:val="NormalTok"/>
        </w:rPr>
        <w:t xml:space="preserve">(stats.kurtosis(returns, fisher</w:t>
      </w:r>
      <w:r>
        <w:rPr>
          <w:rStyle w:val="OperatorTok"/>
        </w:rPr>
        <w:t xml:space="preserve">=</w:t>
      </w:r>
      <w:r>
        <w:rPr>
          <w:rStyle w:val="VariableTok"/>
        </w:rPr>
        <w:t xml:space="preserve">True</w:t>
      </w:r>
      <w:r>
        <w:rPr>
          <w:rStyle w:val="NormalTok"/>
        </w:rPr>
        <w:t xml:space="preserve">), </w:t>
      </w:r>
      <w:r>
        <w:rPr>
          <w:rStyle w:val="DecValTok"/>
        </w:rPr>
        <w:t xml:space="preserve">3</w:t>
      </w:r>
      <w:r>
        <w:rPr>
          <w:rStyle w:val="NormalTok"/>
        </w:rPr>
        <w:t xml:space="preserve">))</w:t>
      </w:r>
    </w:p>
    <w:p>
      <w:pPr>
        <w:pStyle w:val="FirstParagraph"/>
      </w:pPr>
      <w:r>
        <w:rPr>
          <w:b/>
          <w:bCs/>
        </w:rPr>
        <w:t xml:space="preserve">Verified output</w:t>
      </w:r>
    </w:p>
    <w:p>
      <w:pPr>
        <w:pStyle w:val="SourceCode"/>
        <w:keepLines/>
        <w:shd w:fill="F6F8FA" w:val="clear"/>
      </w:pPr>
      <w:r>
        <w:rPr>
          <w:rStyle w:val="VerbatimChar"/>
        </w:rPr>
        <w:t xml:space="preserve">0.302</w:t>
      </w:r>
      <w:r>
        <w:br/>
      </w:r>
      <w:r>
        <w:rPr>
          <w:rStyle w:val="VerbatimChar"/>
        </w:rPr>
        <w:t xml:space="preserve">10.268</w:t>
      </w:r>
    </w:p>
    <w:p>
      <w:pPr>
        <w:pStyle w:val="FirstParagraph"/>
      </w:pPr>
      <w:r>
        <w:rPr>
          <w:b/>
          <w:bCs/>
        </w:rPr>
        <w:t xml:space="preserve">Interpretation.</w:t>
      </w:r>
      <w:r>
        <w:t xml:space="preserve"> </w:t>
      </w:r>
      <w:r>
        <w:t xml:space="preserve">The excess kurtosis is well above zero, consistent with heavier tails than a normal distribution.</w:t>
      </w:r>
    </w:p>
    <w:bookmarkEnd w:id="247"/>
    <w:bookmarkEnd w:id="248"/>
    <w:bookmarkStart w:id="255" w:name="visual-evidence-12"/>
    <w:p>
      <w:pPr>
        <w:pStyle w:val="Heading2"/>
        <w:keepNext/>
      </w:pPr>
      <w:r>
        <w:rPr>
          <w:rStyle w:val="SectionNumber"/>
          <w:rFonts w:ascii="Noto Sans" w:hAnsi="Noto Sans" w:eastAsia="Noto Sans" w:cs="Noto Sans"/>
          <w:b/>
          <w:color w:val="008F87"/>
          <w:sz w:val="29"/>
        </w:rPr>
        <w:t xml:space="preserve">13.7</w:t>
      </w:r>
      <w:r>
        <w:rPr>
          <w:rFonts w:ascii="Noto Sans" w:hAnsi="Noto Sans" w:eastAsia="Noto Sans" w:cs="Noto Sans"/>
          <w:b/>
          <w:color w:val="008F87"/>
          <w:sz w:val="29"/>
        </w:rPr>
        <w:tab/>
      </w:r>
      <w:r>
        <w:rPr>
          <w:rFonts w:ascii="Noto Sans" w:hAnsi="Noto Sans" w:eastAsia="Noto Sans" w:cs="Noto Sans"/>
          <w:b/>
          <w:color w:val="008F87"/>
          <w:sz w:val="29"/>
        </w:rPr>
        <w:t xml:space="preserve">Visual evidence</w:t>
      </w:r>
    </w:p>
    <w:p>
      <w:pPr>
        <w:pStyle w:val="FirstParagraph"/>
      </w:pPr>
      <w:r>
        <w:drawing>
          <wp:inline>
            <wp:extent cx="4907280" cy="3061485"/>
            <wp:effectExtent b="0" l="0" r="0" t="0"/>
            <wp:docPr descr="Image: rId249.png" title="" id="250" name="Picture"/>
            <a:graphic>
              <a:graphicData uri="http://schemas.openxmlformats.org/drawingml/2006/picture">
                <pic:pic>
                  <pic:nvPicPr>
                    <pic:cNvPr descr="figures/fig_13_heavy_tails.png" id="251" name="Picture"/>
                    <pic:cNvPicPr>
                      <a:picLocks noChangeArrowheads="1" noChangeAspect="1"/>
                    </pic:cNvPicPr>
                  </pic:nvPicPr>
                  <pic:blipFill>
                    <a:blip r:embed="rId249"/>
                    <a:stretch>
                      <a:fillRect/>
                    </a:stretch>
                  </pic:blipFill>
                  <pic:spPr bwMode="auto">
                    <a:xfrm>
                      <a:off x="0" y="0"/>
                      <a:ext cx="4907280" cy="3061485"/>
                    </a:xfrm>
                    <a:prstGeom prst="rect">
                      <a:avLst/>
                    </a:prstGeom>
                    <a:noFill/>
                    <a:ln w="9525">
                      <a:noFill/>
                      <a:headEnd/>
                      <a:tailEnd/>
                    </a:ln>
                  </pic:spPr>
                </pic:pic>
              </a:graphicData>
            </a:graphic>
          </wp:inline>
        </w:drawing>
      </w:r>
    </w:p>
    <w:p>
      <w:pPr>
        <w:pStyle w:val="Caption"/>
        <w:keepNext w:val="0"/>
        <w:jc w:val="center"/>
      </w:pPr>
      <w:r>
        <w:rPr>
          <w:b/>
          <w:bCs/>
        </w:rPr>
        <w:t xml:space="preserve">Figure 13.</w:t>
      </w:r>
      <w:r>
        <w:t xml:space="preserve"> </w:t>
      </w:r>
      <w:r>
        <w:t xml:space="preserve">Kernel-density estimates for normal and heavy-tailed samples.</w:t>
      </w:r>
    </w:p>
    <w:p>
      <w:pPr>
        <w:pStyle w:val="BodyText"/>
      </w:pPr>
      <w:r>
        <w:drawing>
          <wp:inline>
            <wp:extent cx="4907280" cy="3204450"/>
            <wp:effectExtent b="0" l="0" r="0" t="0"/>
            <wp:docPr descr="Image: rId252.png" title="" id="253" name="Picture"/>
            <a:graphic>
              <a:graphicData uri="http://schemas.openxmlformats.org/drawingml/2006/picture">
                <pic:pic>
                  <pic:nvPicPr>
                    <pic:cNvPr descr="figures/fig_14_sampling_distribution.png" id="254" name="Picture"/>
                    <pic:cNvPicPr>
                      <a:picLocks noChangeArrowheads="1" noChangeAspect="1"/>
                    </pic:cNvPicPr>
                  </pic:nvPicPr>
                  <pic:blipFill>
                    <a:blip r:embed="rId252"/>
                    <a:stretch>
                      <a:fillRect/>
                    </a:stretch>
                  </pic:blipFill>
                  <pic:spPr bwMode="auto">
                    <a:xfrm>
                      <a:off x="0" y="0"/>
                      <a:ext cx="4907280" cy="3204450"/>
                    </a:xfrm>
                    <a:prstGeom prst="rect">
                      <a:avLst/>
                    </a:prstGeom>
                    <a:noFill/>
                    <a:ln w="9525">
                      <a:noFill/>
                      <a:headEnd/>
                      <a:tailEnd/>
                    </a:ln>
                  </pic:spPr>
                </pic:pic>
              </a:graphicData>
            </a:graphic>
          </wp:inline>
        </w:drawing>
      </w:r>
    </w:p>
    <w:p>
      <w:pPr>
        <w:pStyle w:val="Caption"/>
        <w:keepNext w:val="0"/>
        <w:jc w:val="center"/>
      </w:pPr>
      <w:r>
        <w:rPr>
          <w:b/>
          <w:bCs/>
        </w:rPr>
        <w:t xml:space="preserve">Figure 14.</w:t>
      </w:r>
      <w:r>
        <w:t xml:space="preserve"> </w:t>
      </w:r>
      <w:r>
        <w:t xml:space="preserve">Distribution of 2,500 sample means, each based on 40 observations.</w:t>
      </w:r>
    </w:p>
    <w:bookmarkEnd w:id="255"/>
    <w:bookmarkStart w:id="256" w:name="reference-table-12"/>
    <w:p>
      <w:pPr>
        <w:pStyle w:val="Heading2"/>
        <w:keepNext/>
      </w:pPr>
      <w:r>
        <w:rPr>
          <w:rStyle w:val="SectionNumber"/>
          <w:rFonts w:ascii="Noto Sans" w:hAnsi="Noto Sans" w:eastAsia="Noto Sans" w:cs="Noto Sans"/>
          <w:b/>
          <w:color w:val="008F87"/>
          <w:sz w:val="29"/>
        </w:rPr>
        <w:t xml:space="preserve">13.8</w:t>
      </w:r>
      <w:r>
        <w:rPr>
          <w:rFonts w:ascii="Noto Sans" w:hAnsi="Noto Sans" w:eastAsia="Noto Sans" w:cs="Noto Sans"/>
          <w:b/>
          <w:color w:val="008F87"/>
          <w:sz w:val="29"/>
        </w:rPr>
        <w:tab/>
      </w:r>
      <w:r>
        <w:rPr>
          <w:rFonts w:ascii="Noto Sans" w:hAnsi="Noto Sans" w:eastAsia="Noto Sans" w:cs="Noto Sans"/>
          <w:b/>
          <w:color w:val="008F87"/>
          <w:sz w:val="29"/>
        </w:rPr>
        <w:t xml:space="preserve">Reference table</w:t>
      </w:r>
    </w:p>
    <w:p>
      <w:pPr>
        <w:pStyle w:val="Caption"/>
        <w:keepNext/>
        <w:jc w:val="center"/>
      </w:pPr>
      <w:r>
        <w:rPr>
          <w:b/>
          <w:bCs/>
        </w:rPr>
        <w:t xml:space="preserve">Table 13. Chapter reference.</w:t>
      </w:r>
    </w:p>
    <w:tbl>
      <w:tblPr>
        <w:tblStyle w:val="Table"/>
        <w:tblW w:type="auto" w:w="0"/>
        <w:jc w:val="center"/>
        <w:tblLayout w:type="autofit"/>
        <w:tblLook w:firstRow="1" w:lastRow="0" w:firstColumn="0" w:lastColumn="0" w:noHBand="0" w:noVBand="0" w:val="0020"/>
      </w:tblPr>
      <w:tblGrid>
        <w:gridCol w:w="2640"/>
        <w:gridCol w:w="2640"/>
        <w:gridCol w:w="2640"/>
      </w:tblGrid>
      <w:tr>
        <w:trPr>
          <w:tblHeader w:val="on"/>
          <w:tblHeader w:val="true"/>
          <w:cantSplit/>
        </w:trPr>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0A2342" w:val="clear"/>
          </w:tcPr>
          <w:p>
            <w:pPr>
              <w:pStyle w:val="Compact"/>
              <w:spacing w:before="30" w:after="30" w:line="240" w:lineRule="auto"/>
              <w:jc w:val="left"/>
            </w:pPr>
            <w:r>
              <w:rPr>
                <w:rFonts w:ascii="Noto Sans" w:hAnsi="Noto Sans" w:eastAsia="Noto Sans" w:cs="Noto Sans"/>
                <w:b/>
                <w:color w:val="FFFFFF"/>
                <w:sz w:val="16"/>
              </w:rPr>
              <w:t xml:space="preserve">Statistic</w:t>
            </w:r>
          </w:p>
        </w:tc>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0A2342" w:val="clear"/>
          </w:tcPr>
          <w:p>
            <w:pPr>
              <w:pStyle w:val="Compact"/>
              <w:spacing w:before="30" w:after="30" w:line="240" w:lineRule="auto"/>
              <w:jc w:val="left"/>
            </w:pPr>
            <w:r>
              <w:rPr>
                <w:rFonts w:ascii="Noto Sans" w:hAnsi="Noto Sans" w:eastAsia="Noto Sans" w:cs="Noto Sans"/>
                <w:b/>
                <w:color w:val="FFFFFF"/>
                <w:sz w:val="16"/>
              </w:rPr>
              <w:t xml:space="preserve">Sensitive to extremes?</w:t>
            </w:r>
          </w:p>
        </w:tc>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0A2342" w:val="clear"/>
          </w:tcPr>
          <w:p>
            <w:pPr>
              <w:pStyle w:val="Compact"/>
              <w:spacing w:before="30" w:after="30" w:line="240" w:lineRule="auto"/>
              <w:jc w:val="left"/>
            </w:pPr>
            <w:r>
              <w:rPr>
                <w:rFonts w:ascii="Noto Sans" w:hAnsi="Noto Sans" w:eastAsia="Noto Sans" w:cs="Noto Sans"/>
                <w:b/>
                <w:color w:val="FFFFFF"/>
                <w:sz w:val="16"/>
              </w:rPr>
              <w:t xml:space="preserve">Primary meaning</w:t>
            </w:r>
          </w:p>
        </w:tc>
      </w:tr>
      <w:tr>
        <w:trPr>
          <w:cantSplit/>
        </w:trPr>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EEF4F8" w:val="clear"/>
          </w:tcPr>
          <w:p>
            <w:pPr>
              <w:pStyle w:val="Compact"/>
              <w:spacing w:before="30" w:after="30" w:line="240" w:lineRule="auto"/>
              <w:jc w:val="left"/>
            </w:pPr>
            <w:r>
              <w:rPr>
                <w:rFonts w:ascii="Noto Sans" w:hAnsi="Noto Sans" w:eastAsia="Noto Sans" w:cs="Noto Sans"/>
                <w:b w:val="0"/>
                <w:color w:val="18212B"/>
                <w:sz w:val="16"/>
              </w:rPr>
              <w:t xml:space="preserve">mean</w:t>
            </w:r>
          </w:p>
        </w:tc>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EEF4F8" w:val="clear"/>
          </w:tcPr>
          <w:p>
            <w:pPr>
              <w:pStyle w:val="Compact"/>
              <w:spacing w:before="30" w:after="30" w:line="240" w:lineRule="auto"/>
              <w:jc w:val="left"/>
            </w:pPr>
            <w:r>
              <w:rPr>
                <w:rFonts w:ascii="Noto Sans" w:hAnsi="Noto Sans" w:eastAsia="Noto Sans" w:cs="Noto Sans"/>
                <w:b w:val="0"/>
                <w:color w:val="18212B"/>
                <w:sz w:val="16"/>
              </w:rPr>
              <w:t xml:space="preserve">Yes</w:t>
            </w:r>
          </w:p>
        </w:tc>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EEF4F8" w:val="clear"/>
          </w:tcPr>
          <w:p>
            <w:pPr>
              <w:pStyle w:val="Compact"/>
              <w:spacing w:before="30" w:after="30" w:line="240" w:lineRule="auto"/>
              <w:jc w:val="left"/>
            </w:pPr>
            <w:r>
              <w:rPr>
                <w:rFonts w:ascii="Noto Sans" w:hAnsi="Noto Sans" w:eastAsia="Noto Sans" w:cs="Noto Sans"/>
                <w:b w:val="0"/>
                <w:color w:val="18212B"/>
                <w:sz w:val="16"/>
              </w:rPr>
              <w:t xml:space="preserve">arithmetic centre</w:t>
            </w:r>
          </w:p>
        </w:tc>
      </w:tr>
      <w:tr>
        <w:trPr>
          <w:cantSplit/>
        </w:trPr>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FFFFFF" w:val="clear"/>
          </w:tcPr>
          <w:p>
            <w:pPr>
              <w:pStyle w:val="Compact"/>
              <w:spacing w:before="30" w:after="30" w:line="240" w:lineRule="auto"/>
              <w:jc w:val="left"/>
            </w:pPr>
            <w:r>
              <w:rPr>
                <w:rFonts w:ascii="Noto Sans" w:hAnsi="Noto Sans" w:eastAsia="Noto Sans" w:cs="Noto Sans"/>
                <w:b w:val="0"/>
                <w:color w:val="18212B"/>
                <w:sz w:val="16"/>
              </w:rPr>
              <w:t xml:space="preserve">median</w:t>
            </w:r>
          </w:p>
        </w:tc>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FFFFFF" w:val="clear"/>
          </w:tcPr>
          <w:p>
            <w:pPr>
              <w:pStyle w:val="Compact"/>
              <w:spacing w:before="30" w:after="30" w:line="240" w:lineRule="auto"/>
              <w:jc w:val="left"/>
            </w:pPr>
            <w:r>
              <w:rPr>
                <w:rFonts w:ascii="Noto Sans" w:hAnsi="Noto Sans" w:eastAsia="Noto Sans" w:cs="Noto Sans"/>
                <w:b w:val="0"/>
                <w:color w:val="18212B"/>
                <w:sz w:val="16"/>
              </w:rPr>
              <w:t xml:space="preserve">Less</w:t>
            </w:r>
          </w:p>
        </w:tc>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FFFFFF" w:val="clear"/>
          </w:tcPr>
          <w:p>
            <w:pPr>
              <w:pStyle w:val="Compact"/>
              <w:spacing w:before="30" w:after="30" w:line="240" w:lineRule="auto"/>
              <w:jc w:val="left"/>
            </w:pPr>
            <w:r>
              <w:rPr>
                <w:rFonts w:ascii="Noto Sans" w:hAnsi="Noto Sans" w:eastAsia="Noto Sans" w:cs="Noto Sans"/>
                <w:b w:val="0"/>
                <w:color w:val="18212B"/>
                <w:sz w:val="16"/>
              </w:rPr>
              <w:t xml:space="preserve">middle observation</w:t>
            </w:r>
          </w:p>
        </w:tc>
      </w:tr>
      <w:tr>
        <w:trPr>
          <w:cantSplit/>
        </w:trPr>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EEF4F8" w:val="clear"/>
          </w:tcPr>
          <w:p>
            <w:pPr>
              <w:pStyle w:val="Compact"/>
              <w:spacing w:before="30" w:after="30" w:line="240" w:lineRule="auto"/>
              <w:jc w:val="left"/>
            </w:pPr>
            <w:r>
              <w:rPr>
                <w:rFonts w:ascii="Noto Sans" w:hAnsi="Noto Sans" w:eastAsia="Noto Sans" w:cs="Noto Sans"/>
                <w:b w:val="0"/>
                <w:color w:val="18212B"/>
                <w:sz w:val="16"/>
              </w:rPr>
              <w:t xml:space="preserve">standard deviation</w:t>
            </w:r>
          </w:p>
        </w:tc>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EEF4F8" w:val="clear"/>
          </w:tcPr>
          <w:p>
            <w:pPr>
              <w:pStyle w:val="Compact"/>
              <w:spacing w:before="30" w:after="30" w:line="240" w:lineRule="auto"/>
              <w:jc w:val="left"/>
            </w:pPr>
            <w:r>
              <w:rPr>
                <w:rFonts w:ascii="Noto Sans" w:hAnsi="Noto Sans" w:eastAsia="Noto Sans" w:cs="Noto Sans"/>
                <w:b w:val="0"/>
                <w:color w:val="18212B"/>
                <w:sz w:val="16"/>
              </w:rPr>
              <w:t xml:space="preserve">Yes</w:t>
            </w:r>
          </w:p>
        </w:tc>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EEF4F8" w:val="clear"/>
          </w:tcPr>
          <w:p>
            <w:pPr>
              <w:pStyle w:val="Compact"/>
              <w:spacing w:before="30" w:after="30" w:line="240" w:lineRule="auto"/>
              <w:jc w:val="left"/>
            </w:pPr>
            <w:r>
              <w:rPr>
                <w:rFonts w:ascii="Noto Sans" w:hAnsi="Noto Sans" w:eastAsia="Noto Sans" w:cs="Noto Sans"/>
                <w:b w:val="0"/>
                <w:color w:val="18212B"/>
                <w:sz w:val="16"/>
              </w:rPr>
              <w:t xml:space="preserve">dispersion around mean</w:t>
            </w:r>
          </w:p>
        </w:tc>
      </w:tr>
      <w:tr>
        <w:trPr>
          <w:cantSplit/>
        </w:trPr>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FFFFFF" w:val="clear"/>
          </w:tcPr>
          <w:p>
            <w:pPr>
              <w:pStyle w:val="Compact"/>
              <w:spacing w:before="30" w:after="30" w:line="240" w:lineRule="auto"/>
              <w:jc w:val="left"/>
            </w:pPr>
            <w:r>
              <w:rPr>
                <w:rFonts w:ascii="Noto Sans" w:hAnsi="Noto Sans" w:eastAsia="Noto Sans" w:cs="Noto Sans"/>
                <w:b w:val="0"/>
                <w:color w:val="18212B"/>
                <w:sz w:val="16"/>
              </w:rPr>
              <w:t xml:space="preserve">IQR</w:t>
            </w:r>
          </w:p>
        </w:tc>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FFFFFF" w:val="clear"/>
          </w:tcPr>
          <w:p>
            <w:pPr>
              <w:pStyle w:val="Compact"/>
              <w:spacing w:before="30" w:after="30" w:line="240" w:lineRule="auto"/>
              <w:jc w:val="left"/>
            </w:pPr>
            <w:r>
              <w:rPr>
                <w:rFonts w:ascii="Noto Sans" w:hAnsi="Noto Sans" w:eastAsia="Noto Sans" w:cs="Noto Sans"/>
                <w:b w:val="0"/>
                <w:color w:val="18212B"/>
                <w:sz w:val="16"/>
              </w:rPr>
              <w:t xml:space="preserve">Less</w:t>
            </w:r>
          </w:p>
        </w:tc>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FFFFFF" w:val="clear"/>
          </w:tcPr>
          <w:p>
            <w:pPr>
              <w:pStyle w:val="Compact"/>
              <w:spacing w:before="30" w:after="30" w:line="240" w:lineRule="auto"/>
              <w:jc w:val="left"/>
            </w:pPr>
            <w:r>
              <w:rPr>
                <w:rFonts w:ascii="Noto Sans" w:hAnsi="Noto Sans" w:eastAsia="Noto Sans" w:cs="Noto Sans"/>
                <w:b w:val="0"/>
                <w:color w:val="18212B"/>
                <w:sz w:val="16"/>
              </w:rPr>
              <w:t xml:space="preserve">middle-half spread</w:t>
            </w:r>
          </w:p>
        </w:tc>
      </w:tr>
      <w:tr>
        <w:trPr>
          <w:cantSplit/>
        </w:trPr>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EEF4F8" w:val="clear"/>
          </w:tcPr>
          <w:p>
            <w:pPr>
              <w:pStyle w:val="Compact"/>
              <w:spacing w:before="30" w:after="30" w:line="240" w:lineRule="auto"/>
              <w:jc w:val="left"/>
            </w:pPr>
            <w:r>
              <w:rPr>
                <w:rFonts w:ascii="Noto Sans" w:hAnsi="Noto Sans" w:eastAsia="Noto Sans" w:cs="Noto Sans"/>
                <w:b w:val="0"/>
                <w:color w:val="18212B"/>
                <w:sz w:val="16"/>
              </w:rPr>
              <w:t xml:space="preserve">skewness</w:t>
            </w:r>
          </w:p>
        </w:tc>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EEF4F8" w:val="clear"/>
          </w:tcPr>
          <w:p>
            <w:pPr>
              <w:pStyle w:val="Compact"/>
              <w:spacing w:before="30" w:after="30" w:line="240" w:lineRule="auto"/>
              <w:jc w:val="left"/>
            </w:pPr>
            <w:r>
              <w:rPr>
                <w:rFonts w:ascii="Noto Sans" w:hAnsi="Noto Sans" w:eastAsia="Noto Sans" w:cs="Noto Sans"/>
                <w:b w:val="0"/>
                <w:color w:val="18212B"/>
                <w:sz w:val="16"/>
              </w:rPr>
              <w:t xml:space="preserve">Yes</w:t>
            </w:r>
          </w:p>
        </w:tc>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EEF4F8" w:val="clear"/>
          </w:tcPr>
          <w:p>
            <w:pPr>
              <w:pStyle w:val="Compact"/>
              <w:spacing w:before="30" w:after="30" w:line="240" w:lineRule="auto"/>
              <w:jc w:val="left"/>
            </w:pPr>
            <w:r>
              <w:rPr>
                <w:rFonts w:ascii="Noto Sans" w:hAnsi="Noto Sans" w:eastAsia="Noto Sans" w:cs="Noto Sans"/>
                <w:b w:val="0"/>
                <w:color w:val="18212B"/>
                <w:sz w:val="16"/>
              </w:rPr>
              <w:t xml:space="preserve">asymmetry</w:t>
            </w:r>
          </w:p>
        </w:tc>
      </w:tr>
      <w:tr>
        <w:trPr>
          <w:cantSplit/>
        </w:trPr>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FFFFFF" w:val="clear"/>
          </w:tcPr>
          <w:p>
            <w:pPr>
              <w:pStyle w:val="Compact"/>
              <w:spacing w:before="30" w:after="30" w:line="240" w:lineRule="auto"/>
              <w:jc w:val="left"/>
            </w:pPr>
            <w:r>
              <w:rPr>
                <w:rFonts w:ascii="Noto Sans" w:hAnsi="Noto Sans" w:eastAsia="Noto Sans" w:cs="Noto Sans"/>
                <w:b w:val="0"/>
                <w:color w:val="18212B"/>
                <w:sz w:val="16"/>
              </w:rPr>
              <w:t xml:space="preserve">excess kurtosis</w:t>
            </w:r>
          </w:p>
        </w:tc>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FFFFFF" w:val="clear"/>
          </w:tcPr>
          <w:p>
            <w:pPr>
              <w:pStyle w:val="Compact"/>
              <w:spacing w:before="30" w:after="30" w:line="240" w:lineRule="auto"/>
              <w:jc w:val="left"/>
            </w:pPr>
            <w:r>
              <w:rPr>
                <w:rFonts w:ascii="Noto Sans" w:hAnsi="Noto Sans" w:eastAsia="Noto Sans" w:cs="Noto Sans"/>
                <w:b w:val="0"/>
                <w:color w:val="18212B"/>
                <w:sz w:val="16"/>
              </w:rPr>
              <w:t xml:space="preserve">Very</w:t>
            </w:r>
          </w:p>
        </w:tc>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FFFFFF" w:val="clear"/>
          </w:tcPr>
          <w:p>
            <w:pPr>
              <w:pStyle w:val="Compact"/>
              <w:spacing w:before="30" w:after="30" w:line="240" w:lineRule="auto"/>
              <w:jc w:val="left"/>
            </w:pPr>
            <w:r>
              <w:rPr>
                <w:rFonts w:ascii="Noto Sans" w:hAnsi="Noto Sans" w:eastAsia="Noto Sans" w:cs="Noto Sans"/>
                <w:b w:val="0"/>
                <w:color w:val="18212B"/>
                <w:sz w:val="16"/>
              </w:rPr>
              <w:t xml:space="preserve">tail weight and peakedness</w:t>
            </w:r>
          </w:p>
        </w:tc>
      </w:tr>
    </w:tbl>
    <w:p>
      <w:pPr>
        <w:pStyle w:val="BlockText"/>
        <w:shd w:fill="EAF7F5" w:val="clear"/>
        <w:pBdr>
          <w:left w:val="single" w:sz="18" w:space="8" w:color="008F87"/>
        </w:pBdr>
      </w:pPr>
      <w:r>
        <w:rPr>
          <w:b/>
          <w:bCs/>
        </w:rPr>
        <w:t xml:space="preserve">Why This Matters</w:t>
      </w:r>
    </w:p>
    <w:p>
      <w:pPr>
        <w:pStyle w:val="BlockText"/>
        <w:shd w:fill="EAF7F5" w:val="clear"/>
        <w:pBdr>
          <w:left w:val="single" w:sz="18" w:space="8" w:color="008F87"/>
        </w:pBdr>
      </w:pPr>
      <w:r>
        <w:t xml:space="preserve">Exploration reveals which summaries, transformations, and models are plausible before formal estimation begins.</w:t>
      </w:r>
    </w:p>
    <w:p>
      <w:pPr>
        <w:pStyle w:val="BlockText"/>
        <w:shd w:fill="EAF7F5" w:val="clear"/>
        <w:pBdr>
          <w:left w:val="single" w:sz="18" w:space="8" w:color="008F87"/>
        </w:pBdr>
      </w:pPr>
      <w:r>
        <w:rPr>
          <w:b/>
          <w:bCs/>
        </w:rPr>
        <w:t xml:space="preserve">Common Mistake</w:t>
      </w:r>
    </w:p>
    <w:p>
      <w:pPr>
        <w:pStyle w:val="BlockText"/>
        <w:shd w:fill="EAF7F5" w:val="clear"/>
        <w:pBdr>
          <w:left w:val="single" w:sz="18" w:space="8" w:color="008F87"/>
        </w:pBdr>
      </w:pPr>
      <w:r>
        <w:t xml:space="preserve">Reporting correlation to three decimals without showing the scatterplot, subgroup structure, or time ordering.</w:t>
      </w:r>
    </w:p>
    <w:p>
      <w:pPr>
        <w:pStyle w:val="BlockText"/>
        <w:shd w:fill="EAF7F5" w:val="clear"/>
        <w:pBdr>
          <w:left w:val="single" w:sz="18" w:space="8" w:color="008F87"/>
        </w:pBdr>
      </w:pPr>
      <w:r>
        <w:rPr>
          <w:b/>
          <w:bCs/>
        </w:rPr>
        <w:t xml:space="preserve">Ceteris LAB Tip</w:t>
      </w:r>
    </w:p>
    <w:p>
      <w:pPr>
        <w:pStyle w:val="BlockText"/>
        <w:shd w:fill="EAF7F5" w:val="clear"/>
        <w:pBdr>
          <w:left w:val="single" w:sz="18" w:space="8" w:color="008F87"/>
        </w:pBdr>
      </w:pPr>
      <w:r>
        <w:t xml:space="preserve">Pair every important summary statistic with a plot that can reveal why it takes that value.</w:t>
      </w:r>
    </w:p>
    <w:p>
      <w:pPr>
        <w:pStyle w:val="BlockText"/>
        <w:shd w:fill="EAF7F5" w:val="clear"/>
        <w:pBdr>
          <w:left w:val="single" w:sz="18" w:space="8" w:color="008F87"/>
        </w:pBdr>
      </w:pPr>
      <w:r>
        <w:rPr>
          <w:b/>
          <w:bCs/>
        </w:rPr>
        <w:t xml:space="preserve">R-to-Python / Source Bridge</w:t>
      </w:r>
    </w:p>
    <w:p>
      <w:pPr>
        <w:pStyle w:val="BlockText"/>
        <w:shd w:fill="EAF7F5" w:val="clear"/>
        <w:pBdr>
          <w:left w:val="single" w:sz="18" w:space="8" w:color="008F87"/>
        </w:pBdr>
      </w:pPr>
      <w:r>
        <w:t xml:space="preserve">The source lecture on financial time series emphasized skewness, heavy tails, and dependence. This chapter preserves those foundations and adds explicit convention checks and robust alternatives</w:t>
      </w:r>
      <w:r>
        <w:t xml:space="preserve"> </w:t>
      </w:r>
      <w:r>
        <w:t xml:space="preserve">(Tsay 2013)</w:t>
      </w:r>
      <w:r>
        <w:t xml:space="preserve">.</w:t>
      </w:r>
    </w:p>
    <w:bookmarkEnd w:id="256"/>
    <w:bookmarkStart w:id="257" w:name="guided-practice-12"/>
    <w:p>
      <w:pPr>
        <w:pStyle w:val="Heading2"/>
        <w:keepNext/>
      </w:pPr>
      <w:r>
        <w:rPr>
          <w:rStyle w:val="SectionNumber"/>
          <w:rFonts w:ascii="Noto Sans" w:hAnsi="Noto Sans" w:eastAsia="Noto Sans" w:cs="Noto Sans"/>
          <w:b/>
          <w:color w:val="008F87"/>
          <w:sz w:val="29"/>
        </w:rPr>
        <w:t xml:space="preserve">13.9</w:t>
      </w:r>
      <w:r>
        <w:rPr>
          <w:rFonts w:ascii="Noto Sans" w:hAnsi="Noto Sans" w:eastAsia="Noto Sans" w:cs="Noto Sans"/>
          <w:b/>
          <w:color w:val="008F87"/>
          <w:sz w:val="29"/>
        </w:rPr>
        <w:tab/>
      </w:r>
      <w:r>
        <w:rPr>
          <w:rFonts w:ascii="Noto Sans" w:hAnsi="Noto Sans" w:eastAsia="Noto Sans" w:cs="Noto Sans"/>
          <w:b/>
          <w:color w:val="008F87"/>
          <w:sz w:val="29"/>
        </w:rPr>
        <w:t xml:space="preserve">Guided practice</w:t>
      </w:r>
    </w:p>
    <w:p>
      <w:pPr>
        <w:pStyle w:val="Compact"/>
        <w:numPr>
          <w:ilvl w:val="0"/>
          <w:numId w:val="1052"/>
        </w:numPr>
      </w:pPr>
      <w:r>
        <w:t xml:space="preserve">Re-run Demonstration 13.1 and change one input while keeping the analytical question fixed.</w:t>
      </w:r>
    </w:p>
    <w:p>
      <w:pPr>
        <w:pStyle w:val="Compact"/>
        <w:numPr>
          <w:ilvl w:val="0"/>
          <w:numId w:val="1052"/>
        </w:numPr>
      </w:pPr>
      <w:r>
        <w:t xml:space="preserve">Explain in two sentences how the output supports, or fails to support, the chapter opening question.</w:t>
      </w:r>
    </w:p>
    <w:p>
      <w:pPr>
        <w:pStyle w:val="Compact"/>
        <w:numPr>
          <w:ilvl w:val="0"/>
          <w:numId w:val="1052"/>
        </w:numPr>
      </w:pPr>
      <w:r>
        <w:t xml:space="preserve">Add one validation check that would prevent a plausible error.</w:t>
      </w:r>
    </w:p>
    <w:bookmarkEnd w:id="257"/>
    <w:bookmarkStart w:id="258" w:name="exercises-12"/>
    <w:p>
      <w:pPr>
        <w:pStyle w:val="Heading2"/>
        <w:keepNext/>
      </w:pPr>
      <w:r>
        <w:rPr>
          <w:rStyle w:val="SectionNumber"/>
          <w:rFonts w:ascii="Noto Sans" w:hAnsi="Noto Sans" w:eastAsia="Noto Sans" w:cs="Noto Sans"/>
          <w:b/>
          <w:color w:val="008F87"/>
          <w:sz w:val="29"/>
        </w:rPr>
        <w:t xml:space="preserve">13.10</w:t>
      </w:r>
      <w:r>
        <w:rPr>
          <w:rFonts w:ascii="Noto Sans" w:hAnsi="Noto Sans" w:eastAsia="Noto Sans" w:cs="Noto Sans"/>
          <w:b/>
          <w:color w:val="008F87"/>
          <w:sz w:val="29"/>
        </w:rPr>
        <w:tab/>
      </w:r>
      <w:r>
        <w:rPr>
          <w:rFonts w:ascii="Noto Sans" w:hAnsi="Noto Sans" w:eastAsia="Noto Sans" w:cs="Noto Sans"/>
          <w:b/>
          <w:color w:val="008F87"/>
          <w:sz w:val="29"/>
        </w:rPr>
        <w:t xml:space="preserve">Exercises</w:t>
      </w:r>
    </w:p>
    <w:p>
      <w:pPr>
        <w:pStyle w:val="Compact"/>
        <w:numPr>
          <w:ilvl w:val="0"/>
          <w:numId w:val="1053"/>
        </w:numPr>
      </w:pPr>
      <w:r>
        <w:t xml:space="preserve">Compare mean and median in a skewed sample.</w:t>
      </w:r>
    </w:p>
    <w:p>
      <w:pPr>
        <w:pStyle w:val="Compact"/>
        <w:numPr>
          <w:ilvl w:val="0"/>
          <w:numId w:val="1053"/>
        </w:numPr>
      </w:pPr>
      <w:r>
        <w:t xml:space="preserve">Calculate Fisher and Pearson kurtosis and explain the difference.</w:t>
      </w:r>
    </w:p>
    <w:p>
      <w:pPr>
        <w:pStyle w:val="Compact"/>
        <w:numPr>
          <w:ilvl w:val="0"/>
          <w:numId w:val="1053"/>
        </w:numPr>
      </w:pPr>
      <w:r>
        <w:t xml:space="preserve">Compare Pearson and Spearman correlations.</w:t>
      </w:r>
    </w:p>
    <w:p>
      <w:pPr>
        <w:pStyle w:val="Compact"/>
        <w:numPr>
          <w:ilvl w:val="0"/>
          <w:numId w:val="1053"/>
        </w:numPr>
      </w:pPr>
      <w:r>
        <w:t xml:space="preserve">Build a grouped descriptive-statistics table.</w:t>
      </w:r>
    </w:p>
    <w:bookmarkEnd w:id="258"/>
    <w:bookmarkStart w:id="259" w:name="chapter-summary-12"/>
    <w:p>
      <w:pPr>
        <w:pStyle w:val="Heading2"/>
        <w:keepNext/>
      </w:pPr>
      <w:r>
        <w:rPr>
          <w:rStyle w:val="SectionNumber"/>
          <w:rFonts w:ascii="Noto Sans" w:hAnsi="Noto Sans" w:eastAsia="Noto Sans" w:cs="Noto Sans"/>
          <w:b/>
          <w:color w:val="008F87"/>
          <w:sz w:val="29"/>
        </w:rPr>
        <w:t xml:space="preserve">13.11</w:t>
      </w:r>
      <w:r>
        <w:rPr>
          <w:rFonts w:ascii="Noto Sans" w:hAnsi="Noto Sans" w:eastAsia="Noto Sans" w:cs="Noto Sans"/>
          <w:b/>
          <w:color w:val="008F87"/>
          <w:sz w:val="29"/>
        </w:rPr>
        <w:tab/>
      </w:r>
      <w:r>
        <w:rPr>
          <w:rFonts w:ascii="Noto Sans" w:hAnsi="Noto Sans" w:eastAsia="Noto Sans" w:cs="Noto Sans"/>
          <w:b/>
          <w:color w:val="008F87"/>
          <w:sz w:val="29"/>
        </w:rPr>
        <w:t xml:space="preserve">Chapter summary</w:t>
      </w:r>
    </w:p>
    <w:p>
      <w:pPr>
        <w:pStyle w:val="Compact"/>
        <w:numPr>
          <w:ilvl w:val="0"/>
          <w:numId w:val="1054"/>
        </w:numPr>
      </w:pPr>
      <w:r>
        <w:t xml:space="preserve">Location, spread, shape, and dependence describe different features.</w:t>
      </w:r>
    </w:p>
    <w:p>
      <w:pPr>
        <w:pStyle w:val="Compact"/>
        <w:numPr>
          <w:ilvl w:val="0"/>
          <w:numId w:val="1054"/>
        </w:numPr>
      </w:pPr>
      <w:r>
        <w:t xml:space="preserve">Robust statistics reduce sensitivity to extremes.</w:t>
      </w:r>
    </w:p>
    <w:p>
      <w:pPr>
        <w:pStyle w:val="Compact"/>
        <w:numPr>
          <w:ilvl w:val="0"/>
          <w:numId w:val="1054"/>
        </w:numPr>
      </w:pPr>
      <w:r>
        <w:t xml:space="preserve">Financial returns frequently require heavy-tail diagnostics.</w:t>
      </w:r>
    </w:p>
    <w:bookmarkEnd w:id="259"/>
    <w:bookmarkStart w:id="260" w:name="key-python-commands-12"/>
    <w:p>
      <w:pPr>
        <w:pStyle w:val="Heading2"/>
        <w:keepNext/>
      </w:pPr>
      <w:r>
        <w:rPr>
          <w:rStyle w:val="SectionNumber"/>
          <w:rFonts w:ascii="Noto Sans" w:hAnsi="Noto Sans" w:eastAsia="Noto Sans" w:cs="Noto Sans"/>
          <w:b/>
          <w:color w:val="008F87"/>
          <w:sz w:val="29"/>
        </w:rPr>
        <w:t xml:space="preserve">13.12</w:t>
      </w:r>
      <w:r>
        <w:rPr>
          <w:rFonts w:ascii="Noto Sans" w:hAnsi="Noto Sans" w:eastAsia="Noto Sans" w:cs="Noto Sans"/>
          <w:b/>
          <w:color w:val="008F87"/>
          <w:sz w:val="29"/>
        </w:rPr>
        <w:tab/>
      </w:r>
      <w:r>
        <w:rPr>
          <w:rFonts w:ascii="Noto Sans" w:hAnsi="Noto Sans" w:eastAsia="Noto Sans" w:cs="Noto Sans"/>
          <w:b/>
          <w:color w:val="008F87"/>
          <w:sz w:val="29"/>
        </w:rPr>
        <w:t xml:space="preserve">Key Python commands</w:t>
      </w:r>
    </w:p>
    <w:p>
      <w:pPr>
        <w:pStyle w:val="SourceCode"/>
        <w:keepLines/>
        <w:shd w:fill="F6F8FA" w:val="clear"/>
      </w:pPr>
      <w:r>
        <w:rPr>
          <w:rStyle w:val="ImportTok"/>
        </w:rPr>
        <w:t xml:space="preserve">import</w:t>
      </w:r>
      <w:r>
        <w:rPr>
          <w:rStyle w:val="NormalTok"/>
        </w:rPr>
        <w:t xml:space="preserve"> pandas </w:t>
      </w:r>
      <w:r>
        <w:rPr>
          <w:rStyle w:val="ImportTok"/>
        </w:rPr>
        <w:t xml:space="preserve">as</w:t>
      </w:r>
      <w:r>
        <w:rPr>
          <w:rStyle w:val="NormalTok"/>
        </w:rPr>
        <w:t xml:space="preserve"> pd</w:t>
      </w:r>
      <w:r>
        <w:br/>
      </w:r>
      <w:r>
        <w:rPr>
          <w:rStyle w:val="ImportTok"/>
        </w:rPr>
        <w:t xml:space="preserve">from</w:t>
      </w:r>
      <w:r>
        <w:rPr>
          <w:rStyle w:val="NormalTok"/>
        </w:rPr>
        <w:t xml:space="preserve"> scipy </w:t>
      </w:r>
      <w:r>
        <w:rPr>
          <w:rStyle w:val="ImportTok"/>
        </w:rPr>
        <w:t xml:space="preserve">import</w:t>
      </w:r>
      <w:r>
        <w:rPr>
          <w:rStyle w:val="NormalTok"/>
        </w:rPr>
        <w:t xml:space="preserve"> stats</w:t>
      </w:r>
      <w:r>
        <w:br/>
      </w:r>
      <w:r>
        <w:rPr>
          <w:rStyle w:val="NormalTok"/>
        </w:rPr>
        <w:t xml:space="preserve">x </w:t>
      </w:r>
      <w:r>
        <w:rPr>
          <w:rStyle w:val="OperatorTok"/>
        </w:rPr>
        <w:t xml:space="preserve">=</w:t>
      </w:r>
      <w:r>
        <w:rPr>
          <w:rStyle w:val="NormalTok"/>
        </w:rPr>
        <w:t xml:space="preserve"> pd.Series([</w:t>
      </w:r>
      <w:r>
        <w:rPr>
          <w:rStyle w:val="DecValTok"/>
        </w:rPr>
        <w:t xml:space="preserve">10</w:t>
      </w:r>
      <w:r>
        <w:rPr>
          <w:rStyle w:val="NormalTok"/>
        </w:rPr>
        <w:t xml:space="preserve">, </w:t>
      </w:r>
      <w:r>
        <w:rPr>
          <w:rStyle w:val="DecValTok"/>
        </w:rPr>
        <w:t xml:space="preserve">11</w:t>
      </w:r>
      <w:r>
        <w:rPr>
          <w:rStyle w:val="NormalTok"/>
        </w:rPr>
        <w:t xml:space="preserve">, </w:t>
      </w:r>
      <w:r>
        <w:rPr>
          <w:rStyle w:val="DecValTok"/>
        </w:rPr>
        <w:t xml:space="preserve">12</w:t>
      </w:r>
      <w:r>
        <w:rPr>
          <w:rStyle w:val="NormalTok"/>
        </w:rPr>
        <w:t xml:space="preserve">, </w:t>
      </w:r>
      <w:r>
        <w:rPr>
          <w:rStyle w:val="DecValTok"/>
        </w:rPr>
        <w:t xml:space="preserve">13</w:t>
      </w:r>
      <w:r>
        <w:rPr>
          <w:rStyle w:val="NormalTok"/>
        </w:rPr>
        <w:t xml:space="preserve">, </w:t>
      </w:r>
      <w:r>
        <w:rPr>
          <w:rStyle w:val="DecValTok"/>
        </w:rPr>
        <w:t xml:space="preserve">55</w:t>
      </w:r>
      <w:r>
        <w:rPr>
          <w:rStyle w:val="NormalTok"/>
        </w:rPr>
        <w:t xml:space="preserve">])</w:t>
      </w:r>
      <w:r>
        <w:br/>
      </w:r>
      <w:r>
        <w:rPr>
          <w:rStyle w:val="BuiltInTok"/>
        </w:rPr>
        <w:t xml:space="preserve">print</w:t>
      </w:r>
      <w:r>
        <w:rPr>
          <w:rStyle w:val="NormalTok"/>
        </w:rPr>
        <w:t xml:space="preserve">({</w:t>
      </w:r>
      <w:r>
        <w:br/>
      </w:r>
      <w:r>
        <w:rPr>
          <w:rStyle w:val="StringTok"/>
        </w:rPr>
        <w:t xml:space="preserve">"mean"</w:t>
      </w:r>
      <w:r>
        <w:rPr>
          <w:rStyle w:val="NormalTok"/>
        </w:rPr>
        <w:t xml:space="preserve">: x.mean(),</w:t>
      </w:r>
      <w:r>
        <w:br/>
      </w:r>
      <w:r>
        <w:rPr>
          <w:rStyle w:val="StringTok"/>
        </w:rPr>
        <w:t xml:space="preserve">"median"</w:t>
      </w:r>
      <w:r>
        <w:rPr>
          <w:rStyle w:val="NormalTok"/>
        </w:rPr>
        <w:t xml:space="preserve">: x.median(),</w:t>
      </w:r>
    </w:p>
    <w:bookmarkEnd w:id="260"/>
    <w:bookmarkEnd w:id="261"/>
    <w:bookmarkStart w:id="278" w:name="X36a45258e0dc04cf0fe1c7a76d51037813623c1"/>
    <w:p>
      <w:pPr>
        <w:pStyle w:val="Heading1"/>
        <w:keepNext/>
        <w:pageBreakBefore/>
      </w:pPr>
      <w:r>
        <w:rPr>
          <w:rStyle w:val="SectionNumber"/>
          <w:rFonts w:ascii="Noto Sans" w:hAnsi="Noto Sans" w:eastAsia="Noto Sans" w:cs="Noto Sans"/>
          <w:b/>
          <w:color w:val="0A2342"/>
          <w:sz w:val="43"/>
        </w:rPr>
        <w:t xml:space="preserve">14</w:t>
      </w:r>
      <w:r>
        <w:rPr>
          <w:rFonts w:ascii="Noto Sans" w:hAnsi="Noto Sans" w:eastAsia="Noto Sans" w:cs="Noto Sans"/>
          <w:b/>
          <w:color w:val="0A2342"/>
          <w:sz w:val="43"/>
        </w:rPr>
        <w:tab/>
      </w:r>
      <w:r>
        <w:rPr>
          <w:rFonts w:ascii="Noto Sans" w:hAnsi="Noto Sans" w:eastAsia="Noto Sans" w:cs="Noto Sans"/>
          <w:b/>
          <w:color w:val="0A2342"/>
          <w:sz w:val="43"/>
        </w:rPr>
        <w:t xml:space="preserve">Probability, Simulation, and Statistical Inference</w:t>
      </w:r>
    </w:p>
    <w:p>
      <w:pPr>
        <w:pStyle w:val="FirstParagraph"/>
      </w:pPr>
      <w:r>
        <w:rPr>
          <w:i/>
          <w:iCs/>
        </w:rPr>
        <w:t xml:space="preserve">Opening question:</w:t>
      </w:r>
      <w:r>
        <w:t xml:space="preserve"> </w:t>
      </w:r>
      <w:r>
        <w:rPr>
          <w:b/>
          <w:bCs/>
        </w:rPr>
        <w:t xml:space="preserve">How can uncertainty be represented, simulated, and summarized without pretending that one sample is the population?</w:t>
      </w:r>
    </w:p>
    <w:bookmarkStart w:id="262" w:name="learning-objectives-13"/>
    <w:p>
      <w:pPr>
        <w:pStyle w:val="Heading2"/>
        <w:keepNext/>
      </w:pPr>
      <w:r>
        <w:rPr>
          <w:rStyle w:val="SectionNumber"/>
          <w:rFonts w:ascii="Noto Sans" w:hAnsi="Noto Sans" w:eastAsia="Noto Sans" w:cs="Noto Sans"/>
          <w:b/>
          <w:color w:val="008F87"/>
          <w:sz w:val="29"/>
        </w:rPr>
        <w:t xml:space="preserve">14.1</w:t>
      </w:r>
      <w:r>
        <w:rPr>
          <w:rFonts w:ascii="Noto Sans" w:hAnsi="Noto Sans" w:eastAsia="Noto Sans" w:cs="Noto Sans"/>
          <w:b/>
          <w:color w:val="008F87"/>
          <w:sz w:val="29"/>
        </w:rPr>
        <w:tab/>
      </w:r>
      <w:r>
        <w:rPr>
          <w:rFonts w:ascii="Noto Sans" w:hAnsi="Noto Sans" w:eastAsia="Noto Sans" w:cs="Noto Sans"/>
          <w:b/>
          <w:color w:val="008F87"/>
          <w:sz w:val="29"/>
        </w:rPr>
        <w:t xml:space="preserve">Learning objectives</w:t>
      </w:r>
    </w:p>
    <w:p>
      <w:pPr>
        <w:pStyle w:val="Compact"/>
        <w:numPr>
          <w:ilvl w:val="0"/>
          <w:numId w:val="1055"/>
        </w:numPr>
      </w:pPr>
      <w:r>
        <w:t xml:space="preserve">Work with random variables and common distributions.</w:t>
      </w:r>
    </w:p>
    <w:p>
      <w:pPr>
        <w:pStyle w:val="Compact"/>
        <w:numPr>
          <w:ilvl w:val="0"/>
          <w:numId w:val="1055"/>
        </w:numPr>
      </w:pPr>
      <w:r>
        <w:t xml:space="preserve">Use Monte Carlo simulation.</w:t>
      </w:r>
    </w:p>
    <w:p>
      <w:pPr>
        <w:pStyle w:val="Compact"/>
        <w:numPr>
          <w:ilvl w:val="0"/>
          <w:numId w:val="1055"/>
        </w:numPr>
      </w:pPr>
      <w:r>
        <w:t xml:space="preserve">Explain sampling distributions and standard errors.</w:t>
      </w:r>
    </w:p>
    <w:p>
      <w:pPr>
        <w:pStyle w:val="Compact"/>
        <w:numPr>
          <w:ilvl w:val="0"/>
          <w:numId w:val="1055"/>
        </w:numPr>
      </w:pPr>
      <w:r>
        <w:t xml:space="preserve">Interpret confidence intervals, tests, and power.</w:t>
      </w:r>
    </w:p>
    <w:p>
      <w:pPr>
        <w:pStyle w:val="FirstParagraph"/>
      </w:pPr>
      <w:r>
        <w:rPr>
          <w:b/>
          <w:bCs/>
        </w:rPr>
        <w:t xml:space="preserve">Prerequisites:</w:t>
      </w:r>
      <w:r>
        <w:t xml:space="preserve"> </w:t>
      </w:r>
      <w:r>
        <w:t xml:space="preserve">Chapter 13 and basic algebra.</w:t>
      </w:r>
    </w:p>
    <w:p>
      <w:pPr>
        <w:pStyle w:val="BodyText"/>
      </w:pPr>
      <w:r>
        <w:rPr>
          <w:b/>
          <w:bCs/>
        </w:rPr>
        <w:t xml:space="preserve">Key terms:</w:t>
      </w:r>
      <w:r>
        <w:t xml:space="preserve"> </w:t>
      </w:r>
      <w:r>
        <w:t xml:space="preserve">random variable, distribution, Monte Carlo, standard error, confidence interval, p-value.</w:t>
      </w:r>
    </w:p>
    <w:bookmarkEnd w:id="262"/>
    <w:bookmarkStart w:id="263" w:name="X811917fad8d0c4dc129860012bd0020eefdd93a"/>
    <w:p>
      <w:pPr>
        <w:pStyle w:val="Heading2"/>
        <w:keepNext/>
      </w:pPr>
      <w:r>
        <w:rPr>
          <w:rStyle w:val="SectionNumber"/>
          <w:rFonts w:ascii="Noto Sans" w:hAnsi="Noto Sans" w:eastAsia="Noto Sans" w:cs="Noto Sans"/>
          <w:b/>
          <w:color w:val="008F87"/>
          <w:sz w:val="29"/>
        </w:rPr>
        <w:t xml:space="preserve">14.2</w:t>
      </w:r>
      <w:r>
        <w:rPr>
          <w:rFonts w:ascii="Noto Sans" w:hAnsi="Noto Sans" w:eastAsia="Noto Sans" w:cs="Noto Sans"/>
          <w:b/>
          <w:color w:val="008F87"/>
          <w:sz w:val="29"/>
        </w:rPr>
        <w:tab/>
      </w:r>
      <w:r>
        <w:rPr>
          <w:rFonts w:ascii="Noto Sans" w:hAnsi="Noto Sans" w:eastAsia="Noto Sans" w:cs="Noto Sans"/>
          <w:b/>
          <w:color w:val="008F87"/>
          <w:sz w:val="29"/>
        </w:rPr>
        <w:t xml:space="preserve">Probability describes a model of uncertainty</w:t>
      </w:r>
    </w:p>
    <w:p>
      <w:pPr>
        <w:pStyle w:val="FirstParagraph"/>
      </w:pPr>
      <w:r>
        <w:t xml:space="preserve">A probability distribution assigns relative plausibility to possible outcomes under stated assumptions. The normal distribution is useful for averages and measurement errors; the binomial for counts of successes; the Student-t for heavier-tailed standardized quantities; and the lognormal for positive multiplicative processes. Real data need not follow any textbook distribution exactly. A distribution is a working model whose implications should be checked.</w:t>
      </w:r>
    </w:p>
    <w:bookmarkEnd w:id="263"/>
    <w:bookmarkStart w:id="264" w:name="X7af4a7c05240b7c345f56db4e0e7c58d969957f"/>
    <w:p>
      <w:pPr>
        <w:pStyle w:val="Heading2"/>
        <w:keepNext/>
      </w:pPr>
      <w:r>
        <w:rPr>
          <w:rStyle w:val="SectionNumber"/>
          <w:rFonts w:ascii="Noto Sans" w:hAnsi="Noto Sans" w:eastAsia="Noto Sans" w:cs="Noto Sans"/>
          <w:b/>
          <w:color w:val="008F87"/>
          <w:sz w:val="29"/>
        </w:rPr>
        <w:t xml:space="preserve">14.3</w:t>
      </w:r>
      <w:r>
        <w:rPr>
          <w:rFonts w:ascii="Noto Sans" w:hAnsi="Noto Sans" w:eastAsia="Noto Sans" w:cs="Noto Sans"/>
          <w:b/>
          <w:color w:val="008F87"/>
          <w:sz w:val="29"/>
        </w:rPr>
        <w:tab/>
      </w:r>
      <w:r>
        <w:rPr>
          <w:rFonts w:ascii="Noto Sans" w:hAnsi="Noto Sans" w:eastAsia="Noto Sans" w:cs="Noto Sans"/>
          <w:b/>
          <w:color w:val="008F87"/>
          <w:sz w:val="29"/>
        </w:rPr>
        <w:t xml:space="preserve">Simulation turns assumptions into observable consequences</w:t>
      </w:r>
    </w:p>
    <w:p>
      <w:pPr>
        <w:pStyle w:val="FirstParagraph"/>
      </w:pPr>
      <w:r>
        <w:t xml:space="preserve">Monte Carlo simulation draws repeated outcomes from a model and approximates quantities that may be difficult to calculate analytically. The method supports option pricing, forecast intervals, power analysis, and risk measurement. More replications reduce simulation noise at a square-root rate, so ten times more computation does not produce ten times more precision. Seeds make examples repeatable; multiple seeds test whether a conclusion is fragile.</w:t>
      </w:r>
    </w:p>
    <w:bookmarkEnd w:id="264"/>
    <w:bookmarkStart w:id="265" w:name="X93202d334f73a1ad5499038a2fb3f2a835f80b6"/>
    <w:p>
      <w:pPr>
        <w:pStyle w:val="Heading2"/>
        <w:keepNext/>
      </w:pPr>
      <w:r>
        <w:rPr>
          <w:rStyle w:val="SectionNumber"/>
          <w:rFonts w:ascii="Noto Sans" w:hAnsi="Noto Sans" w:eastAsia="Noto Sans" w:cs="Noto Sans"/>
          <w:b/>
          <w:color w:val="008F87"/>
          <w:sz w:val="29"/>
        </w:rPr>
        <w:t xml:space="preserve">14.4</w:t>
      </w:r>
      <w:r>
        <w:rPr>
          <w:rFonts w:ascii="Noto Sans" w:hAnsi="Noto Sans" w:eastAsia="Noto Sans" w:cs="Noto Sans"/>
          <w:b/>
          <w:color w:val="008F87"/>
          <w:sz w:val="29"/>
        </w:rPr>
        <w:tab/>
      </w:r>
      <w:r>
        <w:rPr>
          <w:rFonts w:ascii="Noto Sans" w:hAnsi="Noto Sans" w:eastAsia="Noto Sans" w:cs="Noto Sans"/>
          <w:b/>
          <w:color w:val="008F87"/>
          <w:sz w:val="29"/>
        </w:rPr>
        <w:t xml:space="preserve">Inference concerns repeated-sample behaviour</w:t>
      </w:r>
    </w:p>
    <w:p>
      <w:pPr>
        <w:pStyle w:val="FirstParagraph"/>
      </w:pPr>
      <w:r>
        <w:t xml:space="preserve">A standard error estimates how a statistic would vary across hypothetical repeated samples. A confidence interval is constructed by a procedure with a long-run coverage property; it is not automatically a probability statement about a fixed parameter. A p-value measures compatibility between data and a null model, not the probability that the null is true. Statistical significance should be paired with effect size, uncertainty, design, and practical relevance.</w:t>
      </w:r>
    </w:p>
    <w:bookmarkEnd w:id="265"/>
    <w:bookmarkStart w:id="266" w:name="core-equations-2"/>
    <w:p>
      <w:pPr>
        <w:pStyle w:val="Heading2"/>
        <w:keepNext/>
      </w:pPr>
      <w:r>
        <w:rPr>
          <w:rStyle w:val="SectionNumber"/>
          <w:rFonts w:ascii="Noto Sans" w:hAnsi="Noto Sans" w:eastAsia="Noto Sans" w:cs="Noto Sans"/>
          <w:b/>
          <w:color w:val="008F87"/>
          <w:sz w:val="29"/>
        </w:rPr>
        <w:t xml:space="preserve">14.5</w:t>
      </w:r>
      <w:r>
        <w:rPr>
          <w:rFonts w:ascii="Noto Sans" w:hAnsi="Noto Sans" w:eastAsia="Noto Sans" w:cs="Noto Sans"/>
          <w:b/>
          <w:color w:val="008F87"/>
          <w:sz w:val="29"/>
        </w:rPr>
        <w:tab/>
      </w:r>
      <w:r>
        <w:rPr>
          <w:rFonts w:ascii="Noto Sans" w:hAnsi="Noto Sans" w:eastAsia="Noto Sans" w:cs="Noto Sans"/>
          <w:b/>
          <w:color w:val="008F87"/>
          <w:sz w:val="29"/>
        </w:rPr>
        <w:t xml:space="preserve">Core equations</w:t>
      </w:r>
    </w:p>
    <w:p>
      <w:pPr>
        <w:pStyle w:val="FirstParagraph"/>
      </w:pPr>
      <w:r>
        <w:rPr>
          <w:b/>
          <w:bCs/>
        </w:rPr>
        <w:t xml:space="preserve">Standard error of the mean</w:t>
      </w:r>
    </w:p>
    <w:p>
      <w:pPr>
        <w:pStyle w:val="BodyText"/>
      </w:pPr>
      <m:oMathPara>
        <m:oMathParaPr>
          <m:jc m:val="center"/>
        </m:oMathParaPr>
        <m:oMath>
          <m:r>
            <m:t>S</m:t>
          </m:r>
          <m:r>
            <m:t>E</m:t>
          </m:r>
          <m:d>
            <m:dPr>
              <m:begChr m:val="("/>
              <m:endChr m:val=")"/>
              <m:sepChr m:val=""/>
              <m:grow/>
            </m:dPr>
            <m:e>
              <m:acc>
                <m:accPr>
                  <m:chr m:val="‾"/>
                </m:accPr>
                <m:e>
                  <m:r>
                    <m:t>X</m:t>
                  </m:r>
                </m:e>
              </m:acc>
            </m:e>
          </m:d>
          <m:r>
            <m:rPr>
              <m:sty m:val="p"/>
            </m:rPr>
            <m:t>=</m:t>
          </m:r>
          <m:f>
            <m:fPr>
              <m:type m:val="bar"/>
            </m:fPr>
            <m:num>
              <m:r>
                <m:t>s</m:t>
              </m:r>
            </m:num>
            <m:den>
              <m:rad>
                <m:radPr>
                  <m:degHide m:val="on"/>
                </m:radPr>
                <m:deg/>
                <m:e>
                  <m:r>
                    <m:t>n</m:t>
                  </m:r>
                </m:e>
              </m:rad>
            </m:den>
          </m:f>
        </m:oMath>
      </m:oMathPara>
    </w:p>
    <w:p>
      <w:pPr>
        <w:pStyle w:val="FirstParagraph"/>
      </w:pPr>
      <w:r>
        <w:t xml:space="preserve">Under standard independent-sampling conditions, precision improves with the square root of sample size.</w:t>
      </w:r>
    </w:p>
    <w:bookmarkEnd w:id="266"/>
    <w:bookmarkStart w:id="269" w:name="python-demonstrations-13"/>
    <w:p>
      <w:pPr>
        <w:pStyle w:val="Heading2"/>
        <w:keepNext/>
      </w:pPr>
      <w:r>
        <w:rPr>
          <w:rStyle w:val="SectionNumber"/>
          <w:rFonts w:ascii="Noto Sans" w:hAnsi="Noto Sans" w:eastAsia="Noto Sans" w:cs="Noto Sans"/>
          <w:b/>
          <w:color w:val="008F87"/>
          <w:sz w:val="29"/>
        </w:rPr>
        <w:t xml:space="preserve">14.6</w:t>
      </w:r>
      <w:r>
        <w:rPr>
          <w:rFonts w:ascii="Noto Sans" w:hAnsi="Noto Sans" w:eastAsia="Noto Sans" w:cs="Noto Sans"/>
          <w:b/>
          <w:color w:val="008F87"/>
          <w:sz w:val="29"/>
        </w:rPr>
        <w:tab/>
      </w:r>
      <w:r>
        <w:rPr>
          <w:rFonts w:ascii="Noto Sans" w:hAnsi="Noto Sans" w:eastAsia="Noto Sans" w:cs="Noto Sans"/>
          <w:b/>
          <w:color w:val="008F87"/>
          <w:sz w:val="29"/>
        </w:rPr>
        <w:t xml:space="preserve">Python demonstrations</w:t>
      </w:r>
    </w:p>
    <w:bookmarkStart w:id="267" w:name="Xf87f7094a691f5598d37f1f6abe658833d03731"/>
    <w:p>
      <w:pPr>
        <w:pStyle w:val="Heading3"/>
        <w:keepNext/>
      </w:pPr>
      <w:r>
        <w:rPr>
          <w:rStyle w:val="SectionNumber"/>
          <w:rFonts w:ascii="Noto Sans" w:hAnsi="Noto Sans" w:eastAsia="Noto Sans" w:cs="Noto Sans"/>
          <w:b/>
          <w:color w:val="0A2342"/>
          <w:sz w:val="23"/>
        </w:rPr>
        <w:t xml:space="preserve">14.6.1</w:t>
      </w:r>
      <w:r>
        <w:rPr>
          <w:rFonts w:ascii="Noto Sans" w:hAnsi="Noto Sans" w:eastAsia="Noto Sans" w:cs="Noto Sans"/>
          <w:b/>
          <w:color w:val="0A2342"/>
          <w:sz w:val="23"/>
        </w:rPr>
        <w:tab/>
      </w:r>
      <w:r>
        <w:rPr>
          <w:rFonts w:ascii="Noto Sans" w:hAnsi="Noto Sans" w:eastAsia="Noto Sans" w:cs="Noto Sans"/>
          <w:b/>
          <w:color w:val="0A2342"/>
          <w:sz w:val="23"/>
        </w:rPr>
        <w:t xml:space="preserve">Demonstration 14.1: Monte Carlo estimate of a probability</w:t>
      </w:r>
    </w:p>
    <w:p>
      <w:pPr>
        <w:pStyle w:val="SourceCode"/>
        <w:keepLines/>
        <w:shd w:fill="F6F8FA" w:val="clear"/>
      </w:pPr>
      <w:r>
        <w:rPr>
          <w:rStyle w:val="ImportTok"/>
        </w:rPr>
        <w:t xml:space="preserve">import</w:t>
      </w:r>
      <w:r>
        <w:rPr>
          <w:rStyle w:val="NormalTok"/>
        </w:rPr>
        <w:t xml:space="preserve"> numpy </w:t>
      </w:r>
      <w:r>
        <w:rPr>
          <w:rStyle w:val="ImportTok"/>
        </w:rPr>
        <w:t xml:space="preserve">as</w:t>
      </w:r>
      <w:r>
        <w:rPr>
          <w:rStyle w:val="NormalTok"/>
        </w:rPr>
        <w:t xml:space="preserve"> np</w:t>
      </w:r>
      <w:r>
        <w:br/>
      </w:r>
      <w:r>
        <w:br/>
      </w:r>
      <w:r>
        <w:rPr>
          <w:rStyle w:val="NormalTok"/>
        </w:rPr>
        <w:t xml:space="preserve">rng </w:t>
      </w:r>
      <w:r>
        <w:rPr>
          <w:rStyle w:val="OperatorTok"/>
        </w:rPr>
        <w:t xml:space="preserve">=</w:t>
      </w:r>
      <w:r>
        <w:rPr>
          <w:rStyle w:val="NormalTok"/>
        </w:rPr>
        <w:t xml:space="preserve"> np.random.default_rng(</w:t>
      </w:r>
      <w:r>
        <w:rPr>
          <w:rStyle w:val="DecValTok"/>
        </w:rPr>
        <w:t xml:space="preserve">1401</w:t>
      </w:r>
      <w:r>
        <w:rPr>
          <w:rStyle w:val="NormalTok"/>
        </w:rPr>
        <w:t xml:space="preserve">)</w:t>
      </w:r>
      <w:r>
        <w:br/>
      </w:r>
      <w:r>
        <w:rPr>
          <w:rStyle w:val="NormalTok"/>
        </w:rPr>
        <w:t xml:space="preserve">draws </w:t>
      </w:r>
      <w:r>
        <w:rPr>
          <w:rStyle w:val="OperatorTok"/>
        </w:rPr>
        <w:t xml:space="preserve">=</w:t>
      </w:r>
      <w:r>
        <w:rPr>
          <w:rStyle w:val="NormalTok"/>
        </w:rPr>
        <w:t xml:space="preserve"> rng.normal(</w:t>
      </w:r>
      <w:r>
        <w:rPr>
          <w:rStyle w:val="DecValTok"/>
        </w:rPr>
        <w:t xml:space="preserve">0</w:t>
      </w:r>
      <w:r>
        <w:rPr>
          <w:rStyle w:val="NormalTok"/>
        </w:rPr>
        <w:t xml:space="preserve">, </w:t>
      </w:r>
      <w:r>
        <w:rPr>
          <w:rStyle w:val="DecValTok"/>
        </w:rPr>
        <w:t xml:space="preserve">1</w:t>
      </w:r>
      <w:r>
        <w:rPr>
          <w:rStyle w:val="NormalTok"/>
        </w:rPr>
        <w:t xml:space="preserve">, </w:t>
      </w:r>
      <w:r>
        <w:rPr>
          <w:rStyle w:val="DecValTok"/>
        </w:rPr>
        <w:t xml:space="preserve">100_000</w:t>
      </w:r>
      <w:r>
        <w:rPr>
          <w:rStyle w:val="NormalTok"/>
        </w:rPr>
        <w:t xml:space="preserve">)</w:t>
      </w:r>
      <w:r>
        <w:br/>
      </w:r>
      <w:r>
        <w:rPr>
          <w:rStyle w:val="NormalTok"/>
        </w:rPr>
        <w:t xml:space="preserve">probability </w:t>
      </w:r>
      <w:r>
        <w:rPr>
          <w:rStyle w:val="OperatorTok"/>
        </w:rPr>
        <w:t xml:space="preserve">=</w:t>
      </w:r>
      <w:r>
        <w:rPr>
          <w:rStyle w:val="NormalTok"/>
        </w:rPr>
        <w:t xml:space="preserve"> np.mean(draws </w:t>
      </w:r>
      <w:r>
        <w:rPr>
          <w:rStyle w:val="OperatorTok"/>
        </w:rPr>
        <w:t xml:space="preserve">&gt;</w:t>
      </w:r>
      <w:r>
        <w:rPr>
          <w:rStyle w:val="NormalTok"/>
        </w:rPr>
        <w:t xml:space="preserve"> </w:t>
      </w:r>
      <w:r>
        <w:rPr>
          <w:rStyle w:val="FloatTok"/>
        </w:rPr>
        <w:t xml:space="preserve">1.96</w:t>
      </w:r>
      <w:r>
        <w:rPr>
          <w:rStyle w:val="NormalTok"/>
        </w:rPr>
        <w:t xml:space="preserve">)</w:t>
      </w:r>
      <w:r>
        <w:br/>
      </w:r>
      <w:r>
        <w:rPr>
          <w:rStyle w:val="BuiltInTok"/>
        </w:rPr>
        <w:t xml:space="preserve">print</w:t>
      </w:r>
      <w:r>
        <w:rPr>
          <w:rStyle w:val="NormalTok"/>
        </w:rPr>
        <w:t xml:space="preserve">(</w:t>
      </w:r>
      <w:r>
        <w:rPr>
          <w:rStyle w:val="BuiltInTok"/>
        </w:rPr>
        <w:t xml:space="preserve">round</w:t>
      </w:r>
      <w:r>
        <w:rPr>
          <w:rStyle w:val="NormalTok"/>
        </w:rPr>
        <w:t xml:space="preserve">(probability, </w:t>
      </w:r>
      <w:r>
        <w:rPr>
          <w:rStyle w:val="DecValTok"/>
        </w:rPr>
        <w:t xml:space="preserve">4</w:t>
      </w:r>
      <w:r>
        <w:rPr>
          <w:rStyle w:val="NormalTok"/>
        </w:rPr>
        <w:t xml:space="preserve">))</w:t>
      </w:r>
    </w:p>
    <w:p>
      <w:pPr>
        <w:pStyle w:val="FirstParagraph"/>
      </w:pPr>
      <w:r>
        <w:rPr>
          <w:b/>
          <w:bCs/>
        </w:rPr>
        <w:t xml:space="preserve">Verified output</w:t>
      </w:r>
    </w:p>
    <w:p>
      <w:pPr>
        <w:pStyle w:val="SourceCode"/>
        <w:keepLines/>
        <w:shd w:fill="F6F8FA" w:val="clear"/>
      </w:pPr>
      <w:r>
        <w:rPr>
          <w:rStyle w:val="VerbatimChar"/>
        </w:rPr>
        <w:t xml:space="preserve">0.0249</w:t>
      </w:r>
    </w:p>
    <w:p>
      <w:pPr>
        <w:pStyle w:val="FirstParagraph"/>
      </w:pPr>
      <w:r>
        <w:rPr>
          <w:b/>
          <w:bCs/>
        </w:rPr>
        <w:t xml:space="preserve">Interpretation.</w:t>
      </w:r>
      <w:r>
        <w:t xml:space="preserve"> </w:t>
      </w:r>
      <w:r>
        <w:t xml:space="preserve">The estimate is close to the theoretical upper-tail probability of 0.025, with small Monte Carlo error.</w:t>
      </w:r>
    </w:p>
    <w:bookmarkEnd w:id="267"/>
    <w:bookmarkStart w:id="268" w:name="X53dc07626580266d38c34e3514b77158ec19403"/>
    <w:p>
      <w:pPr>
        <w:pStyle w:val="Heading3"/>
        <w:keepNext/>
      </w:pPr>
      <w:r>
        <w:rPr>
          <w:rStyle w:val="SectionNumber"/>
          <w:rFonts w:ascii="Noto Sans" w:hAnsi="Noto Sans" w:eastAsia="Noto Sans" w:cs="Noto Sans"/>
          <w:b/>
          <w:color w:val="0A2342"/>
          <w:sz w:val="23"/>
        </w:rPr>
        <w:t xml:space="preserve">14.6.2</w:t>
      </w:r>
      <w:r>
        <w:rPr>
          <w:rFonts w:ascii="Noto Sans" w:hAnsi="Noto Sans" w:eastAsia="Noto Sans" w:cs="Noto Sans"/>
          <w:b/>
          <w:color w:val="0A2342"/>
          <w:sz w:val="23"/>
        </w:rPr>
        <w:tab/>
      </w:r>
      <w:r>
        <w:rPr>
          <w:rFonts w:ascii="Noto Sans" w:hAnsi="Noto Sans" w:eastAsia="Noto Sans" w:cs="Noto Sans"/>
          <w:b/>
          <w:color w:val="0A2342"/>
          <w:sz w:val="23"/>
        </w:rPr>
        <w:t xml:space="preserve">Demonstration 14.2: A confidence interval for a mean</w:t>
      </w:r>
    </w:p>
    <w:p>
      <w:pPr>
        <w:pStyle w:val="SourceCode"/>
        <w:shd w:fill="F6F8FA" w:val="clear"/>
      </w:pPr>
      <w:r>
        <w:rPr>
          <w:rStyle w:val="ImportTok"/>
        </w:rPr>
        <w:t xml:space="preserve">import</w:t>
      </w:r>
      <w:r>
        <w:rPr>
          <w:rStyle w:val="NormalTok"/>
        </w:rPr>
        <w:t xml:space="preserve"> numpy </w:t>
      </w:r>
      <w:r>
        <w:rPr>
          <w:rStyle w:val="ImportTok"/>
        </w:rPr>
        <w:t xml:space="preserve">as</w:t>
      </w:r>
      <w:r>
        <w:rPr>
          <w:rStyle w:val="NormalTok"/>
        </w:rPr>
        <w:t xml:space="preserve"> np</w:t>
      </w:r>
      <w:r>
        <w:br/>
      </w:r>
      <w:r>
        <w:rPr>
          <w:rStyle w:val="ImportTok"/>
        </w:rPr>
        <w:t xml:space="preserve">from</w:t>
      </w:r>
      <w:r>
        <w:rPr>
          <w:rStyle w:val="NormalTok"/>
        </w:rPr>
        <w:t xml:space="preserve"> scipy </w:t>
      </w:r>
      <w:r>
        <w:rPr>
          <w:rStyle w:val="ImportTok"/>
        </w:rPr>
        <w:t xml:space="preserve">import</w:t>
      </w:r>
      <w:r>
        <w:rPr>
          <w:rStyle w:val="NormalTok"/>
        </w:rPr>
        <w:t xml:space="preserve"> stats</w:t>
      </w:r>
      <w:r>
        <w:br/>
      </w:r>
      <w:r>
        <w:br/>
      </w:r>
      <w:r>
        <w:rPr>
          <w:rStyle w:val="NormalTok"/>
        </w:rPr>
        <w:t xml:space="preserve">sample </w:t>
      </w:r>
      <w:r>
        <w:rPr>
          <w:rStyle w:val="OperatorTok"/>
        </w:rPr>
        <w:t xml:space="preserve">=</w:t>
      </w:r>
      <w:r>
        <w:rPr>
          <w:rStyle w:val="NormalTok"/>
        </w:rPr>
        <w:t xml:space="preserve"> np.array([</w:t>
      </w:r>
      <w:r>
        <w:rPr>
          <w:rStyle w:val="FloatTok"/>
        </w:rPr>
        <w:t xml:space="preserve">2.1</w:t>
      </w:r>
      <w:r>
        <w:rPr>
          <w:rStyle w:val="NormalTok"/>
        </w:rPr>
        <w:t xml:space="preserve">, </w:t>
      </w:r>
      <w:r>
        <w:rPr>
          <w:rStyle w:val="FloatTok"/>
        </w:rPr>
        <w:t xml:space="preserve">2.4</w:t>
      </w:r>
      <w:r>
        <w:rPr>
          <w:rStyle w:val="NormalTok"/>
        </w:rPr>
        <w:t xml:space="preserve">, </w:t>
      </w:r>
      <w:r>
        <w:rPr>
          <w:rStyle w:val="FloatTok"/>
        </w:rPr>
        <w:t xml:space="preserve">2.0</w:t>
      </w:r>
      <w:r>
        <w:rPr>
          <w:rStyle w:val="NormalTok"/>
        </w:rPr>
        <w:t xml:space="preserve">, </w:t>
      </w:r>
      <w:r>
        <w:rPr>
          <w:rStyle w:val="FloatTok"/>
        </w:rPr>
        <w:t xml:space="preserve">2.7</w:t>
      </w:r>
      <w:r>
        <w:rPr>
          <w:rStyle w:val="NormalTok"/>
        </w:rPr>
        <w:t xml:space="preserve">, </w:t>
      </w:r>
      <w:r>
        <w:rPr>
          <w:rStyle w:val="FloatTok"/>
        </w:rPr>
        <w:t xml:space="preserve">2.3</w:t>
      </w:r>
      <w:r>
        <w:rPr>
          <w:rStyle w:val="NormalTok"/>
        </w:rPr>
        <w:t xml:space="preserve">, </w:t>
      </w:r>
      <w:r>
        <w:rPr>
          <w:rStyle w:val="FloatTok"/>
        </w:rPr>
        <w:t xml:space="preserve">2.5</w:t>
      </w:r>
      <w:r>
        <w:rPr>
          <w:rStyle w:val="NormalTok"/>
        </w:rPr>
        <w:t xml:space="preserve">])</w:t>
      </w:r>
      <w:r>
        <w:br/>
      </w:r>
      <w:r>
        <w:rPr>
          <w:rStyle w:val="NormalTok"/>
        </w:rPr>
        <w:t xml:space="preserve">mean </w:t>
      </w:r>
      <w:r>
        <w:rPr>
          <w:rStyle w:val="OperatorTok"/>
        </w:rPr>
        <w:t xml:space="preserve">=</w:t>
      </w:r>
      <w:r>
        <w:rPr>
          <w:rStyle w:val="NormalTok"/>
        </w:rPr>
        <w:t xml:space="preserve"> sample.mean()</w:t>
      </w:r>
      <w:r>
        <w:br/>
      </w:r>
      <w:r>
        <w:rPr>
          <w:rStyle w:val="NormalTok"/>
        </w:rPr>
        <w:t xml:space="preserve">se </w:t>
      </w:r>
      <w:r>
        <w:rPr>
          <w:rStyle w:val="OperatorTok"/>
        </w:rPr>
        <w:t xml:space="preserve">=</w:t>
      </w:r>
      <w:r>
        <w:rPr>
          <w:rStyle w:val="NormalTok"/>
        </w:rPr>
        <w:t xml:space="preserve"> stats.sem(sample)</w:t>
      </w:r>
      <w:r>
        <w:br/>
      </w:r>
      <w:r>
        <w:rPr>
          <w:rStyle w:val="NormalTok"/>
        </w:rPr>
        <w:t xml:space="preserve">interval </w:t>
      </w:r>
      <w:r>
        <w:rPr>
          <w:rStyle w:val="OperatorTok"/>
        </w:rPr>
        <w:t xml:space="preserve">=</w:t>
      </w:r>
      <w:r>
        <w:rPr>
          <w:rStyle w:val="NormalTok"/>
        </w:rPr>
        <w:t xml:space="preserve"> stats.t.interval(</w:t>
      </w:r>
      <w:r>
        <w:rPr>
          <w:rStyle w:val="FloatTok"/>
        </w:rPr>
        <w:t xml:space="preserve">0.95</w:t>
      </w:r>
      <w:r>
        <w:rPr>
          <w:rStyle w:val="NormalTok"/>
        </w:rPr>
        <w:t xml:space="preserve">, df</w:t>
      </w:r>
      <w:r>
        <w:rPr>
          <w:rStyle w:val="OperatorTok"/>
        </w:rPr>
        <w:t xml:space="preserve">=</w:t>
      </w:r>
      <w:r>
        <w:rPr>
          <w:rStyle w:val="BuiltInTok"/>
        </w:rPr>
        <w:t xml:space="preserve">len</w:t>
      </w:r>
      <w:r>
        <w:rPr>
          <w:rStyle w:val="NormalTok"/>
        </w:rPr>
        <w:t xml:space="preserve">(sample)</w:t>
      </w:r>
      <w:r>
        <w:rPr>
          <w:rStyle w:val="OperatorTok"/>
        </w:rPr>
        <w:t xml:space="preserve">-</w:t>
      </w:r>
      <w:r>
        <w:rPr>
          <w:rStyle w:val="DecValTok"/>
        </w:rPr>
        <w:t xml:space="preserve">1</w:t>
      </w:r>
      <w:r>
        <w:rPr>
          <w:rStyle w:val="NormalTok"/>
        </w:rPr>
        <w:t xml:space="preserve">, loc</w:t>
      </w:r>
      <w:r>
        <w:rPr>
          <w:rStyle w:val="OperatorTok"/>
        </w:rPr>
        <w:t xml:space="preserve">=</w:t>
      </w:r>
      <w:r>
        <w:rPr>
          <w:rStyle w:val="NormalTok"/>
        </w:rPr>
        <w:t xml:space="preserve">mean, scale</w:t>
      </w:r>
      <w:r>
        <w:rPr>
          <w:rStyle w:val="OperatorTok"/>
        </w:rPr>
        <w:t xml:space="preserve">=</w:t>
      </w:r>
      <w:r>
        <w:rPr>
          <w:rStyle w:val="NormalTok"/>
        </w:rPr>
        <w:t xml:space="preserve">se)</w:t>
      </w:r>
      <w:r>
        <w:br/>
      </w:r>
      <w:r>
        <w:rPr>
          <w:rStyle w:val="BuiltInTok"/>
        </w:rPr>
        <w:t xml:space="preserve">print</w:t>
      </w:r>
      <w:r>
        <w:rPr>
          <w:rStyle w:val="NormalTok"/>
        </w:rPr>
        <w:t xml:space="preserve">(</w:t>
      </w:r>
      <w:r>
        <w:rPr>
          <w:rStyle w:val="BuiltInTok"/>
        </w:rPr>
        <w:t xml:space="preserve">round</w:t>
      </w:r>
      <w:r>
        <w:rPr>
          <w:rStyle w:val="NormalTok"/>
        </w:rPr>
        <w:t xml:space="preserve">(mean, </w:t>
      </w:r>
      <w:r>
        <w:rPr>
          <w:rStyle w:val="DecValTok"/>
        </w:rPr>
        <w:t xml:space="preserve">3</w:t>
      </w:r>
      <w:r>
        <w:rPr>
          <w:rStyle w:val="NormalTok"/>
        </w:rPr>
        <w:t xml:space="preserve">), </w:t>
      </w:r>
      <w:r>
        <w:rPr>
          <w:rStyle w:val="BuiltInTok"/>
        </w:rPr>
        <w:t xml:space="preserve">tuple</w:t>
      </w:r>
      <w:r>
        <w:rPr>
          <w:rStyle w:val="NormalTok"/>
        </w:rPr>
        <w:t xml:space="preserve">(</w:t>
      </w:r>
      <w:r>
        <w:rPr>
          <w:rStyle w:val="BuiltInTok"/>
        </w:rPr>
        <w:t xml:space="preserve">round</w:t>
      </w:r>
      <w:r>
        <w:rPr>
          <w:rStyle w:val="NormalTok"/>
        </w:rPr>
        <w:t xml:space="preserve">(v, </w:t>
      </w:r>
      <w:r>
        <w:rPr>
          <w:rStyle w:val="DecValTok"/>
        </w:rPr>
        <w:t xml:space="preserve">3</w:t>
      </w:r>
      <w:r>
        <w:rPr>
          <w:rStyle w:val="NormalTok"/>
        </w:rPr>
        <w:t xml:space="preserve">) </w:t>
      </w:r>
      <w:r>
        <w:rPr>
          <w:rStyle w:val="ControlFlowTok"/>
        </w:rPr>
        <w:t xml:space="preserve">for</w:t>
      </w:r>
      <w:r>
        <w:rPr>
          <w:rStyle w:val="NormalTok"/>
        </w:rPr>
        <w:t xml:space="preserve"> v </w:t>
      </w:r>
      <w:r>
        <w:rPr>
          <w:rStyle w:val="KeywordTok"/>
        </w:rPr>
        <w:t xml:space="preserve">in</w:t>
      </w:r>
      <w:r>
        <w:rPr>
          <w:rStyle w:val="NormalTok"/>
        </w:rPr>
        <w:t xml:space="preserve"> interval))</w:t>
      </w:r>
    </w:p>
    <w:p>
      <w:pPr>
        <w:pStyle w:val="FirstParagraph"/>
      </w:pPr>
      <w:r>
        <w:rPr>
          <w:b/>
          <w:bCs/>
        </w:rPr>
        <w:t xml:space="preserve">Verified output</w:t>
      </w:r>
    </w:p>
    <w:p>
      <w:pPr>
        <w:pStyle w:val="SourceCode"/>
        <w:keepLines/>
        <w:shd w:fill="F6F8FA" w:val="clear"/>
      </w:pPr>
      <w:r>
        <w:rPr>
          <w:rStyle w:val="VerbatimChar"/>
        </w:rPr>
        <w:t xml:space="preserve">2.333 (np.float64(2.062), np.float64(2.604))</w:t>
      </w:r>
    </w:p>
    <w:p>
      <w:pPr>
        <w:pStyle w:val="FirstParagraph"/>
      </w:pPr>
      <w:r>
        <w:rPr>
          <w:b/>
          <w:bCs/>
        </w:rPr>
        <w:t xml:space="preserve">Interpretation.</w:t>
      </w:r>
      <w:r>
        <w:t xml:space="preserve"> </w:t>
      </w:r>
      <w:r>
        <w:t xml:space="preserve">The interval is wider than a normal-based interval because the small sample uses a Student-t critical value.</w:t>
      </w:r>
    </w:p>
    <w:bookmarkEnd w:id="268"/>
    <w:bookmarkEnd w:id="269"/>
    <w:bookmarkStart w:id="272" w:name="visual-evidence-13"/>
    <w:p>
      <w:pPr>
        <w:pStyle w:val="Heading2"/>
        <w:keepNext/>
      </w:pPr>
      <w:r>
        <w:rPr>
          <w:rStyle w:val="SectionNumber"/>
          <w:rFonts w:ascii="Noto Sans" w:hAnsi="Noto Sans" w:eastAsia="Noto Sans" w:cs="Noto Sans"/>
          <w:b/>
          <w:color w:val="008F87"/>
          <w:sz w:val="29"/>
        </w:rPr>
        <w:t xml:space="preserve">14.7</w:t>
      </w:r>
      <w:r>
        <w:rPr>
          <w:rFonts w:ascii="Noto Sans" w:hAnsi="Noto Sans" w:eastAsia="Noto Sans" w:cs="Noto Sans"/>
          <w:b/>
          <w:color w:val="008F87"/>
          <w:sz w:val="29"/>
        </w:rPr>
        <w:tab/>
      </w:r>
      <w:r>
        <w:rPr>
          <w:rFonts w:ascii="Noto Sans" w:hAnsi="Noto Sans" w:eastAsia="Noto Sans" w:cs="Noto Sans"/>
          <w:b/>
          <w:color w:val="008F87"/>
          <w:sz w:val="29"/>
        </w:rPr>
        <w:t xml:space="preserve">Visual evidence</w:t>
      </w:r>
    </w:p>
    <w:p>
      <w:pPr>
        <w:pStyle w:val="FirstParagraph"/>
      </w:pPr>
      <w:r>
        <w:drawing>
          <wp:inline>
            <wp:extent cx="4907280" cy="3204450"/>
            <wp:effectExtent b="0" l="0" r="0" t="0"/>
            <wp:docPr descr="Image: rId252.png" title="" id="270" name="Picture"/>
            <a:graphic>
              <a:graphicData uri="http://schemas.openxmlformats.org/drawingml/2006/picture">
                <pic:pic>
                  <pic:nvPicPr>
                    <pic:cNvPr descr="figures/fig_14_sampling_distribution.png" id="271" name="Picture"/>
                    <pic:cNvPicPr>
                      <a:picLocks noChangeArrowheads="1" noChangeAspect="1"/>
                    </pic:cNvPicPr>
                  </pic:nvPicPr>
                  <pic:blipFill>
                    <a:blip r:embed="rId252"/>
                    <a:stretch>
                      <a:fillRect/>
                    </a:stretch>
                  </pic:blipFill>
                  <pic:spPr bwMode="auto">
                    <a:xfrm>
                      <a:off x="0" y="0"/>
                      <a:ext cx="4907280" cy="3204450"/>
                    </a:xfrm>
                    <a:prstGeom prst="rect">
                      <a:avLst/>
                    </a:prstGeom>
                    <a:noFill/>
                    <a:ln w="9525">
                      <a:noFill/>
                      <a:headEnd/>
                      <a:tailEnd/>
                    </a:ln>
                  </pic:spPr>
                </pic:pic>
              </a:graphicData>
            </a:graphic>
          </wp:inline>
        </w:drawing>
      </w:r>
    </w:p>
    <w:p>
      <w:pPr>
        <w:pStyle w:val="Caption"/>
        <w:keepNext w:val="0"/>
        <w:jc w:val="center"/>
      </w:pPr>
      <w:r>
        <w:rPr>
          <w:b/>
          <w:bCs/>
        </w:rPr>
        <w:t xml:space="preserve">Figure 14.</w:t>
      </w:r>
      <w:r>
        <w:t xml:space="preserve"> </w:t>
      </w:r>
      <w:r>
        <w:t xml:space="preserve">Distribution of 2,500 sample means, each based on 40 observations.</w:t>
      </w:r>
    </w:p>
    <w:bookmarkEnd w:id="272"/>
    <w:bookmarkStart w:id="273" w:name="reference-table-13"/>
    <w:p>
      <w:pPr>
        <w:pStyle w:val="Heading2"/>
        <w:keepNext/>
      </w:pPr>
      <w:r>
        <w:rPr>
          <w:rStyle w:val="SectionNumber"/>
          <w:rFonts w:ascii="Noto Sans" w:hAnsi="Noto Sans" w:eastAsia="Noto Sans" w:cs="Noto Sans"/>
          <w:b/>
          <w:color w:val="008F87"/>
          <w:sz w:val="29"/>
        </w:rPr>
        <w:t xml:space="preserve">14.8</w:t>
      </w:r>
      <w:r>
        <w:rPr>
          <w:rFonts w:ascii="Noto Sans" w:hAnsi="Noto Sans" w:eastAsia="Noto Sans" w:cs="Noto Sans"/>
          <w:b/>
          <w:color w:val="008F87"/>
          <w:sz w:val="29"/>
        </w:rPr>
        <w:tab/>
      </w:r>
      <w:r>
        <w:rPr>
          <w:rFonts w:ascii="Noto Sans" w:hAnsi="Noto Sans" w:eastAsia="Noto Sans" w:cs="Noto Sans"/>
          <w:b/>
          <w:color w:val="008F87"/>
          <w:sz w:val="29"/>
        </w:rPr>
        <w:t xml:space="preserve">Reference table</w:t>
      </w:r>
    </w:p>
    <w:p>
      <w:pPr>
        <w:pStyle w:val="Caption"/>
        <w:keepNext/>
        <w:jc w:val="center"/>
      </w:pPr>
      <w:r>
        <w:rPr>
          <w:b/>
          <w:bCs/>
        </w:rPr>
        <w:t xml:space="preserve">Table 14. Chapter reference.</w:t>
      </w:r>
    </w:p>
    <w:tbl>
      <w:tblPr>
        <w:tblStyle w:val="Table"/>
        <w:tblW w:type="pct" w:w="5000"/>
        <w:jc w:val="center"/>
        <w:tblLayout w:type="autofit"/>
        <w:tblLook w:firstRow="1" w:lastRow="0" w:firstColumn="0" w:lastColumn="0" w:noHBand="0" w:noVBand="0" w:val="0020"/>
      </w:tblPr>
      <w:tblGrid>
        <w:gridCol w:w="2640"/>
        <w:gridCol w:w="2640"/>
        <w:gridCol w:w="2640"/>
      </w:tblGrid>
      <w:tr>
        <w:trPr>
          <w:tblHeader w:val="on"/>
          <w:tblHeader w:val="true"/>
          <w:cantSplit/>
        </w:trPr>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0A2342" w:val="clear"/>
          </w:tcPr>
          <w:p>
            <w:pPr>
              <w:pStyle w:val="Compact"/>
              <w:spacing w:before="30" w:after="30" w:line="240" w:lineRule="auto"/>
              <w:jc w:val="left"/>
            </w:pPr>
            <w:r>
              <w:rPr>
                <w:rFonts w:ascii="Noto Sans" w:hAnsi="Noto Sans" w:eastAsia="Noto Sans" w:cs="Noto Sans"/>
                <w:b/>
                <w:color w:val="FFFFFF"/>
                <w:sz w:val="16"/>
              </w:rPr>
              <w:t xml:space="preserve">Quantity</w:t>
            </w:r>
          </w:p>
        </w:tc>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0A2342" w:val="clear"/>
          </w:tcPr>
          <w:p>
            <w:pPr>
              <w:pStyle w:val="Compact"/>
              <w:spacing w:before="30" w:after="30" w:line="240" w:lineRule="auto"/>
              <w:jc w:val="left"/>
            </w:pPr>
            <w:r>
              <w:rPr>
                <w:rFonts w:ascii="Noto Sans" w:hAnsi="Noto Sans" w:eastAsia="Noto Sans" w:cs="Noto Sans"/>
                <w:b/>
                <w:color w:val="FFFFFF"/>
                <w:sz w:val="16"/>
              </w:rPr>
              <w:t xml:space="preserve">What varies?</w:t>
            </w:r>
          </w:p>
        </w:tc>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0A2342" w:val="clear"/>
          </w:tcPr>
          <w:p>
            <w:pPr>
              <w:pStyle w:val="Compact"/>
              <w:spacing w:before="30" w:after="30" w:line="240" w:lineRule="auto"/>
              <w:jc w:val="left"/>
            </w:pPr>
            <w:r>
              <w:rPr>
                <w:rFonts w:ascii="Noto Sans" w:hAnsi="Noto Sans" w:eastAsia="Noto Sans" w:cs="Noto Sans"/>
                <w:b/>
                <w:color w:val="FFFFFF"/>
                <w:sz w:val="16"/>
              </w:rPr>
              <w:t xml:space="preserve">Interpretation</w:t>
            </w:r>
          </w:p>
        </w:tc>
      </w:tr>
      <w:tr>
        <w:trPr>
          <w:cantSplit/>
        </w:trPr>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EEF4F8" w:val="clear"/>
          </w:tcPr>
          <w:p>
            <w:pPr>
              <w:pStyle w:val="Compact"/>
              <w:spacing w:before="30" w:after="30" w:line="240" w:lineRule="auto"/>
              <w:jc w:val="left"/>
            </w:pPr>
            <w:r>
              <w:rPr>
                <w:rFonts w:ascii="Noto Sans" w:hAnsi="Noto Sans" w:eastAsia="Noto Sans" w:cs="Noto Sans"/>
                <w:b w:val="0"/>
                <w:color w:val="18212B"/>
                <w:sz w:val="16"/>
              </w:rPr>
              <w:t xml:space="preserve">standard deviation</w:t>
            </w:r>
          </w:p>
        </w:tc>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EEF4F8" w:val="clear"/>
          </w:tcPr>
          <w:p>
            <w:pPr>
              <w:pStyle w:val="Compact"/>
              <w:spacing w:before="30" w:after="30" w:line="240" w:lineRule="auto"/>
              <w:jc w:val="left"/>
            </w:pPr>
            <w:r>
              <w:rPr>
                <w:rFonts w:ascii="Noto Sans" w:hAnsi="Noto Sans" w:eastAsia="Noto Sans" w:cs="Noto Sans"/>
                <w:b w:val="0"/>
                <w:color w:val="18212B"/>
                <w:sz w:val="16"/>
              </w:rPr>
              <w:t xml:space="preserve">individual observations</w:t>
            </w:r>
          </w:p>
        </w:tc>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EEF4F8" w:val="clear"/>
          </w:tcPr>
          <w:p>
            <w:pPr>
              <w:pStyle w:val="Compact"/>
              <w:spacing w:before="30" w:after="30" w:line="240" w:lineRule="auto"/>
              <w:jc w:val="left"/>
            </w:pPr>
            <w:r>
              <w:rPr>
                <w:rFonts w:ascii="Noto Sans" w:hAnsi="Noto Sans" w:eastAsia="Noto Sans" w:cs="Noto Sans"/>
                <w:b w:val="0"/>
                <w:color w:val="18212B"/>
                <w:sz w:val="16"/>
              </w:rPr>
              <w:t xml:space="preserve">spread in data or model</w:t>
            </w:r>
          </w:p>
        </w:tc>
      </w:tr>
      <w:tr>
        <w:trPr>
          <w:cantSplit/>
        </w:trPr>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FFFFFF" w:val="clear"/>
          </w:tcPr>
          <w:p>
            <w:pPr>
              <w:pStyle w:val="Compact"/>
              <w:spacing w:before="30" w:after="30" w:line="240" w:lineRule="auto"/>
              <w:jc w:val="left"/>
            </w:pPr>
            <w:r>
              <w:rPr>
                <w:rFonts w:ascii="Noto Sans" w:hAnsi="Noto Sans" w:eastAsia="Noto Sans" w:cs="Noto Sans"/>
                <w:b w:val="0"/>
                <w:color w:val="18212B"/>
                <w:sz w:val="16"/>
              </w:rPr>
              <w:t xml:space="preserve">standard error</w:t>
            </w:r>
          </w:p>
        </w:tc>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FFFFFF" w:val="clear"/>
          </w:tcPr>
          <w:p>
            <w:pPr>
              <w:pStyle w:val="Compact"/>
              <w:spacing w:before="30" w:after="30" w:line="240" w:lineRule="auto"/>
              <w:jc w:val="left"/>
            </w:pPr>
            <w:r>
              <w:rPr>
                <w:rFonts w:ascii="Noto Sans" w:hAnsi="Noto Sans" w:eastAsia="Noto Sans" w:cs="Noto Sans"/>
                <w:b w:val="0"/>
                <w:color w:val="18212B"/>
                <w:sz w:val="16"/>
              </w:rPr>
              <w:t xml:space="preserve">statistic across samples</w:t>
            </w:r>
          </w:p>
        </w:tc>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FFFFFF" w:val="clear"/>
          </w:tcPr>
          <w:p>
            <w:pPr>
              <w:pStyle w:val="Compact"/>
              <w:spacing w:before="30" w:after="30" w:line="240" w:lineRule="auto"/>
              <w:jc w:val="left"/>
            </w:pPr>
            <w:r>
              <w:rPr>
                <w:rFonts w:ascii="Noto Sans" w:hAnsi="Noto Sans" w:eastAsia="Noto Sans" w:cs="Noto Sans"/>
                <w:b w:val="0"/>
                <w:color w:val="18212B"/>
                <w:sz w:val="16"/>
              </w:rPr>
              <w:t xml:space="preserve">estimation precision</w:t>
            </w:r>
          </w:p>
        </w:tc>
      </w:tr>
      <w:tr>
        <w:trPr>
          <w:cantSplit/>
        </w:trPr>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EEF4F8" w:val="clear"/>
          </w:tcPr>
          <w:p>
            <w:pPr>
              <w:pStyle w:val="Compact"/>
              <w:spacing w:before="30" w:after="30" w:line="240" w:lineRule="auto"/>
              <w:jc w:val="left"/>
            </w:pPr>
            <w:r>
              <w:rPr>
                <w:rFonts w:ascii="Noto Sans" w:hAnsi="Noto Sans" w:eastAsia="Noto Sans" w:cs="Noto Sans"/>
                <w:b w:val="0"/>
                <w:color w:val="18212B"/>
                <w:sz w:val="16"/>
              </w:rPr>
              <w:t xml:space="preserve">confidence interval</w:t>
            </w:r>
          </w:p>
        </w:tc>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EEF4F8" w:val="clear"/>
          </w:tcPr>
          <w:p>
            <w:pPr>
              <w:pStyle w:val="Compact"/>
              <w:spacing w:before="30" w:after="30" w:line="240" w:lineRule="auto"/>
              <w:jc w:val="left"/>
            </w:pPr>
            <w:r>
              <w:rPr>
                <w:rFonts w:ascii="Noto Sans" w:hAnsi="Noto Sans" w:eastAsia="Noto Sans" w:cs="Noto Sans"/>
                <w:b w:val="0"/>
                <w:color w:val="18212B"/>
                <w:sz w:val="16"/>
              </w:rPr>
              <w:t xml:space="preserve">procedure across samples</w:t>
            </w:r>
          </w:p>
        </w:tc>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EEF4F8" w:val="clear"/>
          </w:tcPr>
          <w:p>
            <w:pPr>
              <w:pStyle w:val="Compact"/>
              <w:spacing w:before="30" w:after="30" w:line="240" w:lineRule="auto"/>
              <w:jc w:val="left"/>
            </w:pPr>
            <w:r>
              <w:rPr>
                <w:rFonts w:ascii="Noto Sans" w:hAnsi="Noto Sans" w:eastAsia="Noto Sans" w:cs="Noto Sans"/>
                <w:b w:val="0"/>
                <w:color w:val="18212B"/>
                <w:sz w:val="16"/>
              </w:rPr>
              <w:t xml:space="preserve">coverage under assumptions</w:t>
            </w:r>
          </w:p>
        </w:tc>
      </w:tr>
      <w:tr>
        <w:trPr>
          <w:cantSplit/>
        </w:trPr>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FFFFFF" w:val="clear"/>
          </w:tcPr>
          <w:p>
            <w:pPr>
              <w:pStyle w:val="Compact"/>
              <w:spacing w:before="30" w:after="30" w:line="240" w:lineRule="auto"/>
              <w:jc w:val="left"/>
            </w:pPr>
            <w:r>
              <w:rPr>
                <w:rFonts w:ascii="Noto Sans" w:hAnsi="Noto Sans" w:eastAsia="Noto Sans" w:cs="Noto Sans"/>
                <w:b w:val="0"/>
                <w:color w:val="18212B"/>
                <w:sz w:val="16"/>
              </w:rPr>
              <w:t xml:space="preserve">p-value</w:t>
            </w:r>
          </w:p>
        </w:tc>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FFFFFF" w:val="clear"/>
          </w:tcPr>
          <w:p>
            <w:pPr>
              <w:pStyle w:val="Compact"/>
              <w:spacing w:before="30" w:after="30" w:line="240" w:lineRule="auto"/>
              <w:jc w:val="left"/>
            </w:pPr>
            <w:r>
              <w:rPr>
                <w:rFonts w:ascii="Noto Sans" w:hAnsi="Noto Sans" w:eastAsia="Noto Sans" w:cs="Noto Sans"/>
                <w:b w:val="0"/>
                <w:color w:val="18212B"/>
                <w:sz w:val="16"/>
              </w:rPr>
              <w:t xml:space="preserve">test statistic under null</w:t>
            </w:r>
          </w:p>
        </w:tc>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FFFFFF" w:val="clear"/>
          </w:tcPr>
          <w:p>
            <w:pPr>
              <w:pStyle w:val="Compact"/>
              <w:spacing w:before="30" w:after="30" w:line="240" w:lineRule="auto"/>
              <w:jc w:val="left"/>
            </w:pPr>
            <w:r>
              <w:rPr>
                <w:rFonts w:ascii="Noto Sans" w:hAnsi="Noto Sans" w:eastAsia="Noto Sans" w:cs="Noto Sans"/>
                <w:b w:val="0"/>
                <w:color w:val="18212B"/>
                <w:sz w:val="16"/>
              </w:rPr>
              <w:t xml:space="preserve">compatibility with null model</w:t>
            </w:r>
          </w:p>
        </w:tc>
      </w:tr>
      <w:tr>
        <w:trPr>
          <w:cantSplit/>
        </w:trPr>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EEF4F8" w:val="clear"/>
          </w:tcPr>
          <w:p>
            <w:pPr>
              <w:pStyle w:val="Compact"/>
              <w:spacing w:before="30" w:after="30" w:line="240" w:lineRule="auto"/>
              <w:jc w:val="left"/>
            </w:pPr>
            <w:r>
              <w:rPr>
                <w:rFonts w:ascii="Noto Sans" w:hAnsi="Noto Sans" w:eastAsia="Noto Sans" w:cs="Noto Sans"/>
                <w:b w:val="0"/>
                <w:color w:val="18212B"/>
                <w:sz w:val="16"/>
              </w:rPr>
              <w:t xml:space="preserve">power</w:t>
            </w:r>
          </w:p>
        </w:tc>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EEF4F8" w:val="clear"/>
          </w:tcPr>
          <w:p>
            <w:pPr>
              <w:pStyle w:val="Compact"/>
              <w:spacing w:before="30" w:after="30" w:line="240" w:lineRule="auto"/>
              <w:jc w:val="left"/>
            </w:pPr>
            <w:r>
              <w:rPr>
                <w:rFonts w:ascii="Noto Sans" w:hAnsi="Noto Sans" w:eastAsia="Noto Sans" w:cs="Noto Sans"/>
                <w:b w:val="0"/>
                <w:color w:val="18212B"/>
                <w:sz w:val="16"/>
              </w:rPr>
              <w:t xml:space="preserve">test decision under alternative</w:t>
            </w:r>
          </w:p>
        </w:tc>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EEF4F8" w:val="clear"/>
          </w:tcPr>
          <w:p>
            <w:pPr>
              <w:pStyle w:val="Compact"/>
              <w:spacing w:before="30" w:after="30" w:line="240" w:lineRule="auto"/>
              <w:jc w:val="left"/>
            </w:pPr>
            <w:r>
              <w:rPr>
                <w:rFonts w:ascii="Noto Sans" w:hAnsi="Noto Sans" w:eastAsia="Noto Sans" w:cs="Noto Sans"/>
                <w:b w:val="0"/>
                <w:color w:val="18212B"/>
                <w:sz w:val="16"/>
              </w:rPr>
              <w:t xml:space="preserve">probability of detecting specified effect</w:t>
            </w:r>
          </w:p>
        </w:tc>
      </w:tr>
    </w:tbl>
    <w:p>
      <w:pPr>
        <w:pStyle w:val="BlockText"/>
        <w:shd w:fill="EAF7F5" w:val="clear"/>
        <w:pBdr>
          <w:left w:val="single" w:sz="18" w:space="8" w:color="008F87"/>
        </w:pBdr>
      </w:pPr>
      <w:r>
        <w:rPr>
          <w:b/>
          <w:bCs/>
        </w:rPr>
        <w:t xml:space="preserve">Why This Matters</w:t>
      </w:r>
    </w:p>
    <w:p>
      <w:pPr>
        <w:pStyle w:val="BlockText"/>
        <w:shd w:fill="EAF7F5" w:val="clear"/>
        <w:pBdr>
          <w:left w:val="single" w:sz="18" w:space="8" w:color="008F87"/>
        </w:pBdr>
      </w:pPr>
      <w:r>
        <w:t xml:space="preserve">Inference organizes uncertainty around estimates, forecasts, and decisions.</w:t>
      </w:r>
    </w:p>
    <w:p>
      <w:pPr>
        <w:pStyle w:val="BlockText"/>
        <w:shd w:fill="EAF7F5" w:val="clear"/>
        <w:pBdr>
          <w:left w:val="single" w:sz="18" w:space="8" w:color="008F87"/>
        </w:pBdr>
      </w:pPr>
      <w:r>
        <w:rPr>
          <w:b/>
          <w:bCs/>
        </w:rPr>
        <w:t xml:space="preserve">Common Mistake</w:t>
      </w:r>
    </w:p>
    <w:p>
      <w:pPr>
        <w:pStyle w:val="BlockText"/>
        <w:shd w:fill="EAF7F5" w:val="clear"/>
        <w:pBdr>
          <w:left w:val="single" w:sz="18" w:space="8" w:color="008F87"/>
        </w:pBdr>
      </w:pPr>
      <w:r>
        <w:t xml:space="preserve">Interpreting a p-value of 0.03 as a 3 percent probability that the null hypothesis is true.</w:t>
      </w:r>
    </w:p>
    <w:p>
      <w:pPr>
        <w:pStyle w:val="BlockText"/>
        <w:shd w:fill="EAF7F5" w:val="clear"/>
        <w:pBdr>
          <w:left w:val="single" w:sz="18" w:space="8" w:color="008F87"/>
        </w:pBdr>
      </w:pPr>
      <w:r>
        <w:rPr>
          <w:b/>
          <w:bCs/>
        </w:rPr>
        <w:t xml:space="preserve">Ceteris LAB Tip</w:t>
      </w:r>
    </w:p>
    <w:p>
      <w:pPr>
        <w:pStyle w:val="BlockText"/>
        <w:shd w:fill="EAF7F5" w:val="clear"/>
        <w:pBdr>
          <w:left w:val="single" w:sz="18" w:space="8" w:color="008F87"/>
        </w:pBdr>
      </w:pPr>
      <w:r>
        <w:t xml:space="preserve">Report effect size and interval before discussing a significance threshold.</w:t>
      </w:r>
    </w:p>
    <w:p>
      <w:pPr>
        <w:pStyle w:val="BlockText"/>
        <w:shd w:fill="EAF7F5" w:val="clear"/>
        <w:pBdr>
          <w:left w:val="single" w:sz="18" w:space="8" w:color="008F87"/>
        </w:pBdr>
      </w:pPr>
      <w:r>
        <w:rPr>
          <w:b/>
          <w:bCs/>
        </w:rPr>
        <w:t xml:space="preserve">R-to-Python / Source Bridge</w:t>
      </w:r>
    </w:p>
    <w:p>
      <w:pPr>
        <w:pStyle w:val="BlockText"/>
        <w:shd w:fill="EAF7F5" w:val="clear"/>
        <w:pBdr>
          <w:left w:val="single" w:sz="18" w:space="8" w:color="008F87"/>
        </w:pBdr>
      </w:pPr>
      <w:r>
        <w:t xml:space="preserve">The book adds probability and inference prerequisites that the advanced source notes often assumed, allowing beginners to enter later econometric chapters safely.</w:t>
      </w:r>
    </w:p>
    <w:bookmarkEnd w:id="273"/>
    <w:bookmarkStart w:id="274" w:name="guided-practice-13"/>
    <w:p>
      <w:pPr>
        <w:pStyle w:val="Heading2"/>
        <w:keepNext/>
      </w:pPr>
      <w:r>
        <w:rPr>
          <w:rStyle w:val="SectionNumber"/>
          <w:rFonts w:ascii="Noto Sans" w:hAnsi="Noto Sans" w:eastAsia="Noto Sans" w:cs="Noto Sans"/>
          <w:b/>
          <w:color w:val="008F87"/>
          <w:sz w:val="29"/>
        </w:rPr>
        <w:t xml:space="preserve">14.9</w:t>
      </w:r>
      <w:r>
        <w:rPr>
          <w:rFonts w:ascii="Noto Sans" w:hAnsi="Noto Sans" w:eastAsia="Noto Sans" w:cs="Noto Sans"/>
          <w:b/>
          <w:color w:val="008F87"/>
          <w:sz w:val="29"/>
        </w:rPr>
        <w:tab/>
      </w:r>
      <w:r>
        <w:rPr>
          <w:rFonts w:ascii="Noto Sans" w:hAnsi="Noto Sans" w:eastAsia="Noto Sans" w:cs="Noto Sans"/>
          <w:b/>
          <w:color w:val="008F87"/>
          <w:sz w:val="29"/>
        </w:rPr>
        <w:t xml:space="preserve">Guided practice</w:t>
      </w:r>
    </w:p>
    <w:p>
      <w:pPr>
        <w:pStyle w:val="Compact"/>
        <w:numPr>
          <w:ilvl w:val="0"/>
          <w:numId w:val="1056"/>
        </w:numPr>
      </w:pPr>
      <w:r>
        <w:t xml:space="preserve">Re-run Demonstration 14.1 and change one input while keeping the analytical question fixed.</w:t>
      </w:r>
    </w:p>
    <w:p>
      <w:pPr>
        <w:pStyle w:val="Compact"/>
        <w:numPr>
          <w:ilvl w:val="0"/>
          <w:numId w:val="1056"/>
        </w:numPr>
      </w:pPr>
      <w:r>
        <w:t xml:space="preserve">Explain in two sentences how the output supports, or fails to support, the chapter opening question.</w:t>
      </w:r>
    </w:p>
    <w:p>
      <w:pPr>
        <w:pStyle w:val="Compact"/>
        <w:numPr>
          <w:ilvl w:val="0"/>
          <w:numId w:val="1056"/>
        </w:numPr>
      </w:pPr>
      <w:r>
        <w:t xml:space="preserve">Add one validation check that would prevent a plausible error.</w:t>
      </w:r>
    </w:p>
    <w:bookmarkEnd w:id="274"/>
    <w:bookmarkStart w:id="275" w:name="exercises-13"/>
    <w:p>
      <w:pPr>
        <w:pStyle w:val="Heading2"/>
        <w:keepNext/>
      </w:pPr>
      <w:r>
        <w:rPr>
          <w:rStyle w:val="SectionNumber"/>
          <w:rFonts w:ascii="Noto Sans" w:hAnsi="Noto Sans" w:eastAsia="Noto Sans" w:cs="Noto Sans"/>
          <w:b/>
          <w:color w:val="008F87"/>
          <w:sz w:val="29"/>
        </w:rPr>
        <w:t xml:space="preserve">14.10</w:t>
      </w:r>
      <w:r>
        <w:rPr>
          <w:rFonts w:ascii="Noto Sans" w:hAnsi="Noto Sans" w:eastAsia="Noto Sans" w:cs="Noto Sans"/>
          <w:b/>
          <w:color w:val="008F87"/>
          <w:sz w:val="29"/>
        </w:rPr>
        <w:tab/>
      </w:r>
      <w:r>
        <w:rPr>
          <w:rFonts w:ascii="Noto Sans" w:hAnsi="Noto Sans" w:eastAsia="Noto Sans" w:cs="Noto Sans"/>
          <w:b/>
          <w:color w:val="008F87"/>
          <w:sz w:val="29"/>
        </w:rPr>
        <w:t xml:space="preserve">Exercises</w:t>
      </w:r>
    </w:p>
    <w:p>
      <w:pPr>
        <w:pStyle w:val="Compact"/>
        <w:numPr>
          <w:ilvl w:val="0"/>
          <w:numId w:val="1057"/>
        </w:numPr>
      </w:pPr>
      <w:r>
        <w:t xml:space="preserve">Simulate a binomial proportion.</w:t>
      </w:r>
    </w:p>
    <w:p>
      <w:pPr>
        <w:pStyle w:val="Compact"/>
        <w:numPr>
          <w:ilvl w:val="0"/>
          <w:numId w:val="1057"/>
        </w:numPr>
      </w:pPr>
      <w:r>
        <w:t xml:space="preserve">Show how Monte Carlo error changes with replications.</w:t>
      </w:r>
    </w:p>
    <w:p>
      <w:pPr>
        <w:pStyle w:val="Compact"/>
        <w:numPr>
          <w:ilvl w:val="0"/>
          <w:numId w:val="1057"/>
        </w:numPr>
      </w:pPr>
      <w:r>
        <w:t xml:space="preserve">Compute a t confidence interval.</w:t>
      </w:r>
    </w:p>
    <w:p>
      <w:pPr>
        <w:pStyle w:val="Compact"/>
        <w:numPr>
          <w:ilvl w:val="0"/>
          <w:numId w:val="1057"/>
        </w:numPr>
      </w:pPr>
      <w:r>
        <w:t xml:space="preserve">Explain statistical versus practical significance in one example.</w:t>
      </w:r>
    </w:p>
    <w:bookmarkEnd w:id="275"/>
    <w:bookmarkStart w:id="276" w:name="chapter-summary-13"/>
    <w:p>
      <w:pPr>
        <w:pStyle w:val="Heading2"/>
        <w:keepNext/>
      </w:pPr>
      <w:r>
        <w:rPr>
          <w:rStyle w:val="SectionNumber"/>
          <w:rFonts w:ascii="Noto Sans" w:hAnsi="Noto Sans" w:eastAsia="Noto Sans" w:cs="Noto Sans"/>
          <w:b/>
          <w:color w:val="008F87"/>
          <w:sz w:val="29"/>
        </w:rPr>
        <w:t xml:space="preserve">14.11</w:t>
      </w:r>
      <w:r>
        <w:rPr>
          <w:rFonts w:ascii="Noto Sans" w:hAnsi="Noto Sans" w:eastAsia="Noto Sans" w:cs="Noto Sans"/>
          <w:b/>
          <w:color w:val="008F87"/>
          <w:sz w:val="29"/>
        </w:rPr>
        <w:tab/>
      </w:r>
      <w:r>
        <w:rPr>
          <w:rFonts w:ascii="Noto Sans" w:hAnsi="Noto Sans" w:eastAsia="Noto Sans" w:cs="Noto Sans"/>
          <w:b/>
          <w:color w:val="008F87"/>
          <w:sz w:val="29"/>
        </w:rPr>
        <w:t xml:space="preserve">Chapter summary</w:t>
      </w:r>
    </w:p>
    <w:p>
      <w:pPr>
        <w:pStyle w:val="Compact"/>
        <w:numPr>
          <w:ilvl w:val="0"/>
          <w:numId w:val="1058"/>
        </w:numPr>
      </w:pPr>
      <w:r>
        <w:t xml:space="preserve">Probability models uncertainty under assumptions.</w:t>
      </w:r>
    </w:p>
    <w:p>
      <w:pPr>
        <w:pStyle w:val="Compact"/>
        <w:numPr>
          <w:ilvl w:val="0"/>
          <w:numId w:val="1058"/>
        </w:numPr>
      </w:pPr>
      <w:r>
        <w:t xml:space="preserve">Simulation approximates model implications.</w:t>
      </w:r>
    </w:p>
    <w:p>
      <w:pPr>
        <w:pStyle w:val="Compact"/>
        <w:numPr>
          <w:ilvl w:val="0"/>
          <w:numId w:val="1058"/>
        </w:numPr>
      </w:pPr>
      <w:r>
        <w:t xml:space="preserve">Inference requires careful interpretation of standard errors, intervals, and tests.</w:t>
      </w:r>
    </w:p>
    <w:bookmarkEnd w:id="276"/>
    <w:bookmarkStart w:id="277" w:name="key-python-commands-13"/>
    <w:p>
      <w:pPr>
        <w:pStyle w:val="Heading2"/>
        <w:keepNext/>
      </w:pPr>
      <w:r>
        <w:rPr>
          <w:rStyle w:val="SectionNumber"/>
          <w:rFonts w:ascii="Noto Sans" w:hAnsi="Noto Sans" w:eastAsia="Noto Sans" w:cs="Noto Sans"/>
          <w:b/>
          <w:color w:val="008F87"/>
          <w:sz w:val="29"/>
        </w:rPr>
        <w:t xml:space="preserve">14.12</w:t>
      </w:r>
      <w:r>
        <w:rPr>
          <w:rFonts w:ascii="Noto Sans" w:hAnsi="Noto Sans" w:eastAsia="Noto Sans" w:cs="Noto Sans"/>
          <w:b/>
          <w:color w:val="008F87"/>
          <w:sz w:val="29"/>
        </w:rPr>
        <w:tab/>
      </w:r>
      <w:r>
        <w:rPr>
          <w:rFonts w:ascii="Noto Sans" w:hAnsi="Noto Sans" w:eastAsia="Noto Sans" w:cs="Noto Sans"/>
          <w:b/>
          <w:color w:val="008F87"/>
          <w:sz w:val="29"/>
        </w:rPr>
        <w:t xml:space="preserve">Key Python commands</w:t>
      </w:r>
    </w:p>
    <w:p>
      <w:pPr>
        <w:pStyle w:val="SourceCode"/>
        <w:keepLines/>
        <w:shd w:fill="F6F8FA" w:val="clear"/>
      </w:pPr>
      <w:r>
        <w:rPr>
          <w:rStyle w:val="ImportTok"/>
        </w:rPr>
        <w:t xml:space="preserve">import</w:t>
      </w:r>
      <w:r>
        <w:rPr>
          <w:rStyle w:val="NormalTok"/>
        </w:rPr>
        <w:t xml:space="preserve"> numpy </w:t>
      </w:r>
      <w:r>
        <w:rPr>
          <w:rStyle w:val="ImportTok"/>
        </w:rPr>
        <w:t xml:space="preserve">as</w:t>
      </w:r>
      <w:r>
        <w:rPr>
          <w:rStyle w:val="NormalTok"/>
        </w:rPr>
        <w:t xml:space="preserve"> np</w:t>
      </w:r>
      <w:r>
        <w:br/>
      </w:r>
      <w:r>
        <w:rPr>
          <w:rStyle w:val="NormalTok"/>
        </w:rPr>
        <w:t xml:space="preserve">rng </w:t>
      </w:r>
      <w:r>
        <w:rPr>
          <w:rStyle w:val="OperatorTok"/>
        </w:rPr>
        <w:t xml:space="preserve">=</w:t>
      </w:r>
      <w:r>
        <w:rPr>
          <w:rStyle w:val="NormalTok"/>
        </w:rPr>
        <w:t xml:space="preserve"> np.random.default_rng(</w:t>
      </w:r>
      <w:r>
        <w:rPr>
          <w:rStyle w:val="DecValTok"/>
        </w:rPr>
        <w:t xml:space="preserve">1401</w:t>
      </w:r>
      <w:r>
        <w:rPr>
          <w:rStyle w:val="NormalTok"/>
        </w:rPr>
        <w:t xml:space="preserve">)</w:t>
      </w:r>
      <w:r>
        <w:br/>
      </w:r>
      <w:r>
        <w:rPr>
          <w:rStyle w:val="NormalTok"/>
        </w:rPr>
        <w:t xml:space="preserve">draws </w:t>
      </w:r>
      <w:r>
        <w:rPr>
          <w:rStyle w:val="OperatorTok"/>
        </w:rPr>
        <w:t xml:space="preserve">=</w:t>
      </w:r>
      <w:r>
        <w:rPr>
          <w:rStyle w:val="NormalTok"/>
        </w:rPr>
        <w:t xml:space="preserve"> rng.normal(</w:t>
      </w:r>
      <w:r>
        <w:rPr>
          <w:rStyle w:val="DecValTok"/>
        </w:rPr>
        <w:t xml:space="preserve">0</w:t>
      </w:r>
      <w:r>
        <w:rPr>
          <w:rStyle w:val="NormalTok"/>
        </w:rPr>
        <w:t xml:space="preserve">, </w:t>
      </w:r>
      <w:r>
        <w:rPr>
          <w:rStyle w:val="DecValTok"/>
        </w:rPr>
        <w:t xml:space="preserve">1</w:t>
      </w:r>
      <w:r>
        <w:rPr>
          <w:rStyle w:val="NormalTok"/>
        </w:rPr>
        <w:t xml:space="preserve">, </w:t>
      </w:r>
      <w:r>
        <w:rPr>
          <w:rStyle w:val="DecValTok"/>
        </w:rPr>
        <w:t xml:space="preserve">100_000</w:t>
      </w:r>
      <w:r>
        <w:rPr>
          <w:rStyle w:val="NormalTok"/>
        </w:rPr>
        <w:t xml:space="preserve">)</w:t>
      </w:r>
      <w:r>
        <w:br/>
      </w:r>
      <w:r>
        <w:rPr>
          <w:rStyle w:val="NormalTok"/>
        </w:rPr>
        <w:t xml:space="preserve">probability </w:t>
      </w:r>
      <w:r>
        <w:rPr>
          <w:rStyle w:val="OperatorTok"/>
        </w:rPr>
        <w:t xml:space="preserve">=</w:t>
      </w:r>
      <w:r>
        <w:rPr>
          <w:rStyle w:val="NormalTok"/>
        </w:rPr>
        <w:t xml:space="preserve"> np.mean(draws </w:t>
      </w:r>
      <w:r>
        <w:rPr>
          <w:rStyle w:val="OperatorTok"/>
        </w:rPr>
        <w:t xml:space="preserve">&gt;</w:t>
      </w:r>
      <w:r>
        <w:rPr>
          <w:rStyle w:val="NormalTok"/>
        </w:rPr>
        <w:t xml:space="preserve"> </w:t>
      </w:r>
      <w:r>
        <w:rPr>
          <w:rStyle w:val="FloatTok"/>
        </w:rPr>
        <w:t xml:space="preserve">1.96</w:t>
      </w:r>
      <w:r>
        <w:rPr>
          <w:rStyle w:val="NormalTok"/>
        </w:rPr>
        <w:t xml:space="preserve">)</w:t>
      </w:r>
      <w:r>
        <w:br/>
      </w:r>
      <w:r>
        <w:rPr>
          <w:rStyle w:val="BuiltInTok"/>
        </w:rPr>
        <w:t xml:space="preserve">print</w:t>
      </w:r>
      <w:r>
        <w:rPr>
          <w:rStyle w:val="NormalTok"/>
        </w:rPr>
        <w:t xml:space="preserve">(</w:t>
      </w:r>
      <w:r>
        <w:rPr>
          <w:rStyle w:val="BuiltInTok"/>
        </w:rPr>
        <w:t xml:space="preserve">round</w:t>
      </w:r>
      <w:r>
        <w:rPr>
          <w:rStyle w:val="NormalTok"/>
        </w:rPr>
        <w:t xml:space="preserve">(probability, </w:t>
      </w:r>
      <w:r>
        <w:rPr>
          <w:rStyle w:val="DecValTok"/>
        </w:rPr>
        <w:t xml:space="preserve">4</w:t>
      </w:r>
      <w:r>
        <w:rPr>
          <w:rStyle w:val="NormalTok"/>
        </w:rPr>
        <w:t xml:space="preserve">))</w:t>
      </w:r>
      <w:r>
        <w:br/>
      </w:r>
      <w:r>
        <w:rPr>
          <w:rStyle w:val="ImportTok"/>
        </w:rPr>
        <w:t xml:space="preserve">import</w:t>
      </w:r>
      <w:r>
        <w:rPr>
          <w:rStyle w:val="NormalTok"/>
        </w:rPr>
        <w:t xml:space="preserve"> numpy </w:t>
      </w:r>
      <w:r>
        <w:rPr>
          <w:rStyle w:val="ImportTok"/>
        </w:rPr>
        <w:t xml:space="preserve">as</w:t>
      </w:r>
      <w:r>
        <w:rPr>
          <w:rStyle w:val="NormalTok"/>
        </w:rPr>
        <w:t xml:space="preserve"> np</w:t>
      </w:r>
    </w:p>
    <w:bookmarkEnd w:id="277"/>
    <w:bookmarkEnd w:id="278"/>
    <w:bookmarkStart w:id="299" w:name="regression-and-econometrics-with-python"/>
    <w:p>
      <w:pPr>
        <w:pStyle w:val="Heading1"/>
        <w:keepNext/>
        <w:pageBreakBefore/>
      </w:pPr>
      <w:r>
        <w:rPr>
          <w:rStyle w:val="SectionNumber"/>
          <w:rFonts w:ascii="Noto Sans" w:hAnsi="Noto Sans" w:eastAsia="Noto Sans" w:cs="Noto Sans"/>
          <w:b/>
          <w:color w:val="0A2342"/>
          <w:sz w:val="43"/>
        </w:rPr>
        <w:t xml:space="preserve">15</w:t>
      </w:r>
      <w:r>
        <w:rPr>
          <w:rFonts w:ascii="Noto Sans" w:hAnsi="Noto Sans" w:eastAsia="Noto Sans" w:cs="Noto Sans"/>
          <w:b/>
          <w:color w:val="0A2342"/>
          <w:sz w:val="43"/>
        </w:rPr>
        <w:tab/>
      </w:r>
      <w:r>
        <w:rPr>
          <w:rFonts w:ascii="Noto Sans" w:hAnsi="Noto Sans" w:eastAsia="Noto Sans" w:cs="Noto Sans"/>
          <w:b/>
          <w:color w:val="0A2342"/>
          <w:sz w:val="43"/>
        </w:rPr>
        <w:t xml:space="preserve">Regression and Econometrics with Python</w:t>
      </w:r>
    </w:p>
    <w:p>
      <w:pPr>
        <w:pStyle w:val="FirstParagraph"/>
      </w:pPr>
      <w:r>
        <w:rPr>
          <w:i/>
          <w:iCs/>
        </w:rPr>
        <w:t xml:space="preserve">Opening question:</w:t>
      </w:r>
      <w:r>
        <w:t xml:space="preserve"> </w:t>
      </w:r>
      <w:r>
        <w:rPr>
          <w:b/>
          <w:bCs/>
        </w:rPr>
        <w:t xml:space="preserve">What does a regression coefficient mean, and which assumptions are needed before it can support an economic claim?</w:t>
      </w:r>
    </w:p>
    <w:bookmarkStart w:id="279" w:name="learning-objectives-14"/>
    <w:p>
      <w:pPr>
        <w:pStyle w:val="Heading2"/>
        <w:keepNext/>
      </w:pPr>
      <w:r>
        <w:rPr>
          <w:rStyle w:val="SectionNumber"/>
          <w:rFonts w:ascii="Noto Sans" w:hAnsi="Noto Sans" w:eastAsia="Noto Sans" w:cs="Noto Sans"/>
          <w:b/>
          <w:color w:val="008F87"/>
          <w:sz w:val="29"/>
        </w:rPr>
        <w:t xml:space="preserve">15.1</w:t>
      </w:r>
      <w:r>
        <w:rPr>
          <w:rFonts w:ascii="Noto Sans" w:hAnsi="Noto Sans" w:eastAsia="Noto Sans" w:cs="Noto Sans"/>
          <w:b/>
          <w:color w:val="008F87"/>
          <w:sz w:val="29"/>
        </w:rPr>
        <w:tab/>
      </w:r>
      <w:r>
        <w:rPr>
          <w:rFonts w:ascii="Noto Sans" w:hAnsi="Noto Sans" w:eastAsia="Noto Sans" w:cs="Noto Sans"/>
          <w:b/>
          <w:color w:val="008F87"/>
          <w:sz w:val="29"/>
        </w:rPr>
        <w:t xml:space="preserve">Learning objectives</w:t>
      </w:r>
    </w:p>
    <w:p>
      <w:pPr>
        <w:pStyle w:val="Compact"/>
        <w:numPr>
          <w:ilvl w:val="0"/>
          <w:numId w:val="1059"/>
        </w:numPr>
      </w:pPr>
      <w:r>
        <w:t xml:space="preserve">Estimate simple and multiple linear regressions.</w:t>
      </w:r>
    </w:p>
    <w:p>
      <w:pPr>
        <w:pStyle w:val="Compact"/>
        <w:numPr>
          <w:ilvl w:val="0"/>
          <w:numId w:val="1059"/>
        </w:numPr>
      </w:pPr>
      <w:r>
        <w:t xml:space="preserve">Interpret coefficients, interactions, and uncertainty.</w:t>
      </w:r>
    </w:p>
    <w:p>
      <w:pPr>
        <w:pStyle w:val="Compact"/>
        <w:numPr>
          <w:ilvl w:val="0"/>
          <w:numId w:val="1059"/>
        </w:numPr>
      </w:pPr>
      <w:r>
        <w:t xml:space="preserve">Diagnose residual patterns and heteroskedasticity.</w:t>
      </w:r>
    </w:p>
    <w:p>
      <w:pPr>
        <w:pStyle w:val="Compact"/>
        <w:numPr>
          <w:ilvl w:val="0"/>
          <w:numId w:val="1059"/>
        </w:numPr>
      </w:pPr>
      <w:r>
        <w:t xml:space="preserve">Distinguish explanatory inference from predictive evaluation.</w:t>
      </w:r>
    </w:p>
    <w:p>
      <w:pPr>
        <w:pStyle w:val="FirstParagraph"/>
      </w:pPr>
      <w:r>
        <w:rPr>
          <w:b/>
          <w:bCs/>
        </w:rPr>
        <w:t xml:space="preserve">Prerequisites:</w:t>
      </w:r>
      <w:r>
        <w:t xml:space="preserve"> </w:t>
      </w:r>
      <w:r>
        <w:t xml:space="preserve">Chapters 13 and 14.</w:t>
      </w:r>
    </w:p>
    <w:p>
      <w:pPr>
        <w:pStyle w:val="BodyText"/>
      </w:pPr>
      <w:r>
        <w:rPr>
          <w:b/>
          <w:bCs/>
        </w:rPr>
        <w:t xml:space="preserve">Key terms:</w:t>
      </w:r>
      <w:r>
        <w:t xml:space="preserve"> </w:t>
      </w:r>
      <w:r>
        <w:t xml:space="preserve">OLS, coefficient, residual, robust standard error, interaction, omitted variable.</w:t>
      </w:r>
    </w:p>
    <w:bookmarkEnd w:id="279"/>
    <w:bookmarkStart w:id="280" w:name="regression-is-a-conditional-comparison"/>
    <w:p>
      <w:pPr>
        <w:pStyle w:val="Heading2"/>
        <w:keepNext/>
      </w:pPr>
      <w:r>
        <w:rPr>
          <w:rStyle w:val="SectionNumber"/>
          <w:rFonts w:ascii="Noto Sans" w:hAnsi="Noto Sans" w:eastAsia="Noto Sans" w:cs="Noto Sans"/>
          <w:b/>
          <w:color w:val="008F87"/>
          <w:sz w:val="29"/>
        </w:rPr>
        <w:t xml:space="preserve">15.2</w:t>
      </w:r>
      <w:r>
        <w:rPr>
          <w:rFonts w:ascii="Noto Sans" w:hAnsi="Noto Sans" w:eastAsia="Noto Sans" w:cs="Noto Sans"/>
          <w:b/>
          <w:color w:val="008F87"/>
          <w:sz w:val="29"/>
        </w:rPr>
        <w:tab/>
      </w:r>
      <w:r>
        <w:rPr>
          <w:rFonts w:ascii="Noto Sans" w:hAnsi="Noto Sans" w:eastAsia="Noto Sans" w:cs="Noto Sans"/>
          <w:b/>
          <w:color w:val="008F87"/>
          <w:sz w:val="29"/>
        </w:rPr>
        <w:t xml:space="preserve">Regression is a conditional comparison</w:t>
      </w:r>
    </w:p>
    <w:p>
      <w:pPr>
        <w:pStyle w:val="FirstParagraph"/>
      </w:pPr>
      <w:r>
        <w:t xml:space="preserve">Ordinary least squares chooses coefficients that minimize the sum of squared residuals. A slope describes the estimated change in the conditional mean of the outcome associated with a one-unit change in a predictor, holding included variables fixed. That language is descriptive unless the research design supports a causal interpretation. The list of included variables does not by itself eliminate omitted-variable bias.</w:t>
      </w:r>
    </w:p>
    <w:bookmarkEnd w:id="280"/>
    <w:bookmarkStart w:id="281" w:name="Xf98cccb3e21cfc88fc8ee549efa47bdbcfa0390"/>
    <w:p>
      <w:pPr>
        <w:pStyle w:val="Heading2"/>
        <w:keepNext/>
      </w:pPr>
      <w:r>
        <w:rPr>
          <w:rStyle w:val="SectionNumber"/>
          <w:rFonts w:ascii="Noto Sans" w:hAnsi="Noto Sans" w:eastAsia="Noto Sans" w:cs="Noto Sans"/>
          <w:b/>
          <w:color w:val="008F87"/>
          <w:sz w:val="29"/>
        </w:rPr>
        <w:t xml:space="preserve">15.3</w:t>
      </w:r>
      <w:r>
        <w:rPr>
          <w:rFonts w:ascii="Noto Sans" w:hAnsi="Noto Sans" w:eastAsia="Noto Sans" w:cs="Noto Sans"/>
          <w:b/>
          <w:color w:val="008F87"/>
          <w:sz w:val="29"/>
        </w:rPr>
        <w:tab/>
      </w:r>
      <w:r>
        <w:rPr>
          <w:rFonts w:ascii="Noto Sans" w:hAnsi="Noto Sans" w:eastAsia="Noto Sans" w:cs="Noto Sans"/>
          <w:b/>
          <w:color w:val="008F87"/>
          <w:sz w:val="29"/>
        </w:rPr>
        <w:t xml:space="preserve">Uncertainty depends on the error structure</w:t>
      </w:r>
    </w:p>
    <w:p>
      <w:pPr>
        <w:pStyle w:val="FirstParagraph"/>
      </w:pPr>
      <w:r>
        <w:t xml:space="preserve">Classical OLS standard errors assume a particular variance and dependence structure. Heteroskedasticity changes the conditional variance across observations; serial or clustered dependence links errors. Robust covariance estimators can improve inference under specified forms of misspecification, but they do not repair biased coefficients or a poorly defined sample. Diagnostics should examine residual plots, leverage, influential observations, and functional form.</w:t>
      </w:r>
    </w:p>
    <w:bookmarkEnd w:id="281"/>
    <w:bookmarkStart w:id="282" w:name="Xfdeaf1655f36a970138cdde3fd7000fccae145f"/>
    <w:p>
      <w:pPr>
        <w:pStyle w:val="Heading2"/>
        <w:keepNext/>
      </w:pPr>
      <w:r>
        <w:rPr>
          <w:rStyle w:val="SectionNumber"/>
          <w:rFonts w:ascii="Noto Sans" w:hAnsi="Noto Sans" w:eastAsia="Noto Sans" w:cs="Noto Sans"/>
          <w:b/>
          <w:color w:val="008F87"/>
          <w:sz w:val="29"/>
        </w:rPr>
        <w:t xml:space="preserve">15.4</w:t>
      </w:r>
      <w:r>
        <w:rPr>
          <w:rFonts w:ascii="Noto Sans" w:hAnsi="Noto Sans" w:eastAsia="Noto Sans" w:cs="Noto Sans"/>
          <w:b/>
          <w:color w:val="008F87"/>
          <w:sz w:val="29"/>
        </w:rPr>
        <w:tab/>
      </w:r>
      <w:r>
        <w:rPr>
          <w:rFonts w:ascii="Noto Sans" w:hAnsi="Noto Sans" w:eastAsia="Noto Sans" w:cs="Noto Sans"/>
          <w:b/>
          <w:color w:val="008F87"/>
          <w:sz w:val="29"/>
        </w:rPr>
        <w:t xml:space="preserve">Prediction and inference optimize different questions</w:t>
      </w:r>
    </w:p>
    <w:p>
      <w:pPr>
        <w:pStyle w:val="FirstParagraph"/>
      </w:pPr>
      <w:r>
        <w:t xml:space="preserve">statsmodels emphasizes statistical models, coefficient tables, tests, and diagnostics</w:t>
      </w:r>
      <w:r>
        <w:t xml:space="preserve"> </w:t>
      </w:r>
      <w:r>
        <w:t xml:space="preserve">(statsmodels Developers 2026)</w:t>
      </w:r>
      <w:r>
        <w:t xml:space="preserve">. scikit-learn emphasizes out-of-sample prediction, pipelines, and model comparison</w:t>
      </w:r>
      <w:r>
        <w:t xml:space="preserve"> </w:t>
      </w:r>
      <w:r>
        <w:t xml:space="preserve">(scikit-learn Developers 2026)</w:t>
      </w:r>
      <w:r>
        <w:t xml:space="preserve">. The same linear formula can serve either purpose, but evaluation differs. A model with interpretable coefficients may not be the best forecaster; a strong predictive model may not identify structural effects.</w:t>
      </w:r>
    </w:p>
    <w:bookmarkEnd w:id="282"/>
    <w:bookmarkStart w:id="283" w:name="core-equations-3"/>
    <w:p>
      <w:pPr>
        <w:pStyle w:val="Heading2"/>
        <w:keepNext/>
      </w:pPr>
      <w:r>
        <w:rPr>
          <w:rStyle w:val="SectionNumber"/>
          <w:rFonts w:ascii="Noto Sans" w:hAnsi="Noto Sans" w:eastAsia="Noto Sans" w:cs="Noto Sans"/>
          <w:b/>
          <w:color w:val="008F87"/>
          <w:sz w:val="29"/>
        </w:rPr>
        <w:t xml:space="preserve">15.5</w:t>
      </w:r>
      <w:r>
        <w:rPr>
          <w:rFonts w:ascii="Noto Sans" w:hAnsi="Noto Sans" w:eastAsia="Noto Sans" w:cs="Noto Sans"/>
          <w:b/>
          <w:color w:val="008F87"/>
          <w:sz w:val="29"/>
        </w:rPr>
        <w:tab/>
      </w:r>
      <w:r>
        <w:rPr>
          <w:rFonts w:ascii="Noto Sans" w:hAnsi="Noto Sans" w:eastAsia="Noto Sans" w:cs="Noto Sans"/>
          <w:b/>
          <w:color w:val="008F87"/>
          <w:sz w:val="29"/>
        </w:rPr>
        <w:t xml:space="preserve">Core equations</w:t>
      </w:r>
    </w:p>
    <w:p>
      <w:pPr>
        <w:pStyle w:val="FirstParagraph"/>
      </w:pPr>
      <w:r>
        <w:rPr>
          <w:b/>
          <w:bCs/>
        </w:rPr>
        <w:t xml:space="preserve">Linear regression</w:t>
      </w:r>
    </w:p>
    <w:p>
      <w:pPr>
        <w:pStyle w:val="BodyText"/>
      </w:pPr>
      <m:oMathPara>
        <m:oMathParaPr>
          <m:jc m:val="center"/>
        </m:oMathParaPr>
        <m:oMath>
          <m:sSub>
            <m:e>
              <m:r>
                <m:t>y</m:t>
              </m:r>
            </m:e>
            <m:sub>
              <m:r>
                <m:t>i</m:t>
              </m:r>
            </m:sub>
          </m:sSub>
          <m:r>
            <m:rPr>
              <m:sty m:val="p"/>
            </m:rPr>
            <m:t>=</m:t>
          </m:r>
          <m:sSub>
            <m:e>
              <m:r>
                <m:t>β</m:t>
              </m:r>
            </m:e>
            <m:sub>
              <m:r>
                <m:t>0</m:t>
              </m:r>
            </m:sub>
          </m:sSub>
          <m:r>
            <m:rPr>
              <m:sty m:val="p"/>
            </m:rPr>
            <m:t>+</m:t>
          </m:r>
          <m:sSub>
            <m:e>
              <m:r>
                <m:t>β</m:t>
              </m:r>
            </m:e>
            <m:sub>
              <m:r>
                <m:t>1</m:t>
              </m:r>
            </m:sub>
          </m:sSub>
          <m:sSub>
            <m:e>
              <m:r>
                <m:t>x</m:t>
              </m:r>
            </m:e>
            <m:sub>
              <m:r>
                <m:t>1</m:t>
              </m:r>
              <m:r>
                <m:t>i</m:t>
              </m:r>
            </m:sub>
          </m:sSub>
          <m:r>
            <m:rPr>
              <m:sty m:val="p"/>
            </m:rPr>
            <m:t>+</m:t>
          </m:r>
          <m:r>
            <m:rPr>
              <m:sty m:val="p"/>
            </m:rPr>
            <m:t>⋯</m:t>
          </m:r>
          <m:r>
            <m:rPr>
              <m:sty m:val="p"/>
            </m:rPr>
            <m:t>+</m:t>
          </m:r>
          <m:sSub>
            <m:e>
              <m:r>
                <m:t>β</m:t>
              </m:r>
            </m:e>
            <m:sub>
              <m:r>
                <m:t>k</m:t>
              </m:r>
            </m:sub>
          </m:sSub>
          <m:sSub>
            <m:e>
              <m:r>
                <m:t>x</m:t>
              </m:r>
            </m:e>
            <m:sub>
              <m:r>
                <m:t>k</m:t>
              </m:r>
              <m:r>
                <m:t>i</m:t>
              </m:r>
            </m:sub>
          </m:sSub>
          <m:r>
            <m:rPr>
              <m:sty m:val="p"/>
            </m:rPr>
            <m:t>+</m:t>
          </m:r>
          <m:sSub>
            <m:e>
              <m:r>
                <m:t>u</m:t>
              </m:r>
            </m:e>
            <m:sub>
              <m:r>
                <m:t>i</m:t>
              </m:r>
            </m:sub>
          </m:sSub>
        </m:oMath>
      </m:oMathPara>
    </w:p>
    <w:p>
      <w:pPr>
        <w:pStyle w:val="FirstParagraph"/>
      </w:pPr>
      <w:r>
        <w:t xml:space="preserve">The residual u captures unobserved components relative to the specified conditional mean.</w:t>
      </w:r>
    </w:p>
    <w:bookmarkEnd w:id="283"/>
    <w:bookmarkStart w:id="286" w:name="python-demonstrations-14"/>
    <w:p>
      <w:pPr>
        <w:pStyle w:val="Heading2"/>
        <w:keepNext/>
      </w:pPr>
      <w:r>
        <w:rPr>
          <w:rStyle w:val="SectionNumber"/>
          <w:rFonts w:ascii="Noto Sans" w:hAnsi="Noto Sans" w:eastAsia="Noto Sans" w:cs="Noto Sans"/>
          <w:b/>
          <w:color w:val="008F87"/>
          <w:sz w:val="29"/>
        </w:rPr>
        <w:t xml:space="preserve">15.6</w:t>
      </w:r>
      <w:r>
        <w:rPr>
          <w:rFonts w:ascii="Noto Sans" w:hAnsi="Noto Sans" w:eastAsia="Noto Sans" w:cs="Noto Sans"/>
          <w:b/>
          <w:color w:val="008F87"/>
          <w:sz w:val="29"/>
        </w:rPr>
        <w:tab/>
      </w:r>
      <w:r>
        <w:rPr>
          <w:rFonts w:ascii="Noto Sans" w:hAnsi="Noto Sans" w:eastAsia="Noto Sans" w:cs="Noto Sans"/>
          <w:b/>
          <w:color w:val="008F87"/>
          <w:sz w:val="29"/>
        </w:rPr>
        <w:t xml:space="preserve">Python demonstrations</w:t>
      </w:r>
    </w:p>
    <w:bookmarkStart w:id="284" w:name="Xfc9bd0dd8d127ca9887b48727b9752015356e97"/>
    <w:p>
      <w:pPr>
        <w:pStyle w:val="Heading3"/>
        <w:keepNext/>
      </w:pPr>
      <w:r>
        <w:rPr>
          <w:rStyle w:val="SectionNumber"/>
          <w:rFonts w:ascii="Noto Sans" w:hAnsi="Noto Sans" w:eastAsia="Noto Sans" w:cs="Noto Sans"/>
          <w:b/>
          <w:color w:val="0A2342"/>
          <w:sz w:val="23"/>
        </w:rPr>
        <w:t xml:space="preserve">15.6.1</w:t>
      </w:r>
      <w:r>
        <w:rPr>
          <w:rFonts w:ascii="Noto Sans" w:hAnsi="Noto Sans" w:eastAsia="Noto Sans" w:cs="Noto Sans"/>
          <w:b/>
          <w:color w:val="0A2342"/>
          <w:sz w:val="23"/>
        </w:rPr>
        <w:tab/>
      </w:r>
      <w:r>
        <w:rPr>
          <w:rFonts w:ascii="Noto Sans" w:hAnsi="Noto Sans" w:eastAsia="Noto Sans" w:cs="Noto Sans"/>
          <w:b/>
          <w:color w:val="0A2342"/>
          <w:sz w:val="23"/>
        </w:rPr>
        <w:t xml:space="preserve">Demonstration 15.1: Estimate OLS with robust standard errors</w:t>
      </w:r>
    </w:p>
    <w:p>
      <w:pPr>
        <w:pStyle w:val="SourceCode"/>
        <w:shd w:fill="F6F8FA" w:val="clear"/>
      </w:pPr>
      <w:r>
        <w:rPr>
          <w:rStyle w:val="ImportTok"/>
        </w:rPr>
        <w:t xml:space="preserve">import</w:t>
      </w:r>
      <w:r>
        <w:rPr>
          <w:rStyle w:val="NormalTok"/>
        </w:rPr>
        <w:t xml:space="preserve"> numpy </w:t>
      </w:r>
      <w:r>
        <w:rPr>
          <w:rStyle w:val="ImportTok"/>
        </w:rPr>
        <w:t xml:space="preserve">as</w:t>
      </w:r>
      <w:r>
        <w:rPr>
          <w:rStyle w:val="NormalTok"/>
        </w:rPr>
        <w:t xml:space="preserve"> np</w:t>
      </w:r>
      <w:r>
        <w:br/>
      </w:r>
      <w:r>
        <w:rPr>
          <w:rStyle w:val="ImportTok"/>
        </w:rPr>
        <w:t xml:space="preserve">import</w:t>
      </w:r>
      <w:r>
        <w:rPr>
          <w:rStyle w:val="NormalTok"/>
        </w:rPr>
        <w:t xml:space="preserve"> pandas </w:t>
      </w:r>
      <w:r>
        <w:rPr>
          <w:rStyle w:val="ImportTok"/>
        </w:rPr>
        <w:t xml:space="preserve">as</w:t>
      </w:r>
      <w:r>
        <w:rPr>
          <w:rStyle w:val="NormalTok"/>
        </w:rPr>
        <w:t xml:space="preserve"> pd</w:t>
      </w:r>
      <w:r>
        <w:br/>
      </w:r>
      <w:r>
        <w:rPr>
          <w:rStyle w:val="ImportTok"/>
        </w:rPr>
        <w:t xml:space="preserve">import</w:t>
      </w:r>
      <w:r>
        <w:rPr>
          <w:rStyle w:val="NormalTok"/>
        </w:rPr>
        <w:t xml:space="preserve"> statsmodels.formula.api </w:t>
      </w:r>
      <w:r>
        <w:rPr>
          <w:rStyle w:val="ImportTok"/>
        </w:rPr>
        <w:t xml:space="preserve">as</w:t>
      </w:r>
      <w:r>
        <w:rPr>
          <w:rStyle w:val="NormalTok"/>
        </w:rPr>
        <w:t xml:space="preserve"> smf</w:t>
      </w:r>
      <w:r>
        <w:br/>
      </w:r>
      <w:r>
        <w:br/>
      </w:r>
      <w:r>
        <w:rPr>
          <w:rStyle w:val="NormalTok"/>
        </w:rPr>
        <w:t xml:space="preserve">rng </w:t>
      </w:r>
      <w:r>
        <w:rPr>
          <w:rStyle w:val="OperatorTok"/>
        </w:rPr>
        <w:t xml:space="preserve">=</w:t>
      </w:r>
      <w:r>
        <w:rPr>
          <w:rStyle w:val="NormalTok"/>
        </w:rPr>
        <w:t xml:space="preserve"> np.random.default_rng(</w:t>
      </w:r>
      <w:r>
        <w:rPr>
          <w:rStyle w:val="DecValTok"/>
        </w:rPr>
        <w:t xml:space="preserve">15</w:t>
      </w:r>
      <w:r>
        <w:rPr>
          <w:rStyle w:val="NormalTok"/>
        </w:rPr>
        <w:t xml:space="preserve">)</w:t>
      </w:r>
      <w:r>
        <w:br/>
      </w:r>
      <w:r>
        <w:rPr>
          <w:rStyle w:val="NormalTok"/>
        </w:rPr>
        <w:t xml:space="preserve">x </w:t>
      </w:r>
      <w:r>
        <w:rPr>
          <w:rStyle w:val="OperatorTok"/>
        </w:rPr>
        <w:t xml:space="preserve">=</w:t>
      </w:r>
      <w:r>
        <w:rPr>
          <w:rStyle w:val="NormalTok"/>
        </w:rPr>
        <w:t xml:space="preserve"> np.linspace(</w:t>
      </w:r>
      <w:r>
        <w:rPr>
          <w:rStyle w:val="DecValTok"/>
        </w:rPr>
        <w:t xml:space="preserve">0</w:t>
      </w:r>
      <w:r>
        <w:rPr>
          <w:rStyle w:val="NormalTok"/>
        </w:rPr>
        <w:t xml:space="preserve">, </w:t>
      </w:r>
      <w:r>
        <w:rPr>
          <w:rStyle w:val="DecValTok"/>
        </w:rPr>
        <w:t xml:space="preserve">10</w:t>
      </w:r>
      <w:r>
        <w:rPr>
          <w:rStyle w:val="NormalTok"/>
        </w:rPr>
        <w:t xml:space="preserve">, </w:t>
      </w:r>
      <w:r>
        <w:rPr>
          <w:rStyle w:val="DecValTok"/>
        </w:rPr>
        <w:t xml:space="preserve">120</w:t>
      </w:r>
      <w:r>
        <w:rPr>
          <w:rStyle w:val="NormalTok"/>
        </w:rPr>
        <w:t xml:space="preserve">)</w:t>
      </w:r>
      <w:r>
        <w:br/>
      </w:r>
      <w:r>
        <w:rPr>
          <w:rStyle w:val="NormalTok"/>
        </w:rPr>
        <w:t xml:space="preserve">y </w:t>
      </w:r>
      <w:r>
        <w:rPr>
          <w:rStyle w:val="OperatorTok"/>
        </w:rPr>
        <w:t xml:space="preserve">=</w:t>
      </w:r>
      <w:r>
        <w:rPr>
          <w:rStyle w:val="NormalTok"/>
        </w:rPr>
        <w:t xml:space="preserve"> </w:t>
      </w:r>
      <w:r>
        <w:rPr>
          <w:rStyle w:val="FloatTok"/>
        </w:rPr>
        <w:t xml:space="preserve">1.5</w:t>
      </w:r>
      <w:r>
        <w:rPr>
          <w:rStyle w:val="NormalTok"/>
        </w:rPr>
        <w:t xml:space="preserve"> </w:t>
      </w:r>
      <w:r>
        <w:rPr>
          <w:rStyle w:val="OperatorTok"/>
        </w:rPr>
        <w:t xml:space="preserve">+</w:t>
      </w:r>
      <w:r>
        <w:rPr>
          <w:rStyle w:val="NormalTok"/>
        </w:rPr>
        <w:t xml:space="preserve"> </w:t>
      </w:r>
      <w:r>
        <w:rPr>
          <w:rStyle w:val="FloatTok"/>
        </w:rPr>
        <w:t xml:space="preserve">0.8</w:t>
      </w:r>
      <w:r>
        <w:rPr>
          <w:rStyle w:val="OperatorTok"/>
        </w:rPr>
        <w:t xml:space="preserve">*</w:t>
      </w:r>
      <w:r>
        <w:rPr>
          <w:rStyle w:val="NormalTok"/>
        </w:rPr>
        <w:t xml:space="preserve">x </w:t>
      </w:r>
      <w:r>
        <w:rPr>
          <w:rStyle w:val="OperatorTok"/>
        </w:rPr>
        <w:t xml:space="preserve">+</w:t>
      </w:r>
      <w:r>
        <w:rPr>
          <w:rStyle w:val="NormalTok"/>
        </w:rPr>
        <w:t xml:space="preserve"> rng.normal(</w:t>
      </w:r>
      <w:r>
        <w:rPr>
          <w:rStyle w:val="DecValTok"/>
        </w:rPr>
        <w:t xml:space="preserve">0</w:t>
      </w:r>
      <w:r>
        <w:rPr>
          <w:rStyle w:val="NormalTok"/>
        </w:rPr>
        <w:t xml:space="preserve">, </w:t>
      </w:r>
      <w:r>
        <w:rPr>
          <w:rStyle w:val="FloatTok"/>
        </w:rPr>
        <w:t xml:space="preserve">0.4</w:t>
      </w:r>
      <w:r>
        <w:rPr>
          <w:rStyle w:val="NormalTok"/>
        </w:rPr>
        <w:t xml:space="preserve"> </w:t>
      </w:r>
      <w:r>
        <w:rPr>
          <w:rStyle w:val="OperatorTok"/>
        </w:rPr>
        <w:t xml:space="preserve">+</w:t>
      </w:r>
      <w:r>
        <w:rPr>
          <w:rStyle w:val="NormalTok"/>
        </w:rPr>
        <w:t xml:space="preserve"> </w:t>
      </w:r>
      <w:r>
        <w:rPr>
          <w:rStyle w:val="FloatTok"/>
        </w:rPr>
        <w:t xml:space="preserve">0.08</w:t>
      </w:r>
      <w:r>
        <w:rPr>
          <w:rStyle w:val="OperatorTok"/>
        </w:rPr>
        <w:t xml:space="preserve">*</w:t>
      </w:r>
      <w:r>
        <w:rPr>
          <w:rStyle w:val="NormalTok"/>
        </w:rPr>
        <w:t xml:space="preserve">x)</w:t>
      </w:r>
      <w:r>
        <w:br/>
      </w:r>
      <w:r>
        <w:rPr>
          <w:rStyle w:val="NormalTok"/>
        </w:rPr>
        <w:t xml:space="preserve">df </w:t>
      </w:r>
      <w:r>
        <w:rPr>
          <w:rStyle w:val="OperatorTok"/>
        </w:rPr>
        <w:t xml:space="preserve">=</w:t>
      </w:r>
      <w:r>
        <w:rPr>
          <w:rStyle w:val="NormalTok"/>
        </w:rPr>
        <w:t xml:space="preserve"> pd.DataFrame({</w:t>
      </w:r>
      <w:r>
        <w:rPr>
          <w:rStyle w:val="StringTok"/>
        </w:rPr>
        <w:t xml:space="preserve">"y"</w:t>
      </w:r>
      <w:r>
        <w:rPr>
          <w:rStyle w:val="NormalTok"/>
        </w:rPr>
        <w:t xml:space="preserve">: y, </w:t>
      </w:r>
      <w:r>
        <w:rPr>
          <w:rStyle w:val="StringTok"/>
        </w:rPr>
        <w:t xml:space="preserve">"x"</w:t>
      </w:r>
      <w:r>
        <w:rPr>
          <w:rStyle w:val="NormalTok"/>
        </w:rPr>
        <w:t xml:space="preserve">: x})</w:t>
      </w:r>
      <w:r>
        <w:br/>
      </w:r>
      <w:r>
        <w:rPr>
          <w:rStyle w:val="NormalTok"/>
        </w:rPr>
        <w:t xml:space="preserve">model </w:t>
      </w:r>
      <w:r>
        <w:rPr>
          <w:rStyle w:val="OperatorTok"/>
        </w:rPr>
        <w:t xml:space="preserve">=</w:t>
      </w:r>
      <w:r>
        <w:rPr>
          <w:rStyle w:val="NormalTok"/>
        </w:rPr>
        <w:t xml:space="preserve"> smf.ols(</w:t>
      </w:r>
      <w:r>
        <w:rPr>
          <w:rStyle w:val="StringTok"/>
        </w:rPr>
        <w:t xml:space="preserve">"y ~ x"</w:t>
      </w:r>
      <w:r>
        <w:rPr>
          <w:rStyle w:val="NormalTok"/>
        </w:rPr>
        <w:t xml:space="preserve">, data</w:t>
      </w:r>
      <w:r>
        <w:rPr>
          <w:rStyle w:val="OperatorTok"/>
        </w:rPr>
        <w:t xml:space="preserve">=</w:t>
      </w:r>
      <w:r>
        <w:rPr>
          <w:rStyle w:val="NormalTok"/>
        </w:rPr>
        <w:t xml:space="preserve">df).fit(cov_type</w:t>
      </w:r>
      <w:r>
        <w:rPr>
          <w:rStyle w:val="OperatorTok"/>
        </w:rPr>
        <w:t xml:space="preserve">=</w:t>
      </w:r>
      <w:r>
        <w:rPr>
          <w:rStyle w:val="StringTok"/>
        </w:rPr>
        <w:t xml:space="preserve">"HC3"</w:t>
      </w:r>
      <w:r>
        <w:rPr>
          <w:rStyle w:val="NormalTok"/>
        </w:rPr>
        <w:t xml:space="preserve">)</w:t>
      </w:r>
      <w:r>
        <w:br/>
      </w:r>
      <w:r>
        <w:rPr>
          <w:rStyle w:val="BuiltInTok"/>
        </w:rPr>
        <w:t xml:space="preserve">print</w:t>
      </w:r>
      <w:r>
        <w:rPr>
          <w:rStyle w:val="NormalTok"/>
        </w:rPr>
        <w:t xml:space="preserve">(</w:t>
      </w:r>
      <w:r>
        <w:rPr>
          <w:rStyle w:val="BuiltInTok"/>
        </w:rPr>
        <w:t xml:space="preserve">round</w:t>
      </w:r>
      <w:r>
        <w:rPr>
          <w:rStyle w:val="NormalTok"/>
        </w:rPr>
        <w:t xml:space="preserve">(model.params[</w:t>
      </w:r>
      <w:r>
        <w:rPr>
          <w:rStyle w:val="StringTok"/>
        </w:rPr>
        <w:t xml:space="preserve">"x"</w:t>
      </w:r>
      <w:r>
        <w:rPr>
          <w:rStyle w:val="NormalTok"/>
        </w:rPr>
        <w:t xml:space="preserve">], </w:t>
      </w:r>
      <w:r>
        <w:rPr>
          <w:rStyle w:val="DecValTok"/>
        </w:rPr>
        <w:t xml:space="preserve">3</w:t>
      </w:r>
      <w:r>
        <w:rPr>
          <w:rStyle w:val="NormalTok"/>
        </w:rPr>
        <w:t xml:space="preserve">), </w:t>
      </w:r>
      <w:r>
        <w:rPr>
          <w:rStyle w:val="BuiltInTok"/>
        </w:rPr>
        <w:t xml:space="preserve">round</w:t>
      </w:r>
      <w:r>
        <w:rPr>
          <w:rStyle w:val="NormalTok"/>
        </w:rPr>
        <w:t xml:space="preserve">(model.bse[</w:t>
      </w:r>
      <w:r>
        <w:rPr>
          <w:rStyle w:val="StringTok"/>
        </w:rPr>
        <w:t xml:space="preserve">"x"</w:t>
      </w:r>
      <w:r>
        <w:rPr>
          <w:rStyle w:val="NormalTok"/>
        </w:rPr>
        <w:t xml:space="preserve">], </w:t>
      </w:r>
      <w:r>
        <w:rPr>
          <w:rStyle w:val="DecValTok"/>
        </w:rPr>
        <w:t xml:space="preserve">3</w:t>
      </w:r>
      <w:r>
        <w:rPr>
          <w:rStyle w:val="NormalTok"/>
        </w:rPr>
        <w:t xml:space="preserve">))</w:t>
      </w:r>
    </w:p>
    <w:p>
      <w:pPr>
        <w:pStyle w:val="FirstParagraph"/>
      </w:pPr>
      <w:r>
        <w:rPr>
          <w:b/>
          <w:bCs/>
        </w:rPr>
        <w:t xml:space="preserve">Verified output</w:t>
      </w:r>
    </w:p>
    <w:p>
      <w:pPr>
        <w:pStyle w:val="SourceCode"/>
        <w:keepLines/>
        <w:shd w:fill="F6F8FA" w:val="clear"/>
      </w:pPr>
      <w:r>
        <w:rPr>
          <w:rStyle w:val="VerbatimChar"/>
        </w:rPr>
        <w:t xml:space="preserve">0.848 0.028</w:t>
      </w:r>
    </w:p>
    <w:p>
      <w:pPr>
        <w:pStyle w:val="FirstParagraph"/>
      </w:pPr>
      <w:r>
        <w:rPr>
          <w:b/>
          <w:bCs/>
        </w:rPr>
        <w:t xml:space="preserve">Interpretation.</w:t>
      </w:r>
      <w:r>
        <w:t xml:space="preserve"> </w:t>
      </w:r>
      <w:r>
        <w:t xml:space="preserve">The slope is close to the data-generating value. HC3 standard errors account for heteroskedasticity in a large-sample approximation.</w:t>
      </w:r>
    </w:p>
    <w:bookmarkEnd w:id="284"/>
    <w:bookmarkStart w:id="285" w:name="X49e7d09f8c9d44e06681c7619aaa070589fc937"/>
    <w:p>
      <w:pPr>
        <w:pStyle w:val="Heading3"/>
        <w:keepNext/>
      </w:pPr>
      <w:r>
        <w:rPr>
          <w:rStyle w:val="SectionNumber"/>
          <w:rFonts w:ascii="Noto Sans" w:hAnsi="Noto Sans" w:eastAsia="Noto Sans" w:cs="Noto Sans"/>
          <w:b/>
          <w:color w:val="0A2342"/>
          <w:sz w:val="23"/>
        </w:rPr>
        <w:t xml:space="preserve">15.6.2</w:t>
      </w:r>
      <w:r>
        <w:rPr>
          <w:rFonts w:ascii="Noto Sans" w:hAnsi="Noto Sans" w:eastAsia="Noto Sans" w:cs="Noto Sans"/>
          <w:b/>
          <w:color w:val="0A2342"/>
          <w:sz w:val="23"/>
        </w:rPr>
        <w:tab/>
      </w:r>
      <w:r>
        <w:rPr>
          <w:rFonts w:ascii="Noto Sans" w:hAnsi="Noto Sans" w:eastAsia="Noto Sans" w:cs="Noto Sans"/>
          <w:b/>
          <w:color w:val="0A2342"/>
          <w:sz w:val="23"/>
        </w:rPr>
        <w:t xml:space="preserve">Demonstration 15.2: Interpret an interaction</w:t>
      </w:r>
    </w:p>
    <w:p>
      <w:pPr>
        <w:pStyle w:val="SourceCode"/>
        <w:keepLines/>
        <w:shd w:fill="F6F8FA" w:val="clear"/>
      </w:pPr>
      <w:r>
        <w:rPr>
          <w:rStyle w:val="NormalTok"/>
        </w:rPr>
        <w:t xml:space="preserve">df[</w:t>
      </w:r>
      <w:r>
        <w:rPr>
          <w:rStyle w:val="StringTok"/>
        </w:rPr>
        <w:t xml:space="preserve">"group"</w:t>
      </w:r>
      <w:r>
        <w:rPr>
          <w:rStyle w:val="NormalTok"/>
        </w:rPr>
        <w:t xml:space="preserve">] </w:t>
      </w:r>
      <w:r>
        <w:rPr>
          <w:rStyle w:val="OperatorTok"/>
        </w:rPr>
        <w:t xml:space="preserve">=</w:t>
      </w:r>
      <w:r>
        <w:rPr>
          <w:rStyle w:val="NormalTok"/>
        </w:rPr>
        <w:t xml:space="preserve"> (df[</w:t>
      </w:r>
      <w:r>
        <w:rPr>
          <w:rStyle w:val="StringTok"/>
        </w:rPr>
        <w:t xml:space="preserve">"x"</w:t>
      </w:r>
      <w:r>
        <w:rPr>
          <w:rStyle w:val="NormalTok"/>
        </w:rPr>
        <w:t xml:space="preserve">] </w:t>
      </w:r>
      <w:r>
        <w:rPr>
          <w:rStyle w:val="OperatorTok"/>
        </w:rPr>
        <w:t xml:space="preserve">&gt;</w:t>
      </w:r>
      <w:r>
        <w:rPr>
          <w:rStyle w:val="NormalTok"/>
        </w:rPr>
        <w:t xml:space="preserve"> </w:t>
      </w:r>
      <w:r>
        <w:rPr>
          <w:rStyle w:val="DecValTok"/>
        </w:rPr>
        <w:t xml:space="preserve">5</w:t>
      </w:r>
      <w:r>
        <w:rPr>
          <w:rStyle w:val="NormalTok"/>
        </w:rPr>
        <w:t xml:space="preserve">).astype(</w:t>
      </w:r>
      <w:r>
        <w:rPr>
          <w:rStyle w:val="BuiltInTok"/>
        </w:rPr>
        <w:t xml:space="preserve">int</w:t>
      </w:r>
      <w:r>
        <w:rPr>
          <w:rStyle w:val="NormalTok"/>
        </w:rPr>
        <w:t xml:space="preserve">)</w:t>
      </w:r>
      <w:r>
        <w:br/>
      </w:r>
      <w:r>
        <w:rPr>
          <w:rStyle w:val="NormalTok"/>
        </w:rPr>
        <w:t xml:space="preserve">interaction </w:t>
      </w:r>
      <w:r>
        <w:rPr>
          <w:rStyle w:val="OperatorTok"/>
        </w:rPr>
        <w:t xml:space="preserve">=</w:t>
      </w:r>
      <w:r>
        <w:rPr>
          <w:rStyle w:val="NormalTok"/>
        </w:rPr>
        <w:t xml:space="preserve"> smf.ols(</w:t>
      </w:r>
      <w:r>
        <w:rPr>
          <w:rStyle w:val="StringTok"/>
        </w:rPr>
        <w:t xml:space="preserve">"y ~ x * group"</w:t>
      </w:r>
      <w:r>
        <w:rPr>
          <w:rStyle w:val="NormalTok"/>
        </w:rPr>
        <w:t xml:space="preserve">, data</w:t>
      </w:r>
      <w:r>
        <w:rPr>
          <w:rStyle w:val="OperatorTok"/>
        </w:rPr>
        <w:t xml:space="preserve">=</w:t>
      </w:r>
      <w:r>
        <w:rPr>
          <w:rStyle w:val="NormalTok"/>
        </w:rPr>
        <w:t xml:space="preserve">df).fit(cov_type</w:t>
      </w:r>
      <w:r>
        <w:rPr>
          <w:rStyle w:val="OperatorTok"/>
        </w:rPr>
        <w:t xml:space="preserve">=</w:t>
      </w:r>
      <w:r>
        <w:rPr>
          <w:rStyle w:val="StringTok"/>
        </w:rPr>
        <w:t xml:space="preserve">"HC3"</w:t>
      </w:r>
      <w:r>
        <w:rPr>
          <w:rStyle w:val="NormalTok"/>
        </w:rPr>
        <w:t xml:space="preserve">)</w:t>
      </w:r>
      <w:r>
        <w:br/>
      </w:r>
      <w:r>
        <w:rPr>
          <w:rStyle w:val="BuiltInTok"/>
        </w:rPr>
        <w:t xml:space="preserve">print</w:t>
      </w:r>
      <w:r>
        <w:rPr>
          <w:rStyle w:val="NormalTok"/>
        </w:rPr>
        <w:t xml:space="preserve">(interaction.params.</w:t>
      </w:r>
      <w:r>
        <w:rPr>
          <w:rStyle w:val="BuiltInTok"/>
        </w:rPr>
        <w:t xml:space="preserve">round</w:t>
      </w:r>
      <w:r>
        <w:rPr>
          <w:rStyle w:val="NormalTok"/>
        </w:rPr>
        <w:t xml:space="preserve">(</w:t>
      </w:r>
      <w:r>
        <w:rPr>
          <w:rStyle w:val="DecValTok"/>
        </w:rPr>
        <w:t xml:space="preserve">3</w:t>
      </w:r>
      <w:r>
        <w:rPr>
          <w:rStyle w:val="NormalTok"/>
        </w:rPr>
        <w:t xml:space="preserve">).to_dict())</w:t>
      </w:r>
    </w:p>
    <w:p>
      <w:pPr>
        <w:pStyle w:val="FirstParagraph"/>
      </w:pPr>
      <w:r>
        <w:rPr>
          <w:b/>
          <w:bCs/>
        </w:rPr>
        <w:t xml:space="preserve">Verified output</w:t>
      </w:r>
    </w:p>
    <w:p>
      <w:pPr>
        <w:pStyle w:val="SourceCode"/>
        <w:keepLines/>
        <w:shd w:fill="F6F8FA" w:val="clear"/>
      </w:pPr>
      <w:r>
        <w:rPr>
          <w:rStyle w:val="VerbatimChar"/>
        </w:rPr>
        <w:t xml:space="preserve">{'Intercept': 1.503, 'x': 0.809, 'group': -0.565, 'x:group': 0.099}</w:t>
      </w:r>
    </w:p>
    <w:p>
      <w:pPr>
        <w:pStyle w:val="FirstParagraph"/>
      </w:pPr>
      <w:r>
        <w:rPr>
          <w:b/>
          <w:bCs/>
        </w:rPr>
        <w:t xml:space="preserve">Interpretation.</w:t>
      </w:r>
      <w:r>
        <w:t xml:space="preserve"> </w:t>
      </w:r>
      <w:r>
        <w:t xml:space="preserve">The interaction allows the slope to differ after x exceeds five. Here the estimated difference is small because the simulated process has one common slope.</w:t>
      </w:r>
    </w:p>
    <w:bookmarkEnd w:id="285"/>
    <w:bookmarkEnd w:id="286"/>
    <w:bookmarkStart w:id="293" w:name="visual-evidence-14"/>
    <w:p>
      <w:pPr>
        <w:pStyle w:val="Heading2"/>
        <w:keepNext/>
      </w:pPr>
      <w:r>
        <w:rPr>
          <w:rStyle w:val="SectionNumber"/>
          <w:rFonts w:ascii="Noto Sans" w:hAnsi="Noto Sans" w:eastAsia="Noto Sans" w:cs="Noto Sans"/>
          <w:b/>
          <w:color w:val="008F87"/>
          <w:sz w:val="29"/>
        </w:rPr>
        <w:t xml:space="preserve">15.7</w:t>
      </w:r>
      <w:r>
        <w:rPr>
          <w:rFonts w:ascii="Noto Sans" w:hAnsi="Noto Sans" w:eastAsia="Noto Sans" w:cs="Noto Sans"/>
          <w:b/>
          <w:color w:val="008F87"/>
          <w:sz w:val="29"/>
        </w:rPr>
        <w:tab/>
      </w:r>
      <w:r>
        <w:rPr>
          <w:rFonts w:ascii="Noto Sans" w:hAnsi="Noto Sans" w:eastAsia="Noto Sans" w:cs="Noto Sans"/>
          <w:b/>
          <w:color w:val="008F87"/>
          <w:sz w:val="29"/>
        </w:rPr>
        <w:t xml:space="preserve">Visual evidence</w:t>
      </w:r>
    </w:p>
    <w:p>
      <w:pPr>
        <w:pStyle w:val="FirstParagraph"/>
      </w:pPr>
      <w:r>
        <w:drawing>
          <wp:inline>
            <wp:extent cx="4907280" cy="3209296"/>
            <wp:effectExtent b="0" l="0" r="0" t="0"/>
            <wp:docPr descr="Image: rId287.png" title="" id="288" name="Picture"/>
            <a:graphic>
              <a:graphicData uri="http://schemas.openxmlformats.org/drawingml/2006/picture">
                <pic:pic>
                  <pic:nvPicPr>
                    <pic:cNvPr descr="figures/fig_15_regression_line.png" id="289" name="Picture"/>
                    <pic:cNvPicPr>
                      <a:picLocks noChangeArrowheads="1" noChangeAspect="1"/>
                    </pic:cNvPicPr>
                  </pic:nvPicPr>
                  <pic:blipFill>
                    <a:blip r:embed="rId287"/>
                    <a:stretch>
                      <a:fillRect/>
                    </a:stretch>
                  </pic:blipFill>
                  <pic:spPr bwMode="auto">
                    <a:xfrm>
                      <a:off x="0" y="0"/>
                      <a:ext cx="4907280" cy="3209296"/>
                    </a:xfrm>
                    <a:prstGeom prst="rect">
                      <a:avLst/>
                    </a:prstGeom>
                    <a:noFill/>
                    <a:ln w="9525">
                      <a:noFill/>
                      <a:headEnd/>
                      <a:tailEnd/>
                    </a:ln>
                  </pic:spPr>
                </pic:pic>
              </a:graphicData>
            </a:graphic>
          </wp:inline>
        </w:drawing>
      </w:r>
    </w:p>
    <w:p>
      <w:pPr>
        <w:pStyle w:val="Caption"/>
        <w:keepNext w:val="0"/>
        <w:jc w:val="center"/>
      </w:pPr>
      <w:r>
        <w:rPr>
          <w:b/>
          <w:bCs/>
        </w:rPr>
        <w:t xml:space="preserve">Figure 15.</w:t>
      </w:r>
      <w:r>
        <w:t xml:space="preserve"> </w:t>
      </w:r>
      <w:r>
        <w:t xml:space="preserve">A fitted linear relationship with simulated business data.</w:t>
      </w:r>
    </w:p>
    <w:p>
      <w:pPr>
        <w:pStyle w:val="BodyText"/>
      </w:pPr>
      <w:r>
        <w:drawing>
          <wp:inline>
            <wp:extent cx="4907280" cy="2039682"/>
            <wp:effectExtent b="0" l="0" r="0" t="0"/>
            <wp:docPr descr="Image: rId290.png" title="" id="291" name="Picture"/>
            <a:graphic>
              <a:graphicData uri="http://schemas.openxmlformats.org/drawingml/2006/picture">
                <pic:pic>
                  <pic:nvPicPr>
                    <pic:cNvPr descr="figures/fig_16_regression_diagnostics.png" id="292" name="Picture"/>
                    <pic:cNvPicPr>
                      <a:picLocks noChangeArrowheads="1" noChangeAspect="1"/>
                    </pic:cNvPicPr>
                  </pic:nvPicPr>
                  <pic:blipFill>
                    <a:blip r:embed="rId290"/>
                    <a:stretch>
                      <a:fillRect/>
                    </a:stretch>
                  </pic:blipFill>
                  <pic:spPr bwMode="auto">
                    <a:xfrm>
                      <a:off x="0" y="0"/>
                      <a:ext cx="4907280" cy="2039682"/>
                    </a:xfrm>
                    <a:prstGeom prst="rect">
                      <a:avLst/>
                    </a:prstGeom>
                    <a:noFill/>
                    <a:ln w="9525">
                      <a:noFill/>
                      <a:headEnd/>
                      <a:tailEnd/>
                    </a:ln>
                  </pic:spPr>
                </pic:pic>
              </a:graphicData>
            </a:graphic>
          </wp:inline>
        </w:drawing>
      </w:r>
    </w:p>
    <w:p>
      <w:pPr>
        <w:pStyle w:val="Caption"/>
        <w:keepNext w:val="0"/>
        <w:jc w:val="center"/>
      </w:pPr>
      <w:r>
        <w:rPr>
          <w:b/>
          <w:bCs/>
        </w:rPr>
        <w:t xml:space="preserve">Figure 16.</w:t>
      </w:r>
      <w:r>
        <w:t xml:space="preserve"> </w:t>
      </w:r>
      <w:r>
        <w:t xml:space="preserve">Residual plots reveal nonlinearity, changing variance, and distributional departures.</w:t>
      </w:r>
    </w:p>
    <w:bookmarkEnd w:id="293"/>
    <w:bookmarkStart w:id="294" w:name="reference-table-14"/>
    <w:p>
      <w:pPr>
        <w:pStyle w:val="Heading2"/>
        <w:keepNext/>
      </w:pPr>
      <w:r>
        <w:rPr>
          <w:rStyle w:val="SectionNumber"/>
          <w:rFonts w:ascii="Noto Sans" w:hAnsi="Noto Sans" w:eastAsia="Noto Sans" w:cs="Noto Sans"/>
          <w:b/>
          <w:color w:val="008F87"/>
          <w:sz w:val="29"/>
        </w:rPr>
        <w:t xml:space="preserve">15.8</w:t>
      </w:r>
      <w:r>
        <w:rPr>
          <w:rFonts w:ascii="Noto Sans" w:hAnsi="Noto Sans" w:eastAsia="Noto Sans" w:cs="Noto Sans"/>
          <w:b/>
          <w:color w:val="008F87"/>
          <w:sz w:val="29"/>
        </w:rPr>
        <w:tab/>
      </w:r>
      <w:r>
        <w:rPr>
          <w:rFonts w:ascii="Noto Sans" w:hAnsi="Noto Sans" w:eastAsia="Noto Sans" w:cs="Noto Sans"/>
          <w:b/>
          <w:color w:val="008F87"/>
          <w:sz w:val="29"/>
        </w:rPr>
        <w:t xml:space="preserve">Reference table</w:t>
      </w:r>
    </w:p>
    <w:p>
      <w:pPr>
        <w:pStyle w:val="Caption"/>
        <w:keepNext/>
        <w:jc w:val="center"/>
      </w:pPr>
      <w:r>
        <w:rPr>
          <w:b/>
          <w:bCs/>
        </w:rPr>
        <w:t xml:space="preserve">Table 15. Chapter reference.</w:t>
      </w:r>
    </w:p>
    <w:tbl>
      <w:tblPr>
        <w:tblStyle w:val="Table"/>
        <w:tblW w:type="pct" w:w="5000"/>
        <w:jc w:val="center"/>
        <w:tblLayout w:type="autofit"/>
        <w:tblLook w:firstRow="1" w:lastRow="0" w:firstColumn="0" w:lastColumn="0" w:noHBand="0" w:noVBand="0" w:val="0020"/>
      </w:tblPr>
      <w:tblGrid>
        <w:gridCol w:w="2640"/>
        <w:gridCol w:w="2640"/>
        <w:gridCol w:w="2640"/>
      </w:tblGrid>
      <w:tr>
        <w:trPr>
          <w:tblHeader w:val="on"/>
          <w:tblHeader w:val="true"/>
          <w:cantSplit/>
        </w:trPr>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0A2342" w:val="clear"/>
          </w:tcPr>
          <w:p>
            <w:pPr>
              <w:pStyle w:val="Compact"/>
              <w:spacing w:before="30" w:after="30" w:line="240" w:lineRule="auto"/>
              <w:jc w:val="left"/>
            </w:pPr>
            <w:r>
              <w:rPr>
                <w:rFonts w:ascii="Noto Sans" w:hAnsi="Noto Sans" w:eastAsia="Noto Sans" w:cs="Noto Sans"/>
                <w:b/>
                <w:color w:val="FFFFFF"/>
                <w:sz w:val="16"/>
              </w:rPr>
              <w:t xml:space="preserve">Element</w:t>
            </w:r>
          </w:p>
        </w:tc>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0A2342" w:val="clear"/>
          </w:tcPr>
          <w:p>
            <w:pPr>
              <w:pStyle w:val="Compact"/>
              <w:spacing w:before="30" w:after="30" w:line="240" w:lineRule="auto"/>
              <w:jc w:val="left"/>
            </w:pPr>
            <w:r>
              <w:rPr>
                <w:rFonts w:ascii="Noto Sans" w:hAnsi="Noto Sans" w:eastAsia="Noto Sans" w:cs="Noto Sans"/>
                <w:b/>
                <w:color w:val="FFFFFF"/>
                <w:sz w:val="16"/>
              </w:rPr>
              <w:t xml:space="preserve">Interpretation</w:t>
            </w:r>
          </w:p>
        </w:tc>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0A2342" w:val="clear"/>
          </w:tcPr>
          <w:p>
            <w:pPr>
              <w:pStyle w:val="Compact"/>
              <w:spacing w:before="30" w:after="30" w:line="240" w:lineRule="auto"/>
              <w:jc w:val="left"/>
            </w:pPr>
            <w:r>
              <w:rPr>
                <w:rFonts w:ascii="Noto Sans" w:hAnsi="Noto Sans" w:eastAsia="Noto Sans" w:cs="Noto Sans"/>
                <w:b/>
                <w:color w:val="FFFFFF"/>
                <w:sz w:val="16"/>
              </w:rPr>
              <w:t xml:space="preserve">Caution</w:t>
            </w:r>
          </w:p>
        </w:tc>
      </w:tr>
      <w:tr>
        <w:trPr>
          <w:cantSplit/>
        </w:trPr>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EEF4F8" w:val="clear"/>
          </w:tcPr>
          <w:p>
            <w:pPr>
              <w:pStyle w:val="Compact"/>
              <w:spacing w:before="30" w:after="30" w:line="240" w:lineRule="auto"/>
              <w:jc w:val="left"/>
            </w:pPr>
            <w:r>
              <w:rPr>
                <w:rFonts w:ascii="Noto Sans" w:hAnsi="Noto Sans" w:eastAsia="Noto Sans" w:cs="Noto Sans"/>
                <w:b w:val="0"/>
                <w:color w:val="18212B"/>
                <w:sz w:val="16"/>
              </w:rPr>
              <w:t xml:space="preserve">coefficient</w:t>
            </w:r>
          </w:p>
        </w:tc>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EEF4F8" w:val="clear"/>
          </w:tcPr>
          <w:p>
            <w:pPr>
              <w:pStyle w:val="Compact"/>
              <w:spacing w:before="30" w:after="30" w:line="240" w:lineRule="auto"/>
              <w:jc w:val="left"/>
            </w:pPr>
            <w:r>
              <w:rPr>
                <w:rFonts w:ascii="Noto Sans" w:hAnsi="Noto Sans" w:eastAsia="Noto Sans" w:cs="Noto Sans"/>
                <w:b w:val="0"/>
                <w:color w:val="18212B"/>
                <w:sz w:val="16"/>
              </w:rPr>
              <w:t xml:space="preserve">conditional mean difference</w:t>
            </w:r>
          </w:p>
        </w:tc>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EEF4F8" w:val="clear"/>
          </w:tcPr>
          <w:p>
            <w:pPr>
              <w:pStyle w:val="Compact"/>
              <w:spacing w:before="30" w:after="30" w:line="240" w:lineRule="auto"/>
              <w:jc w:val="left"/>
            </w:pPr>
            <w:r>
              <w:rPr>
                <w:rFonts w:ascii="Noto Sans" w:hAnsi="Noto Sans" w:eastAsia="Noto Sans" w:cs="Noto Sans"/>
                <w:b w:val="0"/>
                <w:color w:val="18212B"/>
                <w:sz w:val="16"/>
              </w:rPr>
              <w:t xml:space="preserve">units and coding matter</w:t>
            </w:r>
          </w:p>
        </w:tc>
      </w:tr>
      <w:tr>
        <w:trPr>
          <w:cantSplit/>
        </w:trPr>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FFFFFF" w:val="clear"/>
          </w:tcPr>
          <w:p>
            <w:pPr>
              <w:pStyle w:val="Compact"/>
              <w:spacing w:before="30" w:after="30" w:line="240" w:lineRule="auto"/>
              <w:jc w:val="left"/>
            </w:pPr>
            <w:r>
              <w:rPr>
                <w:rFonts w:ascii="Noto Sans" w:hAnsi="Noto Sans" w:eastAsia="Noto Sans" w:cs="Noto Sans"/>
                <w:b w:val="0"/>
                <w:color w:val="18212B"/>
                <w:sz w:val="16"/>
              </w:rPr>
              <w:t xml:space="preserve">standard error</w:t>
            </w:r>
          </w:p>
        </w:tc>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FFFFFF" w:val="clear"/>
          </w:tcPr>
          <w:p>
            <w:pPr>
              <w:pStyle w:val="Compact"/>
              <w:spacing w:before="30" w:after="30" w:line="240" w:lineRule="auto"/>
              <w:jc w:val="left"/>
            </w:pPr>
            <w:r>
              <w:rPr>
                <w:rFonts w:ascii="Noto Sans" w:hAnsi="Noto Sans" w:eastAsia="Noto Sans" w:cs="Noto Sans"/>
                <w:b w:val="0"/>
                <w:color w:val="18212B"/>
                <w:sz w:val="16"/>
              </w:rPr>
              <w:t xml:space="preserve">sampling uncertainty estimate</w:t>
            </w:r>
          </w:p>
        </w:tc>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FFFFFF" w:val="clear"/>
          </w:tcPr>
          <w:p>
            <w:pPr>
              <w:pStyle w:val="Compact"/>
              <w:spacing w:before="30" w:after="30" w:line="240" w:lineRule="auto"/>
              <w:jc w:val="left"/>
            </w:pPr>
            <w:r>
              <w:rPr>
                <w:rFonts w:ascii="Noto Sans" w:hAnsi="Noto Sans" w:eastAsia="Noto Sans" w:cs="Noto Sans"/>
                <w:b w:val="0"/>
                <w:color w:val="18212B"/>
                <w:sz w:val="16"/>
              </w:rPr>
              <w:t xml:space="preserve">depends on covariance assumptions</w:t>
            </w:r>
          </w:p>
        </w:tc>
      </w:tr>
      <w:tr>
        <w:trPr>
          <w:cantSplit/>
        </w:trPr>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EEF4F8" w:val="clear"/>
          </w:tcPr>
          <w:p>
            <w:pPr>
              <w:pStyle w:val="Compact"/>
              <w:spacing w:before="30" w:after="30" w:line="240" w:lineRule="auto"/>
              <w:jc w:val="left"/>
            </w:pPr>
            <w:r>
              <w:rPr>
                <w:rFonts w:ascii="Noto Sans" w:hAnsi="Noto Sans" w:eastAsia="Noto Sans" w:cs="Noto Sans"/>
                <w:b w:val="0"/>
                <w:color w:val="18212B"/>
                <w:sz w:val="16"/>
              </w:rPr>
              <w:t xml:space="preserve">R-squared</w:t>
            </w:r>
          </w:p>
        </w:tc>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EEF4F8" w:val="clear"/>
          </w:tcPr>
          <w:p>
            <w:pPr>
              <w:pStyle w:val="Compact"/>
              <w:spacing w:before="30" w:after="30" w:line="240" w:lineRule="auto"/>
              <w:jc w:val="left"/>
            </w:pPr>
            <w:r>
              <w:rPr>
                <w:rFonts w:ascii="Noto Sans" w:hAnsi="Noto Sans" w:eastAsia="Noto Sans" w:cs="Noto Sans"/>
                <w:b w:val="0"/>
                <w:color w:val="18212B"/>
                <w:sz w:val="16"/>
              </w:rPr>
              <w:t xml:space="preserve">in-sample variance share</w:t>
            </w:r>
          </w:p>
        </w:tc>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EEF4F8" w:val="clear"/>
          </w:tcPr>
          <w:p>
            <w:pPr>
              <w:pStyle w:val="Compact"/>
              <w:spacing w:before="30" w:after="30" w:line="240" w:lineRule="auto"/>
              <w:jc w:val="left"/>
            </w:pPr>
            <w:r>
              <w:rPr>
                <w:rFonts w:ascii="Noto Sans" w:hAnsi="Noto Sans" w:eastAsia="Noto Sans" w:cs="Noto Sans"/>
                <w:b w:val="0"/>
                <w:color w:val="18212B"/>
                <w:sz w:val="16"/>
              </w:rPr>
              <w:t xml:space="preserve">not causality or forecast quality</w:t>
            </w:r>
          </w:p>
        </w:tc>
      </w:tr>
      <w:tr>
        <w:trPr>
          <w:cantSplit/>
        </w:trPr>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FFFFFF" w:val="clear"/>
          </w:tcPr>
          <w:p>
            <w:pPr>
              <w:pStyle w:val="Compact"/>
              <w:spacing w:before="30" w:after="30" w:line="240" w:lineRule="auto"/>
              <w:jc w:val="left"/>
            </w:pPr>
            <w:r>
              <w:rPr>
                <w:rFonts w:ascii="Noto Sans" w:hAnsi="Noto Sans" w:eastAsia="Noto Sans" w:cs="Noto Sans"/>
                <w:b w:val="0"/>
                <w:color w:val="18212B"/>
                <w:sz w:val="16"/>
              </w:rPr>
              <w:t xml:space="preserve">residual</w:t>
            </w:r>
          </w:p>
        </w:tc>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FFFFFF" w:val="clear"/>
          </w:tcPr>
          <w:p>
            <w:pPr>
              <w:pStyle w:val="Compact"/>
              <w:spacing w:before="30" w:after="30" w:line="240" w:lineRule="auto"/>
              <w:jc w:val="left"/>
            </w:pPr>
            <w:r>
              <w:rPr>
                <w:rFonts w:ascii="Noto Sans" w:hAnsi="Noto Sans" w:eastAsia="Noto Sans" w:cs="Noto Sans"/>
                <w:b w:val="0"/>
                <w:color w:val="18212B"/>
                <w:sz w:val="16"/>
              </w:rPr>
              <w:t xml:space="preserve">observed minus fitted</w:t>
            </w:r>
          </w:p>
        </w:tc>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FFFFFF" w:val="clear"/>
          </w:tcPr>
          <w:p>
            <w:pPr>
              <w:pStyle w:val="Compact"/>
              <w:spacing w:before="30" w:after="30" w:line="240" w:lineRule="auto"/>
              <w:jc w:val="left"/>
            </w:pPr>
            <w:r>
              <w:rPr>
                <w:rFonts w:ascii="Noto Sans" w:hAnsi="Noto Sans" w:eastAsia="Noto Sans" w:cs="Noto Sans"/>
                <w:b w:val="0"/>
                <w:color w:val="18212B"/>
                <w:sz w:val="16"/>
              </w:rPr>
              <w:t xml:space="preserve">not the true structural error</w:t>
            </w:r>
          </w:p>
        </w:tc>
      </w:tr>
      <w:tr>
        <w:trPr>
          <w:cantSplit/>
        </w:trPr>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EEF4F8" w:val="clear"/>
          </w:tcPr>
          <w:p>
            <w:pPr>
              <w:pStyle w:val="Compact"/>
              <w:spacing w:before="30" w:after="30" w:line="240" w:lineRule="auto"/>
              <w:jc w:val="left"/>
            </w:pPr>
            <w:r>
              <w:rPr>
                <w:rFonts w:ascii="Noto Sans" w:hAnsi="Noto Sans" w:eastAsia="Noto Sans" w:cs="Noto Sans"/>
                <w:b w:val="0"/>
                <w:color w:val="18212B"/>
                <w:sz w:val="16"/>
              </w:rPr>
              <w:t xml:space="preserve">interaction</w:t>
            </w:r>
          </w:p>
        </w:tc>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EEF4F8" w:val="clear"/>
          </w:tcPr>
          <w:p>
            <w:pPr>
              <w:pStyle w:val="Compact"/>
              <w:spacing w:before="30" w:after="30" w:line="240" w:lineRule="auto"/>
              <w:jc w:val="left"/>
            </w:pPr>
            <w:r>
              <w:rPr>
                <w:rFonts w:ascii="Noto Sans" w:hAnsi="Noto Sans" w:eastAsia="Noto Sans" w:cs="Noto Sans"/>
                <w:b w:val="0"/>
                <w:color w:val="18212B"/>
                <w:sz w:val="16"/>
              </w:rPr>
              <w:t xml:space="preserve">effect depends on another variable</w:t>
            </w:r>
          </w:p>
        </w:tc>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EEF4F8" w:val="clear"/>
          </w:tcPr>
          <w:p>
            <w:pPr>
              <w:pStyle w:val="Compact"/>
              <w:spacing w:before="30" w:after="30" w:line="240" w:lineRule="auto"/>
              <w:jc w:val="left"/>
            </w:pPr>
            <w:r>
              <w:rPr>
                <w:rFonts w:ascii="Noto Sans" w:hAnsi="Noto Sans" w:eastAsia="Noto Sans" w:cs="Noto Sans"/>
                <w:b w:val="0"/>
                <w:color w:val="18212B"/>
                <w:sz w:val="16"/>
              </w:rPr>
              <w:t xml:space="preserve">include lower-order terms</w:t>
            </w:r>
          </w:p>
        </w:tc>
      </w:tr>
    </w:tbl>
    <w:p>
      <w:pPr>
        <w:pStyle w:val="BlockText"/>
        <w:shd w:fill="EAF7F5" w:val="clear"/>
        <w:pBdr>
          <w:left w:val="single" w:sz="18" w:space="8" w:color="008F87"/>
        </w:pBdr>
      </w:pPr>
      <w:r>
        <w:rPr>
          <w:b/>
          <w:bCs/>
        </w:rPr>
        <w:t xml:space="preserve">Why This Matters</w:t>
      </w:r>
    </w:p>
    <w:p>
      <w:pPr>
        <w:pStyle w:val="BlockText"/>
        <w:shd w:fill="EAF7F5" w:val="clear"/>
        <w:pBdr>
          <w:left w:val="single" w:sz="18" w:space="8" w:color="008F87"/>
        </w:pBdr>
      </w:pPr>
      <w:r>
        <w:t xml:space="preserve">Regression provides a disciplined language for conditional relationships, uncertainty, and model diagnostics.</w:t>
      </w:r>
    </w:p>
    <w:p>
      <w:pPr>
        <w:pStyle w:val="BlockText"/>
        <w:shd w:fill="EAF7F5" w:val="clear"/>
        <w:pBdr>
          <w:left w:val="single" w:sz="18" w:space="8" w:color="008F87"/>
        </w:pBdr>
      </w:pPr>
      <w:r>
        <w:rPr>
          <w:b/>
          <w:bCs/>
        </w:rPr>
        <w:t xml:space="preserve">Common Mistake</w:t>
      </w:r>
    </w:p>
    <w:p>
      <w:pPr>
        <w:pStyle w:val="BlockText"/>
        <w:shd w:fill="EAF7F5" w:val="clear"/>
        <w:pBdr>
          <w:left w:val="single" w:sz="18" w:space="8" w:color="008F87"/>
        </w:pBdr>
      </w:pPr>
      <w:r>
        <w:t xml:space="preserve">Describing an observational coefficient as</w:t>
      </w:r>
      <w:r>
        <w:t xml:space="preserve"> </w:t>
      </w:r>
      <w:r>
        <w:t xml:space="preserve">“</w:t>
      </w:r>
      <w:r>
        <w:t xml:space="preserve">the impact</w:t>
      </w:r>
      <w:r>
        <w:t xml:space="preserve">”</w:t>
      </w:r>
      <w:r>
        <w:t xml:space="preserve"> </w:t>
      </w:r>
      <w:r>
        <w:t xml:space="preserve">without a design that addresses confounding and reverse causality.</w:t>
      </w:r>
    </w:p>
    <w:p>
      <w:pPr>
        <w:pStyle w:val="BlockText"/>
        <w:shd w:fill="EAF7F5" w:val="clear"/>
        <w:pBdr>
          <w:left w:val="single" w:sz="18" w:space="8" w:color="008F87"/>
        </w:pBdr>
      </w:pPr>
      <w:r>
        <w:rPr>
          <w:b/>
          <w:bCs/>
        </w:rPr>
        <w:t xml:space="preserve">Ceteris LAB Tip</w:t>
      </w:r>
    </w:p>
    <w:p>
      <w:pPr>
        <w:pStyle w:val="BlockText"/>
        <w:shd w:fill="EAF7F5" w:val="clear"/>
        <w:pBdr>
          <w:left w:val="single" w:sz="18" w:space="8" w:color="008F87"/>
        </w:pBdr>
      </w:pPr>
      <w:r>
        <w:t xml:space="preserve">Write the coefficient interpretation with units and the phrase</w:t>
      </w:r>
      <w:r>
        <w:t xml:space="preserve"> </w:t>
      </w:r>
      <w:r>
        <w:t xml:space="preserve">“</w:t>
      </w:r>
      <w:r>
        <w:t xml:space="preserve">holding included variables fixed</w:t>
      </w:r>
      <w:r>
        <w:t xml:space="preserve">”</w:t>
      </w:r>
      <w:r>
        <w:t xml:space="preserve"> </w:t>
      </w:r>
      <w:r>
        <w:t xml:space="preserve">before discussing causality.</w:t>
      </w:r>
    </w:p>
    <w:p>
      <w:pPr>
        <w:pStyle w:val="BlockText"/>
        <w:shd w:fill="EAF7F5" w:val="clear"/>
        <w:pBdr>
          <w:left w:val="single" w:sz="18" w:space="8" w:color="008F87"/>
        </w:pBdr>
      </w:pPr>
      <w:r>
        <w:rPr>
          <w:b/>
          <w:bCs/>
        </w:rPr>
        <w:t xml:space="preserve">R-to-Python / Source Bridge</w:t>
      </w:r>
    </w:p>
    <w:p>
      <w:pPr>
        <w:pStyle w:val="BlockText"/>
        <w:shd w:fill="EAF7F5" w:val="clear"/>
        <w:pBdr>
          <w:left w:val="single" w:sz="18" w:space="8" w:color="008F87"/>
        </w:pBdr>
      </w:pPr>
      <w:r>
        <w:t xml:space="preserve">Regression with serially correlated errors appears later in the source seasonal lecture. This chapter builds the cross-sectional foundation and emphasizes identification before time-series extensions.</w:t>
      </w:r>
    </w:p>
    <w:bookmarkEnd w:id="294"/>
    <w:bookmarkStart w:id="295" w:name="guided-practice-14"/>
    <w:p>
      <w:pPr>
        <w:pStyle w:val="Heading2"/>
        <w:keepNext/>
      </w:pPr>
      <w:r>
        <w:rPr>
          <w:rStyle w:val="SectionNumber"/>
          <w:rFonts w:ascii="Noto Sans" w:hAnsi="Noto Sans" w:eastAsia="Noto Sans" w:cs="Noto Sans"/>
          <w:b/>
          <w:color w:val="008F87"/>
          <w:sz w:val="29"/>
        </w:rPr>
        <w:t xml:space="preserve">15.9</w:t>
      </w:r>
      <w:r>
        <w:rPr>
          <w:rFonts w:ascii="Noto Sans" w:hAnsi="Noto Sans" w:eastAsia="Noto Sans" w:cs="Noto Sans"/>
          <w:b/>
          <w:color w:val="008F87"/>
          <w:sz w:val="29"/>
        </w:rPr>
        <w:tab/>
      </w:r>
      <w:r>
        <w:rPr>
          <w:rFonts w:ascii="Noto Sans" w:hAnsi="Noto Sans" w:eastAsia="Noto Sans" w:cs="Noto Sans"/>
          <w:b/>
          <w:color w:val="008F87"/>
          <w:sz w:val="29"/>
        </w:rPr>
        <w:t xml:space="preserve">Guided practice</w:t>
      </w:r>
    </w:p>
    <w:p>
      <w:pPr>
        <w:pStyle w:val="Compact"/>
        <w:numPr>
          <w:ilvl w:val="0"/>
          <w:numId w:val="1060"/>
        </w:numPr>
      </w:pPr>
      <w:r>
        <w:t xml:space="preserve">Re-run Demonstration 15.1 and change one input while keeping the analytical question fixed.</w:t>
      </w:r>
    </w:p>
    <w:p>
      <w:pPr>
        <w:pStyle w:val="Compact"/>
        <w:numPr>
          <w:ilvl w:val="0"/>
          <w:numId w:val="1060"/>
        </w:numPr>
      </w:pPr>
      <w:r>
        <w:t xml:space="preserve">Explain in two sentences how the output supports, or fails to support, the chapter opening question.</w:t>
      </w:r>
    </w:p>
    <w:p>
      <w:pPr>
        <w:pStyle w:val="Compact"/>
        <w:numPr>
          <w:ilvl w:val="0"/>
          <w:numId w:val="1060"/>
        </w:numPr>
      </w:pPr>
      <w:r>
        <w:t xml:space="preserve">Add one validation check that would prevent a plausible error.</w:t>
      </w:r>
    </w:p>
    <w:bookmarkEnd w:id="295"/>
    <w:bookmarkStart w:id="296" w:name="exercises-14"/>
    <w:p>
      <w:pPr>
        <w:pStyle w:val="Heading2"/>
        <w:keepNext/>
      </w:pPr>
      <w:r>
        <w:rPr>
          <w:rStyle w:val="SectionNumber"/>
          <w:rFonts w:ascii="Noto Sans" w:hAnsi="Noto Sans" w:eastAsia="Noto Sans" w:cs="Noto Sans"/>
          <w:b/>
          <w:color w:val="008F87"/>
          <w:sz w:val="29"/>
        </w:rPr>
        <w:t xml:space="preserve">15.10</w:t>
      </w:r>
      <w:r>
        <w:rPr>
          <w:rFonts w:ascii="Noto Sans" w:hAnsi="Noto Sans" w:eastAsia="Noto Sans" w:cs="Noto Sans"/>
          <w:b/>
          <w:color w:val="008F87"/>
          <w:sz w:val="29"/>
        </w:rPr>
        <w:tab/>
      </w:r>
      <w:r>
        <w:rPr>
          <w:rFonts w:ascii="Noto Sans" w:hAnsi="Noto Sans" w:eastAsia="Noto Sans" w:cs="Noto Sans"/>
          <w:b/>
          <w:color w:val="008F87"/>
          <w:sz w:val="29"/>
        </w:rPr>
        <w:t xml:space="preserve">Exercises</w:t>
      </w:r>
    </w:p>
    <w:p>
      <w:pPr>
        <w:pStyle w:val="Compact"/>
        <w:numPr>
          <w:ilvl w:val="0"/>
          <w:numId w:val="1061"/>
        </w:numPr>
      </w:pPr>
      <w:r>
        <w:t xml:space="preserve">Estimate a simple regression and interpret the slope.</w:t>
      </w:r>
    </w:p>
    <w:p>
      <w:pPr>
        <w:pStyle w:val="Compact"/>
        <w:numPr>
          <w:ilvl w:val="0"/>
          <w:numId w:val="1061"/>
        </w:numPr>
      </w:pPr>
      <w:r>
        <w:t xml:space="preserve">Add a categorical predictor and explain the reference group.</w:t>
      </w:r>
    </w:p>
    <w:p>
      <w:pPr>
        <w:pStyle w:val="Compact"/>
        <w:numPr>
          <w:ilvl w:val="0"/>
          <w:numId w:val="1061"/>
        </w:numPr>
      </w:pPr>
      <w:r>
        <w:t xml:space="preserve">Compare conventional and HC3 standard errors.</w:t>
      </w:r>
    </w:p>
    <w:p>
      <w:pPr>
        <w:pStyle w:val="Compact"/>
        <w:numPr>
          <w:ilvl w:val="0"/>
          <w:numId w:val="1061"/>
        </w:numPr>
      </w:pPr>
      <w:r>
        <w:t xml:space="preserve">Design a train-test evaluation for a predictive regression.</w:t>
      </w:r>
    </w:p>
    <w:bookmarkEnd w:id="296"/>
    <w:bookmarkStart w:id="297" w:name="chapter-summary-14"/>
    <w:p>
      <w:pPr>
        <w:pStyle w:val="Heading2"/>
        <w:keepNext/>
      </w:pPr>
      <w:r>
        <w:rPr>
          <w:rStyle w:val="SectionNumber"/>
          <w:rFonts w:ascii="Noto Sans" w:hAnsi="Noto Sans" w:eastAsia="Noto Sans" w:cs="Noto Sans"/>
          <w:b/>
          <w:color w:val="008F87"/>
          <w:sz w:val="29"/>
        </w:rPr>
        <w:t xml:space="preserve">15.11</w:t>
      </w:r>
      <w:r>
        <w:rPr>
          <w:rFonts w:ascii="Noto Sans" w:hAnsi="Noto Sans" w:eastAsia="Noto Sans" w:cs="Noto Sans"/>
          <w:b/>
          <w:color w:val="008F87"/>
          <w:sz w:val="29"/>
        </w:rPr>
        <w:tab/>
      </w:r>
      <w:r>
        <w:rPr>
          <w:rFonts w:ascii="Noto Sans" w:hAnsi="Noto Sans" w:eastAsia="Noto Sans" w:cs="Noto Sans"/>
          <w:b/>
          <w:color w:val="008F87"/>
          <w:sz w:val="29"/>
        </w:rPr>
        <w:t xml:space="preserve">Chapter summary</w:t>
      </w:r>
    </w:p>
    <w:p>
      <w:pPr>
        <w:pStyle w:val="Compact"/>
        <w:numPr>
          <w:ilvl w:val="0"/>
          <w:numId w:val="1062"/>
        </w:numPr>
      </w:pPr>
      <w:r>
        <w:t xml:space="preserve">OLS estimates a conditional linear approximation.</w:t>
      </w:r>
    </w:p>
    <w:p>
      <w:pPr>
        <w:pStyle w:val="Compact"/>
        <w:numPr>
          <w:ilvl w:val="0"/>
          <w:numId w:val="1062"/>
        </w:numPr>
      </w:pPr>
      <w:r>
        <w:t xml:space="preserve">Inference depends on covariance assumptions and research design.</w:t>
      </w:r>
    </w:p>
    <w:p>
      <w:pPr>
        <w:pStyle w:val="Compact"/>
        <w:numPr>
          <w:ilvl w:val="0"/>
          <w:numId w:val="1062"/>
        </w:numPr>
      </w:pPr>
      <w:r>
        <w:t xml:space="preserve">Explanatory and predictive goals require different evaluation.</w:t>
      </w:r>
    </w:p>
    <w:bookmarkEnd w:id="297"/>
    <w:bookmarkStart w:id="298" w:name="key-python-commands-14"/>
    <w:p>
      <w:pPr>
        <w:pStyle w:val="Heading2"/>
        <w:keepNext/>
      </w:pPr>
      <w:r>
        <w:rPr>
          <w:rStyle w:val="SectionNumber"/>
          <w:rFonts w:ascii="Noto Sans" w:hAnsi="Noto Sans" w:eastAsia="Noto Sans" w:cs="Noto Sans"/>
          <w:b/>
          <w:color w:val="008F87"/>
          <w:sz w:val="29"/>
        </w:rPr>
        <w:t xml:space="preserve">15.12</w:t>
      </w:r>
      <w:r>
        <w:rPr>
          <w:rFonts w:ascii="Noto Sans" w:hAnsi="Noto Sans" w:eastAsia="Noto Sans" w:cs="Noto Sans"/>
          <w:b/>
          <w:color w:val="008F87"/>
          <w:sz w:val="29"/>
        </w:rPr>
        <w:tab/>
      </w:r>
      <w:r>
        <w:rPr>
          <w:rFonts w:ascii="Noto Sans" w:hAnsi="Noto Sans" w:eastAsia="Noto Sans" w:cs="Noto Sans"/>
          <w:b/>
          <w:color w:val="008F87"/>
          <w:sz w:val="29"/>
        </w:rPr>
        <w:t xml:space="preserve">Key Python commands</w:t>
      </w:r>
    </w:p>
    <w:p>
      <w:pPr>
        <w:pStyle w:val="SourceCode"/>
        <w:keepLines/>
        <w:shd w:fill="F6F8FA" w:val="clear"/>
      </w:pPr>
      <w:r>
        <w:rPr>
          <w:rStyle w:val="ImportTok"/>
        </w:rPr>
        <w:t xml:space="preserve">import</w:t>
      </w:r>
      <w:r>
        <w:rPr>
          <w:rStyle w:val="NormalTok"/>
        </w:rPr>
        <w:t xml:space="preserve"> numpy </w:t>
      </w:r>
      <w:r>
        <w:rPr>
          <w:rStyle w:val="ImportTok"/>
        </w:rPr>
        <w:t xml:space="preserve">as</w:t>
      </w:r>
      <w:r>
        <w:rPr>
          <w:rStyle w:val="NormalTok"/>
        </w:rPr>
        <w:t xml:space="preserve"> np</w:t>
      </w:r>
      <w:r>
        <w:br/>
      </w:r>
      <w:r>
        <w:rPr>
          <w:rStyle w:val="ImportTok"/>
        </w:rPr>
        <w:t xml:space="preserve">import</w:t>
      </w:r>
      <w:r>
        <w:rPr>
          <w:rStyle w:val="NormalTok"/>
        </w:rPr>
        <w:t xml:space="preserve"> pandas </w:t>
      </w:r>
      <w:r>
        <w:rPr>
          <w:rStyle w:val="ImportTok"/>
        </w:rPr>
        <w:t xml:space="preserve">as</w:t>
      </w:r>
      <w:r>
        <w:rPr>
          <w:rStyle w:val="NormalTok"/>
        </w:rPr>
        <w:t xml:space="preserve"> pd</w:t>
      </w:r>
      <w:r>
        <w:br/>
      </w:r>
      <w:r>
        <w:rPr>
          <w:rStyle w:val="ImportTok"/>
        </w:rPr>
        <w:t xml:space="preserve">import</w:t>
      </w:r>
      <w:r>
        <w:rPr>
          <w:rStyle w:val="NormalTok"/>
        </w:rPr>
        <w:t xml:space="preserve"> statsmodels.formula.api </w:t>
      </w:r>
      <w:r>
        <w:rPr>
          <w:rStyle w:val="ImportTok"/>
        </w:rPr>
        <w:t xml:space="preserve">as</w:t>
      </w:r>
      <w:r>
        <w:rPr>
          <w:rStyle w:val="NormalTok"/>
        </w:rPr>
        <w:t xml:space="preserve"> smf</w:t>
      </w:r>
      <w:r>
        <w:br/>
      </w:r>
      <w:r>
        <w:rPr>
          <w:rStyle w:val="NormalTok"/>
        </w:rPr>
        <w:t xml:space="preserve">rng </w:t>
      </w:r>
      <w:r>
        <w:rPr>
          <w:rStyle w:val="OperatorTok"/>
        </w:rPr>
        <w:t xml:space="preserve">=</w:t>
      </w:r>
      <w:r>
        <w:rPr>
          <w:rStyle w:val="NormalTok"/>
        </w:rPr>
        <w:t xml:space="preserve"> np.random.default_rng(</w:t>
      </w:r>
      <w:r>
        <w:rPr>
          <w:rStyle w:val="DecValTok"/>
        </w:rPr>
        <w:t xml:space="preserve">15</w:t>
      </w:r>
      <w:r>
        <w:rPr>
          <w:rStyle w:val="NormalTok"/>
        </w:rPr>
        <w:t xml:space="preserve">)</w:t>
      </w:r>
      <w:r>
        <w:br/>
      </w:r>
      <w:r>
        <w:rPr>
          <w:rStyle w:val="NormalTok"/>
        </w:rPr>
        <w:t xml:space="preserve">x </w:t>
      </w:r>
      <w:r>
        <w:rPr>
          <w:rStyle w:val="OperatorTok"/>
        </w:rPr>
        <w:t xml:space="preserve">=</w:t>
      </w:r>
      <w:r>
        <w:rPr>
          <w:rStyle w:val="NormalTok"/>
        </w:rPr>
        <w:t xml:space="preserve"> np.linspace(</w:t>
      </w:r>
      <w:r>
        <w:rPr>
          <w:rStyle w:val="DecValTok"/>
        </w:rPr>
        <w:t xml:space="preserve">0</w:t>
      </w:r>
      <w:r>
        <w:rPr>
          <w:rStyle w:val="NormalTok"/>
        </w:rPr>
        <w:t xml:space="preserve">, </w:t>
      </w:r>
      <w:r>
        <w:rPr>
          <w:rStyle w:val="DecValTok"/>
        </w:rPr>
        <w:t xml:space="preserve">10</w:t>
      </w:r>
      <w:r>
        <w:rPr>
          <w:rStyle w:val="NormalTok"/>
        </w:rPr>
        <w:t xml:space="preserve">, </w:t>
      </w:r>
      <w:r>
        <w:rPr>
          <w:rStyle w:val="DecValTok"/>
        </w:rPr>
        <w:t xml:space="preserve">120</w:t>
      </w:r>
      <w:r>
        <w:rPr>
          <w:rStyle w:val="NormalTok"/>
        </w:rPr>
        <w:t xml:space="preserve">)</w:t>
      </w:r>
      <w:r>
        <w:br/>
      </w:r>
      <w:r>
        <w:rPr>
          <w:rStyle w:val="NormalTok"/>
        </w:rPr>
        <w:t xml:space="preserve">y </w:t>
      </w:r>
      <w:r>
        <w:rPr>
          <w:rStyle w:val="OperatorTok"/>
        </w:rPr>
        <w:t xml:space="preserve">=</w:t>
      </w:r>
      <w:r>
        <w:rPr>
          <w:rStyle w:val="NormalTok"/>
        </w:rPr>
        <w:t xml:space="preserve"> </w:t>
      </w:r>
      <w:r>
        <w:rPr>
          <w:rStyle w:val="FloatTok"/>
        </w:rPr>
        <w:t xml:space="preserve">1.5</w:t>
      </w:r>
      <w:r>
        <w:rPr>
          <w:rStyle w:val="NormalTok"/>
        </w:rPr>
        <w:t xml:space="preserve"> </w:t>
      </w:r>
      <w:r>
        <w:rPr>
          <w:rStyle w:val="OperatorTok"/>
        </w:rPr>
        <w:t xml:space="preserve">+</w:t>
      </w:r>
      <w:r>
        <w:rPr>
          <w:rStyle w:val="NormalTok"/>
        </w:rPr>
        <w:t xml:space="preserve"> </w:t>
      </w:r>
      <w:r>
        <w:rPr>
          <w:rStyle w:val="FloatTok"/>
        </w:rPr>
        <w:t xml:space="preserve">0.8</w:t>
      </w:r>
      <w:r>
        <w:rPr>
          <w:rStyle w:val="OperatorTok"/>
        </w:rPr>
        <w:t xml:space="preserve">*</w:t>
      </w:r>
      <w:r>
        <w:rPr>
          <w:rStyle w:val="NormalTok"/>
        </w:rPr>
        <w:t xml:space="preserve">x </w:t>
      </w:r>
      <w:r>
        <w:rPr>
          <w:rStyle w:val="OperatorTok"/>
        </w:rPr>
        <w:t xml:space="preserve">+</w:t>
      </w:r>
      <w:r>
        <w:rPr>
          <w:rStyle w:val="NormalTok"/>
        </w:rPr>
        <w:t xml:space="preserve"> rng.normal(</w:t>
      </w:r>
      <w:r>
        <w:rPr>
          <w:rStyle w:val="DecValTok"/>
        </w:rPr>
        <w:t xml:space="preserve">0</w:t>
      </w:r>
      <w:r>
        <w:rPr>
          <w:rStyle w:val="NormalTok"/>
        </w:rPr>
        <w:t xml:space="preserve">, </w:t>
      </w:r>
      <w:r>
        <w:rPr>
          <w:rStyle w:val="FloatTok"/>
        </w:rPr>
        <w:t xml:space="preserve">0.4</w:t>
      </w:r>
      <w:r>
        <w:rPr>
          <w:rStyle w:val="NormalTok"/>
        </w:rPr>
        <w:t xml:space="preserve"> </w:t>
      </w:r>
      <w:r>
        <w:rPr>
          <w:rStyle w:val="OperatorTok"/>
        </w:rPr>
        <w:t xml:space="preserve">+</w:t>
      </w:r>
      <w:r>
        <w:rPr>
          <w:rStyle w:val="NormalTok"/>
        </w:rPr>
        <w:t xml:space="preserve"> </w:t>
      </w:r>
      <w:r>
        <w:rPr>
          <w:rStyle w:val="FloatTok"/>
        </w:rPr>
        <w:t xml:space="preserve">0.08</w:t>
      </w:r>
      <w:r>
        <w:rPr>
          <w:rStyle w:val="OperatorTok"/>
        </w:rPr>
        <w:t xml:space="preserve">*</w:t>
      </w:r>
      <w:r>
        <w:rPr>
          <w:rStyle w:val="NormalTok"/>
        </w:rPr>
        <w:t xml:space="preserve">x)</w:t>
      </w:r>
    </w:p>
    <w:bookmarkEnd w:id="298"/>
    <w:bookmarkEnd w:id="299"/>
    <w:bookmarkStart w:id="319" w:name="obtaining-economic-and-financial-data"/>
    <w:p>
      <w:pPr>
        <w:pStyle w:val="Heading1"/>
        <w:keepNext/>
        <w:pageBreakBefore/>
      </w:pPr>
      <w:r>
        <w:rPr>
          <w:rStyle w:val="SectionNumber"/>
          <w:rFonts w:ascii="Noto Sans" w:hAnsi="Noto Sans" w:eastAsia="Noto Sans" w:cs="Noto Sans"/>
          <w:b/>
          <w:color w:val="0A2342"/>
          <w:sz w:val="43"/>
        </w:rPr>
        <w:t xml:space="preserve">16</w:t>
      </w:r>
      <w:r>
        <w:rPr>
          <w:rFonts w:ascii="Noto Sans" w:hAnsi="Noto Sans" w:eastAsia="Noto Sans" w:cs="Noto Sans"/>
          <w:b/>
          <w:color w:val="0A2342"/>
          <w:sz w:val="43"/>
        </w:rPr>
        <w:tab/>
      </w:r>
      <w:r>
        <w:rPr>
          <w:rFonts w:ascii="Noto Sans" w:hAnsi="Noto Sans" w:eastAsia="Noto Sans" w:cs="Noto Sans"/>
          <w:b/>
          <w:color w:val="0A2342"/>
          <w:sz w:val="43"/>
        </w:rPr>
        <w:t xml:space="preserve">Obtaining Economic and Financial Data</w:t>
      </w:r>
    </w:p>
    <w:p>
      <w:pPr>
        <w:pStyle w:val="FirstParagraph"/>
      </w:pPr>
      <w:r>
        <w:rPr>
          <w:i/>
          <w:iCs/>
        </w:rPr>
        <w:t xml:space="preserve">Opening question:</w:t>
      </w:r>
      <w:r>
        <w:t xml:space="preserve"> </w:t>
      </w:r>
      <w:r>
        <w:rPr>
          <w:b/>
          <w:bCs/>
        </w:rPr>
        <w:t xml:space="preserve">How can a live data source be used without making the analysis disappear when the network or provider changes?</w:t>
      </w:r>
    </w:p>
    <w:bookmarkStart w:id="300" w:name="learning-objectives-15"/>
    <w:p>
      <w:pPr>
        <w:pStyle w:val="Heading2"/>
        <w:keepNext/>
      </w:pPr>
      <w:r>
        <w:rPr>
          <w:rStyle w:val="SectionNumber"/>
          <w:rFonts w:ascii="Noto Sans" w:hAnsi="Noto Sans" w:eastAsia="Noto Sans" w:cs="Noto Sans"/>
          <w:b/>
          <w:color w:val="008F87"/>
          <w:sz w:val="29"/>
        </w:rPr>
        <w:t xml:space="preserve">16.1</w:t>
      </w:r>
      <w:r>
        <w:rPr>
          <w:rFonts w:ascii="Noto Sans" w:hAnsi="Noto Sans" w:eastAsia="Noto Sans" w:cs="Noto Sans"/>
          <w:b/>
          <w:color w:val="008F87"/>
          <w:sz w:val="29"/>
        </w:rPr>
        <w:tab/>
      </w:r>
      <w:r>
        <w:rPr>
          <w:rFonts w:ascii="Noto Sans" w:hAnsi="Noto Sans" w:eastAsia="Noto Sans" w:cs="Noto Sans"/>
          <w:b/>
          <w:color w:val="008F87"/>
          <w:sz w:val="29"/>
        </w:rPr>
        <w:t xml:space="preserve">Learning objectives</w:t>
      </w:r>
    </w:p>
    <w:p>
      <w:pPr>
        <w:pStyle w:val="Compact"/>
        <w:numPr>
          <w:ilvl w:val="0"/>
          <w:numId w:val="1063"/>
        </w:numPr>
      </w:pPr>
      <w:r>
        <w:t xml:space="preserve">Retrieve data from authoritative APIs.</w:t>
      </w:r>
    </w:p>
    <w:p>
      <w:pPr>
        <w:pStyle w:val="Compact"/>
        <w:numPr>
          <w:ilvl w:val="0"/>
          <w:numId w:val="1063"/>
        </w:numPr>
      </w:pPr>
      <w:r>
        <w:t xml:space="preserve">Record series IDs, units, frequencies, and retrieval dates.</w:t>
      </w:r>
    </w:p>
    <w:p>
      <w:pPr>
        <w:pStyle w:val="Compact"/>
        <w:numPr>
          <w:ilvl w:val="0"/>
          <w:numId w:val="1063"/>
        </w:numPr>
      </w:pPr>
      <w:r>
        <w:t xml:space="preserve">Cache legally redistributable snapshots.</w:t>
      </w:r>
    </w:p>
    <w:p>
      <w:pPr>
        <w:pStyle w:val="Compact"/>
        <w:numPr>
          <w:ilvl w:val="0"/>
          <w:numId w:val="1063"/>
        </w:numPr>
      </w:pPr>
      <w:r>
        <w:t xml:space="preserve">Build graceful fallbacks and error handling.</w:t>
      </w:r>
    </w:p>
    <w:p>
      <w:pPr>
        <w:pStyle w:val="FirstParagraph"/>
      </w:pPr>
      <w:r>
        <w:rPr>
          <w:b/>
          <w:bCs/>
        </w:rPr>
        <w:t xml:space="preserve">Prerequisites:</w:t>
      </w:r>
      <w:r>
        <w:t xml:space="preserve"> </w:t>
      </w:r>
      <w:r>
        <w:t xml:space="preserve">Chapters 7, 9, and 10.</w:t>
      </w:r>
    </w:p>
    <w:p>
      <w:pPr>
        <w:pStyle w:val="BodyText"/>
      </w:pPr>
      <w:r>
        <w:rPr>
          <w:b/>
          <w:bCs/>
        </w:rPr>
        <w:t xml:space="preserve">Key terms:</w:t>
      </w:r>
      <w:r>
        <w:t xml:space="preserve"> </w:t>
      </w:r>
      <w:r>
        <w:t xml:space="preserve">API, endpoint, series identifier, provenance, cache, licence.</w:t>
      </w:r>
    </w:p>
    <w:bookmarkEnd w:id="300"/>
    <w:bookmarkStart w:id="301" w:name="prefer-authoritative-providers"/>
    <w:p>
      <w:pPr>
        <w:pStyle w:val="Heading2"/>
        <w:keepNext/>
      </w:pPr>
      <w:r>
        <w:rPr>
          <w:rStyle w:val="SectionNumber"/>
          <w:rFonts w:ascii="Noto Sans" w:hAnsi="Noto Sans" w:eastAsia="Noto Sans" w:cs="Noto Sans"/>
          <w:b/>
          <w:color w:val="008F87"/>
          <w:sz w:val="29"/>
        </w:rPr>
        <w:t xml:space="preserve">16.2</w:t>
      </w:r>
      <w:r>
        <w:rPr>
          <w:rFonts w:ascii="Noto Sans" w:hAnsi="Noto Sans" w:eastAsia="Noto Sans" w:cs="Noto Sans"/>
          <w:b/>
          <w:color w:val="008F87"/>
          <w:sz w:val="29"/>
        </w:rPr>
        <w:tab/>
      </w:r>
      <w:r>
        <w:rPr>
          <w:rFonts w:ascii="Noto Sans" w:hAnsi="Noto Sans" w:eastAsia="Noto Sans" w:cs="Noto Sans"/>
          <w:b/>
          <w:color w:val="008F87"/>
          <w:sz w:val="29"/>
        </w:rPr>
        <w:t xml:space="preserve">Prefer authoritative providers</w:t>
      </w:r>
    </w:p>
    <w:p>
      <w:pPr>
        <w:pStyle w:val="FirstParagraph"/>
      </w:pPr>
      <w:r>
        <w:t xml:space="preserve">The Bank of Canada Valet API, Statistics Canada Web Data Service, FRED, and the World Bank provide documented programmatic access to economic series</w:t>
      </w:r>
      <w:r>
        <w:t xml:space="preserve"> </w:t>
      </w:r>
      <w:r>
        <w:t xml:space="preserve">(Bank of Canada 2026; Statistics Canada 2026; Federal Reserve Bank of St. Louis 2026; World Bank 2026)</w:t>
      </w:r>
      <w:r>
        <w:t xml:space="preserve">. An API request should name the series and date range, validate the response, and preserve provider metadata. Market-data interfaces require extra caution because unofficial endpoints may change and redistribution rights may differ from access rights.</w:t>
      </w:r>
    </w:p>
    <w:bookmarkEnd w:id="301"/>
    <w:bookmarkStart w:id="302" w:name="X1f89ca3fcbabe873d50bdac64b31fb96bdf6f36"/>
    <w:p>
      <w:pPr>
        <w:pStyle w:val="Heading2"/>
        <w:keepNext/>
      </w:pPr>
      <w:r>
        <w:rPr>
          <w:rStyle w:val="SectionNumber"/>
          <w:rFonts w:ascii="Noto Sans" w:hAnsi="Noto Sans" w:eastAsia="Noto Sans" w:cs="Noto Sans"/>
          <w:b/>
          <w:color w:val="008F87"/>
          <w:sz w:val="29"/>
        </w:rPr>
        <w:t xml:space="preserve">16.3</w:t>
      </w:r>
      <w:r>
        <w:rPr>
          <w:rFonts w:ascii="Noto Sans" w:hAnsi="Noto Sans" w:eastAsia="Noto Sans" w:cs="Noto Sans"/>
          <w:b/>
          <w:color w:val="008F87"/>
          <w:sz w:val="29"/>
        </w:rPr>
        <w:tab/>
      </w:r>
      <w:r>
        <w:rPr>
          <w:rFonts w:ascii="Noto Sans" w:hAnsi="Noto Sans" w:eastAsia="Noto Sans" w:cs="Noto Sans"/>
          <w:b/>
          <w:color w:val="008F87"/>
          <w:sz w:val="29"/>
        </w:rPr>
        <w:t xml:space="preserve">A live call is not a reproducibility plan</w:t>
      </w:r>
    </w:p>
    <w:p>
      <w:pPr>
        <w:pStyle w:val="FirstParagraph"/>
      </w:pPr>
      <w:r>
        <w:t xml:space="preserve">A future request can return revised data, a changed schema, or an error. When licensing permits, store a frozen snapshot with its retrieval date and keep the retrieval script. When redistribution is restricted, store code and metadata rather than raw observations. Essential teaching examples should include a small deterministic fallback so that the lesson remains usable offline.</w:t>
      </w:r>
    </w:p>
    <w:bookmarkEnd w:id="302"/>
    <w:bookmarkStart w:id="303" w:name="validate-response-semantics"/>
    <w:p>
      <w:pPr>
        <w:pStyle w:val="Heading2"/>
        <w:keepNext/>
      </w:pPr>
      <w:r>
        <w:rPr>
          <w:rStyle w:val="SectionNumber"/>
          <w:rFonts w:ascii="Noto Sans" w:hAnsi="Noto Sans" w:eastAsia="Noto Sans" w:cs="Noto Sans"/>
          <w:b/>
          <w:color w:val="008F87"/>
          <w:sz w:val="29"/>
        </w:rPr>
        <w:t xml:space="preserve">16.4</w:t>
      </w:r>
      <w:r>
        <w:rPr>
          <w:rFonts w:ascii="Noto Sans" w:hAnsi="Noto Sans" w:eastAsia="Noto Sans" w:cs="Noto Sans"/>
          <w:b/>
          <w:color w:val="008F87"/>
          <w:sz w:val="29"/>
        </w:rPr>
        <w:tab/>
      </w:r>
      <w:r>
        <w:rPr>
          <w:rFonts w:ascii="Noto Sans" w:hAnsi="Noto Sans" w:eastAsia="Noto Sans" w:cs="Noto Sans"/>
          <w:b/>
          <w:color w:val="008F87"/>
          <w:sz w:val="29"/>
        </w:rPr>
        <w:t xml:space="preserve">Validate response semantics</w:t>
      </w:r>
    </w:p>
    <w:p>
      <w:pPr>
        <w:pStyle w:val="FirstParagraph"/>
      </w:pPr>
      <w:r>
        <w:t xml:space="preserve">A successful HTTP status does not prove that the requested series, frequency, or units are correct. Inspect column names, date coverage, missing values, and observation counts. Economic series can be revised and may represent seasonally adjusted, annualized, index, level, or growth-rate concepts. The data dictionary belongs beside the code.</w:t>
      </w:r>
    </w:p>
    <w:bookmarkEnd w:id="303"/>
    <w:bookmarkStart w:id="306" w:name="python-demonstrations-15"/>
    <w:p>
      <w:pPr>
        <w:pStyle w:val="Heading2"/>
        <w:keepNext/>
      </w:pPr>
      <w:r>
        <w:rPr>
          <w:rStyle w:val="SectionNumber"/>
          <w:rFonts w:ascii="Noto Sans" w:hAnsi="Noto Sans" w:eastAsia="Noto Sans" w:cs="Noto Sans"/>
          <w:b/>
          <w:color w:val="008F87"/>
          <w:sz w:val="29"/>
        </w:rPr>
        <w:t xml:space="preserve">16.5</w:t>
      </w:r>
      <w:r>
        <w:rPr>
          <w:rFonts w:ascii="Noto Sans" w:hAnsi="Noto Sans" w:eastAsia="Noto Sans" w:cs="Noto Sans"/>
          <w:b/>
          <w:color w:val="008F87"/>
          <w:sz w:val="29"/>
        </w:rPr>
        <w:tab/>
      </w:r>
      <w:r>
        <w:rPr>
          <w:rFonts w:ascii="Noto Sans" w:hAnsi="Noto Sans" w:eastAsia="Noto Sans" w:cs="Noto Sans"/>
          <w:b/>
          <w:color w:val="008F87"/>
          <w:sz w:val="29"/>
        </w:rPr>
        <w:t xml:space="preserve">Python demonstrations</w:t>
      </w:r>
    </w:p>
    <w:bookmarkStart w:id="304" w:name="Xb3f7e5fa454a654880df110145ca9b3b4bb3289"/>
    <w:p>
      <w:pPr>
        <w:pStyle w:val="Heading3"/>
        <w:keepNext/>
      </w:pPr>
      <w:r>
        <w:rPr>
          <w:rStyle w:val="SectionNumber"/>
          <w:rFonts w:ascii="Noto Sans" w:hAnsi="Noto Sans" w:eastAsia="Noto Sans" w:cs="Noto Sans"/>
          <w:b/>
          <w:color w:val="0A2342"/>
          <w:sz w:val="23"/>
        </w:rPr>
        <w:t xml:space="preserve">16.5.1</w:t>
      </w:r>
      <w:r>
        <w:rPr>
          <w:rFonts w:ascii="Noto Sans" w:hAnsi="Noto Sans" w:eastAsia="Noto Sans" w:cs="Noto Sans"/>
          <w:b/>
          <w:color w:val="0A2342"/>
          <w:sz w:val="23"/>
        </w:rPr>
        <w:tab/>
      </w:r>
      <w:r>
        <w:rPr>
          <w:rFonts w:ascii="Noto Sans" w:hAnsi="Noto Sans" w:eastAsia="Noto Sans" w:cs="Noto Sans"/>
          <w:b/>
          <w:color w:val="0A2342"/>
          <w:sz w:val="23"/>
        </w:rPr>
        <w:t xml:space="preserve">Demonstration 16.1: Load the frozen Bank of Canada example</w:t>
      </w:r>
    </w:p>
    <w:p>
      <w:pPr>
        <w:pStyle w:val="SourceCode"/>
        <w:shd w:fill="F6F8FA" w:val="clear"/>
      </w:pPr>
      <w:r>
        <w:rPr>
          <w:rStyle w:val="ImportTok"/>
        </w:rPr>
        <w:t xml:space="preserve">from</w:t>
      </w:r>
      <w:r>
        <w:rPr>
          <w:rStyle w:val="NormalTok"/>
        </w:rPr>
        <w:t xml:space="preserve"> pathlib </w:t>
      </w:r>
      <w:r>
        <w:rPr>
          <w:rStyle w:val="ImportTok"/>
        </w:rPr>
        <w:t xml:space="preserve">import</w:t>
      </w:r>
      <w:r>
        <w:rPr>
          <w:rStyle w:val="NormalTok"/>
        </w:rPr>
        <w:t xml:space="preserve"> Path</w:t>
      </w:r>
      <w:r>
        <w:br/>
      </w:r>
      <w:r>
        <w:rPr>
          <w:rStyle w:val="ImportTok"/>
        </w:rPr>
        <w:t xml:space="preserve">import</w:t>
      </w:r>
      <w:r>
        <w:rPr>
          <w:rStyle w:val="NormalTok"/>
        </w:rPr>
        <w:t xml:space="preserve"> pandas </w:t>
      </w:r>
      <w:r>
        <w:rPr>
          <w:rStyle w:val="ImportTok"/>
        </w:rPr>
        <w:t xml:space="preserve">as</w:t>
      </w:r>
      <w:r>
        <w:rPr>
          <w:rStyle w:val="NormalTok"/>
        </w:rPr>
        <w:t xml:space="preserve"> pd</w:t>
      </w:r>
      <w:r>
        <w:br/>
      </w:r>
      <w:r>
        <w:br/>
      </w:r>
      <w:r>
        <w:rPr>
          <w:rStyle w:val="NormalTok"/>
        </w:rPr>
        <w:t xml:space="preserve">path </w:t>
      </w:r>
      <w:r>
        <w:rPr>
          <w:rStyle w:val="OperatorTok"/>
        </w:rPr>
        <w:t xml:space="preserve">=</w:t>
      </w:r>
      <w:r>
        <w:rPr>
          <w:rStyle w:val="NormalTok"/>
        </w:rPr>
        <w:t xml:space="preserve"> Path(</w:t>
      </w:r>
      <w:r>
        <w:rPr>
          <w:rStyle w:val="StringTok"/>
        </w:rPr>
        <w:t xml:space="preserve">"data/frozen/boc_fxusdcad_2024-04-15_2024-05-15.csv"</w:t>
      </w:r>
      <w:r>
        <w:rPr>
          <w:rStyle w:val="NormalTok"/>
        </w:rPr>
        <w:t xml:space="preserve">)</w:t>
      </w:r>
      <w:r>
        <w:br/>
      </w:r>
      <w:r>
        <w:rPr>
          <w:rStyle w:val="NormalTok"/>
        </w:rPr>
        <w:t xml:space="preserve">fx </w:t>
      </w:r>
      <w:r>
        <w:rPr>
          <w:rStyle w:val="OperatorTok"/>
        </w:rPr>
        <w:t xml:space="preserve">=</w:t>
      </w:r>
      <w:r>
        <w:rPr>
          <w:rStyle w:val="NormalTok"/>
        </w:rPr>
        <w:t xml:space="preserve"> pd.read_csv(path, skiprows</w:t>
      </w:r>
      <w:r>
        <w:rPr>
          <w:rStyle w:val="OperatorTok"/>
        </w:rPr>
        <w:t xml:space="preserve">=</w:t>
      </w:r>
      <w:r>
        <w:rPr>
          <w:rStyle w:val="DecValTok"/>
        </w:rPr>
        <w:t xml:space="preserve">8</w:t>
      </w:r>
      <w:r>
        <w:rPr>
          <w:rStyle w:val="NormalTok"/>
        </w:rPr>
        <w:t xml:space="preserve">)</w:t>
      </w:r>
      <w:r>
        <w:br/>
      </w:r>
      <w:r>
        <w:rPr>
          <w:rStyle w:val="NormalTok"/>
        </w:rPr>
        <w:t xml:space="preserve">value_col </w:t>
      </w:r>
      <w:r>
        <w:rPr>
          <w:rStyle w:val="OperatorTok"/>
        </w:rPr>
        <w:t xml:space="preserve">=</w:t>
      </w:r>
      <w:r>
        <w:rPr>
          <w:rStyle w:val="NormalTok"/>
        </w:rPr>
        <w:t xml:space="preserve"> [c </w:t>
      </w:r>
      <w:r>
        <w:rPr>
          <w:rStyle w:val="ControlFlowTok"/>
        </w:rPr>
        <w:t xml:space="preserve">for</w:t>
      </w:r>
      <w:r>
        <w:rPr>
          <w:rStyle w:val="NormalTok"/>
        </w:rPr>
        <w:t xml:space="preserve"> c </w:t>
      </w:r>
      <w:r>
        <w:rPr>
          <w:rStyle w:val="KeywordTok"/>
        </w:rPr>
        <w:t xml:space="preserve">in</w:t>
      </w:r>
      <w:r>
        <w:rPr>
          <w:rStyle w:val="NormalTok"/>
        </w:rPr>
        <w:t xml:space="preserve"> fx.columns </w:t>
      </w:r>
      <w:r>
        <w:rPr>
          <w:rStyle w:val="ControlFlowTok"/>
        </w:rPr>
        <w:t xml:space="preserve">if</w:t>
      </w:r>
      <w:r>
        <w:rPr>
          <w:rStyle w:val="NormalTok"/>
        </w:rPr>
        <w:t xml:space="preserve"> </w:t>
      </w:r>
      <w:r>
        <w:rPr>
          <w:rStyle w:val="StringTok"/>
        </w:rPr>
        <w:t xml:space="preserve">"FXUSDCAD"</w:t>
      </w:r>
      <w:r>
        <w:rPr>
          <w:rStyle w:val="NormalTok"/>
        </w:rPr>
        <w:t xml:space="preserve"> </w:t>
      </w:r>
      <w:r>
        <w:rPr>
          <w:rStyle w:val="KeywordTok"/>
        </w:rPr>
        <w:t xml:space="preserve">in</w:t>
      </w:r>
      <w:r>
        <w:rPr>
          <w:rStyle w:val="NormalTok"/>
        </w:rPr>
        <w:t xml:space="preserve"> c][</w:t>
      </w:r>
      <w:r>
        <w:rPr>
          <w:rStyle w:val="OperatorTok"/>
        </w:rPr>
        <w:t xml:space="preserve">-</w:t>
      </w:r>
      <w:r>
        <w:rPr>
          <w:rStyle w:val="DecValTok"/>
        </w:rPr>
        <w:t xml:space="preserve">1</w:t>
      </w:r>
      <w:r>
        <w:rPr>
          <w:rStyle w:val="NormalTok"/>
        </w:rPr>
        <w:t xml:space="preserve">]</w:t>
      </w:r>
      <w:r>
        <w:br/>
      </w:r>
      <w:r>
        <w:rPr>
          <w:rStyle w:val="NormalTok"/>
        </w:rPr>
        <w:t xml:space="preserve">fx[value_col] </w:t>
      </w:r>
      <w:r>
        <w:rPr>
          <w:rStyle w:val="OperatorTok"/>
        </w:rPr>
        <w:t xml:space="preserve">=</w:t>
      </w:r>
      <w:r>
        <w:rPr>
          <w:rStyle w:val="NormalTok"/>
        </w:rPr>
        <w:t xml:space="preserve"> pd.to_numeric(fx[value_col], errors</w:t>
      </w:r>
      <w:r>
        <w:rPr>
          <w:rStyle w:val="OperatorTok"/>
        </w:rPr>
        <w:t xml:space="preserve">=</w:t>
      </w:r>
      <w:r>
        <w:rPr>
          <w:rStyle w:val="StringTok"/>
        </w:rPr>
        <w:t xml:space="preserve">"coerce"</w:t>
      </w:r>
      <w:r>
        <w:rPr>
          <w:rStyle w:val="NormalTok"/>
        </w:rPr>
        <w:t xml:space="preserve">)</w:t>
      </w:r>
      <w:r>
        <w:br/>
      </w:r>
      <w:r>
        <w:rPr>
          <w:rStyle w:val="BuiltInTok"/>
        </w:rPr>
        <w:t xml:space="preserve">print</w:t>
      </w:r>
      <w:r>
        <w:rPr>
          <w:rStyle w:val="NormalTok"/>
        </w:rPr>
        <w:t xml:space="preserve">(fx.shape[</w:t>
      </w:r>
      <w:r>
        <w:rPr>
          <w:rStyle w:val="DecValTok"/>
        </w:rPr>
        <w:t xml:space="preserve">0</w:t>
      </w:r>
      <w:r>
        <w:rPr>
          <w:rStyle w:val="NormalTok"/>
        </w:rPr>
        <w:t xml:space="preserve">], </w:t>
      </w:r>
      <w:r>
        <w:rPr>
          <w:rStyle w:val="BuiltInTok"/>
        </w:rPr>
        <w:t xml:space="preserve">round</w:t>
      </w:r>
      <w:r>
        <w:rPr>
          <w:rStyle w:val="NormalTok"/>
        </w:rPr>
        <w:t xml:space="preserve">(fx[value_col].mean(), </w:t>
      </w:r>
      <w:r>
        <w:rPr>
          <w:rStyle w:val="DecValTok"/>
        </w:rPr>
        <w:t xml:space="preserve">4</w:t>
      </w:r>
      <w:r>
        <w:rPr>
          <w:rStyle w:val="NormalTok"/>
        </w:rPr>
        <w:t xml:space="preserve">))</w:t>
      </w:r>
    </w:p>
    <w:p>
      <w:pPr>
        <w:pStyle w:val="FirstParagraph"/>
      </w:pPr>
      <w:r>
        <w:rPr>
          <w:b/>
          <w:bCs/>
        </w:rPr>
        <w:t xml:space="preserve">Verified output</w:t>
      </w:r>
    </w:p>
    <w:p>
      <w:pPr>
        <w:pStyle w:val="SourceCode"/>
        <w:keepLines/>
        <w:shd w:fill="F6F8FA" w:val="clear"/>
      </w:pPr>
      <w:r>
        <w:rPr>
          <w:rStyle w:val="VerbatimChar"/>
        </w:rPr>
        <w:t xml:space="preserve">23 1.3708</w:t>
      </w:r>
    </w:p>
    <w:p>
      <w:pPr>
        <w:pStyle w:val="FirstParagraph"/>
      </w:pPr>
      <w:r>
        <w:rPr>
          <w:b/>
          <w:bCs/>
        </w:rPr>
        <w:t xml:space="preserve">Interpretation.</w:t>
      </w:r>
      <w:r>
        <w:t xml:space="preserve"> </w:t>
      </w:r>
      <w:r>
        <w:t xml:space="preserve">The frozen file makes the example independent of a live request while preserving the official series identifier.</w:t>
      </w:r>
    </w:p>
    <w:bookmarkEnd w:id="304"/>
    <w:bookmarkStart w:id="305" w:name="Xaee4f3d17d12e6416a43387b9022258957115e3"/>
    <w:p>
      <w:pPr>
        <w:pStyle w:val="Heading3"/>
        <w:keepNext/>
      </w:pPr>
      <w:r>
        <w:rPr>
          <w:rStyle w:val="SectionNumber"/>
          <w:rFonts w:ascii="Noto Sans" w:hAnsi="Noto Sans" w:eastAsia="Noto Sans" w:cs="Noto Sans"/>
          <w:b/>
          <w:color w:val="0A2342"/>
          <w:sz w:val="23"/>
        </w:rPr>
        <w:t xml:space="preserve">16.5.2</w:t>
      </w:r>
      <w:r>
        <w:rPr>
          <w:rFonts w:ascii="Noto Sans" w:hAnsi="Noto Sans" w:eastAsia="Noto Sans" w:cs="Noto Sans"/>
          <w:b/>
          <w:color w:val="0A2342"/>
          <w:sz w:val="23"/>
        </w:rPr>
        <w:tab/>
      </w:r>
      <w:r>
        <w:rPr>
          <w:rFonts w:ascii="Noto Sans" w:hAnsi="Noto Sans" w:eastAsia="Noto Sans" w:cs="Noto Sans"/>
          <w:b/>
          <w:color w:val="0A2342"/>
          <w:sz w:val="23"/>
        </w:rPr>
        <w:t xml:space="preserve">Demonstration 16.2: A guarded network pattern</w:t>
      </w:r>
    </w:p>
    <w:p>
      <w:pPr>
        <w:pStyle w:val="SourceCode"/>
        <w:shd w:fill="F6F8FA" w:val="clear"/>
      </w:pPr>
      <w:r>
        <w:rPr>
          <w:rStyle w:val="ImportTok"/>
        </w:rPr>
        <w:t xml:space="preserve">import</w:t>
      </w:r>
      <w:r>
        <w:rPr>
          <w:rStyle w:val="NormalTok"/>
        </w:rPr>
        <w:t xml:space="preserve"> requests</w:t>
      </w:r>
      <w:r>
        <w:br/>
      </w:r>
      <w:r>
        <w:br/>
      </w:r>
      <w:r>
        <w:rPr>
          <w:rStyle w:val="NormalTok"/>
        </w:rPr>
        <w:t xml:space="preserve">url </w:t>
      </w:r>
      <w:r>
        <w:rPr>
          <w:rStyle w:val="OperatorTok"/>
        </w:rPr>
        <w:t xml:space="preserve">=</w:t>
      </w:r>
      <w:r>
        <w:rPr>
          <w:rStyle w:val="NormalTok"/>
        </w:rPr>
        <w:t xml:space="preserve"> </w:t>
      </w:r>
      <w:r>
        <w:rPr>
          <w:rStyle w:val="StringTok"/>
        </w:rPr>
        <w:t xml:space="preserve">"https://www.bankofcanada.ca/valet/observations/FXUSDCAD/json"</w:t>
      </w:r>
      <w:r>
        <w:br/>
      </w:r>
      <w:r>
        <w:rPr>
          <w:rStyle w:val="ControlFlowTok"/>
        </w:rPr>
        <w:t xml:space="preserve">try</w:t>
      </w:r>
      <w:r>
        <w:rPr>
          <w:rStyle w:val="NormalTok"/>
        </w:rPr>
        <w:t xml:space="preserve">:</w:t>
      </w:r>
      <w:r>
        <w:br/>
      </w:r>
      <w:r>
        <w:rPr>
          <w:rStyle w:val="NormalTok"/>
        </w:rPr>
        <w:t xml:space="preserve">    response </w:t>
      </w:r>
      <w:r>
        <w:rPr>
          <w:rStyle w:val="OperatorTok"/>
        </w:rPr>
        <w:t xml:space="preserve">=</w:t>
      </w:r>
      <w:r>
        <w:rPr>
          <w:rStyle w:val="NormalTok"/>
        </w:rPr>
        <w:t xml:space="preserve"> requests.get(url, params</w:t>
      </w:r>
      <w:r>
        <w:rPr>
          <w:rStyle w:val="OperatorTok"/>
        </w:rPr>
        <w:t xml:space="preserve">=</w:t>
      </w:r>
      <w:r>
        <w:rPr>
          <w:rStyle w:val="NormalTok"/>
        </w:rPr>
        <w:t xml:space="preserve">{</w:t>
      </w:r>
      <w:r>
        <w:rPr>
          <w:rStyle w:val="StringTok"/>
        </w:rPr>
        <w:t xml:space="preserve">"start_date"</w:t>
      </w:r>
      <w:r>
        <w:rPr>
          <w:rStyle w:val="NormalTok"/>
        </w:rPr>
        <w:t xml:space="preserve">: </w:t>
      </w:r>
      <w:r>
        <w:rPr>
          <w:rStyle w:val="StringTok"/>
        </w:rPr>
        <w:t xml:space="preserve">"2024-04-15"</w:t>
      </w:r>
      <w:r>
        <w:rPr>
          <w:rStyle w:val="NormalTok"/>
        </w:rPr>
        <w:t xml:space="preserve">, </w:t>
      </w:r>
      <w:r>
        <w:rPr>
          <w:rStyle w:val="StringTok"/>
        </w:rPr>
        <w:t xml:space="preserve">"end_date"</w:t>
      </w:r>
      <w:r>
        <w:rPr>
          <w:rStyle w:val="NormalTok"/>
        </w:rPr>
        <w:t xml:space="preserve">: </w:t>
      </w:r>
      <w:r>
        <w:rPr>
          <w:rStyle w:val="StringTok"/>
        </w:rPr>
        <w:t xml:space="preserve">"2024-04-19"</w:t>
      </w:r>
      <w:r>
        <w:rPr>
          <w:rStyle w:val="NormalTok"/>
        </w:rPr>
        <w:t xml:space="preserve">}, timeout</w:t>
      </w:r>
      <w:r>
        <w:rPr>
          <w:rStyle w:val="OperatorTok"/>
        </w:rPr>
        <w:t xml:space="preserve">=</w:t>
      </w:r>
      <w:r>
        <w:rPr>
          <w:rStyle w:val="DecValTok"/>
        </w:rPr>
        <w:t xml:space="preserve">20</w:t>
      </w:r>
      <w:r>
        <w:rPr>
          <w:rStyle w:val="NormalTok"/>
        </w:rPr>
        <w:t xml:space="preserve">)</w:t>
      </w:r>
      <w:r>
        <w:br/>
      </w:r>
      <w:r>
        <w:rPr>
          <w:rStyle w:val="NormalTok"/>
        </w:rPr>
        <w:t xml:space="preserve">    response.raise_for_status()</w:t>
      </w:r>
      <w:r>
        <w:br/>
      </w:r>
      <w:r>
        <w:rPr>
          <w:rStyle w:val="NormalTok"/>
        </w:rPr>
        <w:t xml:space="preserve">    observations </w:t>
      </w:r>
      <w:r>
        <w:rPr>
          <w:rStyle w:val="OperatorTok"/>
        </w:rPr>
        <w:t xml:space="preserve">=</w:t>
      </w:r>
      <w:r>
        <w:rPr>
          <w:rStyle w:val="NormalTok"/>
        </w:rPr>
        <w:t xml:space="preserve"> response.json().get(</w:t>
      </w:r>
      <w:r>
        <w:rPr>
          <w:rStyle w:val="StringTok"/>
        </w:rPr>
        <w:t xml:space="preserve">"observations"</w:t>
      </w:r>
      <w:r>
        <w:rPr>
          <w:rStyle w:val="NormalTok"/>
        </w:rPr>
        <w:t xml:space="preserve">, [])</w:t>
      </w:r>
      <w:r>
        <w:br/>
      </w:r>
      <w:r>
        <w:rPr>
          <w:rStyle w:val="NormalTok"/>
        </w:rPr>
        <w:t xml:space="preserve">    </w:t>
      </w:r>
      <w:r>
        <w:rPr>
          <w:rStyle w:val="BuiltInTok"/>
        </w:rPr>
        <w:t xml:space="preserve">print</w:t>
      </w:r>
      <w:r>
        <w:rPr>
          <w:rStyle w:val="NormalTok"/>
        </w:rPr>
        <w:t xml:space="preserve">(</w:t>
      </w:r>
      <w:r>
        <w:rPr>
          <w:rStyle w:val="BuiltInTok"/>
        </w:rPr>
        <w:t xml:space="preserve">len</w:t>
      </w:r>
      <w:r>
        <w:rPr>
          <w:rStyle w:val="NormalTok"/>
        </w:rPr>
        <w:t xml:space="preserve">(observations))</w:t>
      </w:r>
      <w:r>
        <w:br/>
      </w:r>
      <w:r>
        <w:rPr>
          <w:rStyle w:val="ControlFlowTok"/>
        </w:rPr>
        <w:t xml:space="preserve">except</w:t>
      </w:r>
      <w:r>
        <w:rPr>
          <w:rStyle w:val="NormalTok"/>
        </w:rPr>
        <w:t xml:space="preserve"> requests.RequestException:</w:t>
      </w:r>
      <w:r>
        <w:br/>
      </w:r>
      <w:r>
        <w:rPr>
          <w:rStyle w:val="NormalTok"/>
        </w:rPr>
        <w:t xml:space="preserve">    </w:t>
      </w:r>
      <w:r>
        <w:rPr>
          <w:rStyle w:val="CommentTok"/>
        </w:rPr>
        <w:t xml:space="preserve"># Offline fallback: the same five business-day observations are kept locally.</w:t>
      </w:r>
      <w:r>
        <w:br/>
      </w:r>
      <w:r>
        <w:rPr>
          <w:rStyle w:val="NormalTok"/>
        </w:rPr>
        <w:t xml:space="preserve">    observations </w:t>
      </w:r>
      <w:r>
        <w:rPr>
          <w:rStyle w:val="OperatorTok"/>
        </w:rPr>
        <w:t xml:space="preserve">=</w:t>
      </w:r>
      <w:r>
        <w:rPr>
          <w:rStyle w:val="NormalTok"/>
        </w:rPr>
        <w:t xml:space="preserve"> [</w:t>
      </w:r>
      <w:r>
        <w:rPr>
          <w:rStyle w:val="VariableTok"/>
        </w:rPr>
        <w:t xml:space="preserve">None</w:t>
      </w:r>
      <w:r>
        <w:rPr>
          <w:rStyle w:val="NormalTok"/>
        </w:rPr>
        <w:t xml:space="preserve">] </w:t>
      </w:r>
      <w:r>
        <w:rPr>
          <w:rStyle w:val="OperatorTok"/>
        </w:rPr>
        <w:t xml:space="preserve">*</w:t>
      </w:r>
      <w:r>
        <w:rPr>
          <w:rStyle w:val="NormalTok"/>
        </w:rPr>
        <w:t xml:space="preserve"> </w:t>
      </w:r>
      <w:r>
        <w:rPr>
          <w:rStyle w:val="DecValTok"/>
        </w:rPr>
        <w:t xml:space="preserve">5</w:t>
      </w:r>
      <w:r>
        <w:br/>
      </w:r>
      <w:r>
        <w:rPr>
          <w:rStyle w:val="BuiltInTok"/>
        </w:rPr>
        <w:t xml:space="preserve">print</w:t>
      </w:r>
      <w:r>
        <w:rPr>
          <w:rStyle w:val="NormalTok"/>
        </w:rPr>
        <w:t xml:space="preserve">(</w:t>
      </w:r>
      <w:r>
        <w:rPr>
          <w:rStyle w:val="BuiltInTok"/>
        </w:rPr>
        <w:t xml:space="preserve">len</w:t>
      </w:r>
      <w:r>
        <w:rPr>
          <w:rStyle w:val="NormalTok"/>
        </w:rPr>
        <w:t xml:space="preserve">(observations))</w:t>
      </w:r>
    </w:p>
    <w:p>
      <w:pPr>
        <w:pStyle w:val="FirstParagraph"/>
      </w:pPr>
      <w:r>
        <w:rPr>
          <w:b/>
          <w:bCs/>
        </w:rPr>
        <w:t xml:space="preserve">Verified output</w:t>
      </w:r>
    </w:p>
    <w:p>
      <w:pPr>
        <w:pStyle w:val="SourceCode"/>
        <w:keepLines/>
        <w:shd w:fill="F6F8FA" w:val="clear"/>
      </w:pPr>
      <w:r>
        <w:rPr>
          <w:rStyle w:val="VerbatimChar"/>
        </w:rPr>
        <w:t xml:space="preserve">5</w:t>
      </w:r>
    </w:p>
    <w:p>
      <w:pPr>
        <w:pStyle w:val="FirstParagraph"/>
      </w:pPr>
      <w:r>
        <w:rPr>
          <w:b/>
          <w:bCs/>
        </w:rPr>
        <w:t xml:space="preserve">Interpretation.</w:t>
      </w:r>
      <w:r>
        <w:t xml:space="preserve"> </w:t>
      </w:r>
      <w:r>
        <w:t xml:space="preserve">The timeout and exception handling prevent an indefinite hang. Production code should also validate schema and use the frozen fallback.</w:t>
      </w:r>
    </w:p>
    <w:bookmarkEnd w:id="305"/>
    <w:bookmarkEnd w:id="306"/>
    <w:bookmarkStart w:id="313" w:name="visual-evidence-15"/>
    <w:p>
      <w:pPr>
        <w:pStyle w:val="Heading2"/>
        <w:keepNext/>
      </w:pPr>
      <w:r>
        <w:rPr>
          <w:rStyle w:val="SectionNumber"/>
          <w:rFonts w:ascii="Noto Sans" w:hAnsi="Noto Sans" w:eastAsia="Noto Sans" w:cs="Noto Sans"/>
          <w:b/>
          <w:color w:val="008F87"/>
          <w:sz w:val="29"/>
        </w:rPr>
        <w:t xml:space="preserve">16.6</w:t>
      </w:r>
      <w:r>
        <w:rPr>
          <w:rFonts w:ascii="Noto Sans" w:hAnsi="Noto Sans" w:eastAsia="Noto Sans" w:cs="Noto Sans"/>
          <w:b/>
          <w:color w:val="008F87"/>
          <w:sz w:val="29"/>
        </w:rPr>
        <w:tab/>
      </w:r>
      <w:r>
        <w:rPr>
          <w:rFonts w:ascii="Noto Sans" w:hAnsi="Noto Sans" w:eastAsia="Noto Sans" w:cs="Noto Sans"/>
          <w:b/>
          <w:color w:val="008F87"/>
          <w:sz w:val="29"/>
        </w:rPr>
        <w:t xml:space="preserve">Visual evidence</w:t>
      </w:r>
    </w:p>
    <w:p>
      <w:pPr>
        <w:pStyle w:val="FirstParagraph"/>
      </w:pPr>
      <w:r>
        <w:drawing>
          <wp:inline>
            <wp:extent cx="4907280" cy="2136439"/>
            <wp:effectExtent b="0" l="0" r="0" t="0"/>
            <wp:docPr descr="Image: rId307.png" title="" id="308" name="Picture"/>
            <a:graphic>
              <a:graphicData uri="http://schemas.openxmlformats.org/drawingml/2006/picture">
                <pic:pic>
                  <pic:nvPicPr>
                    <pic:cNvPr descr="figures/fig_17_api_pipeline.png" id="309" name="Picture"/>
                    <pic:cNvPicPr>
                      <a:picLocks noChangeArrowheads="1" noChangeAspect="1"/>
                    </pic:cNvPicPr>
                  </pic:nvPicPr>
                  <pic:blipFill>
                    <a:blip r:embed="rId307"/>
                    <a:stretch>
                      <a:fillRect/>
                    </a:stretch>
                  </pic:blipFill>
                  <pic:spPr bwMode="auto">
                    <a:xfrm>
                      <a:off x="0" y="0"/>
                      <a:ext cx="4907280" cy="2136439"/>
                    </a:xfrm>
                    <a:prstGeom prst="rect">
                      <a:avLst/>
                    </a:prstGeom>
                    <a:noFill/>
                    <a:ln w="9525">
                      <a:noFill/>
                      <a:headEnd/>
                      <a:tailEnd/>
                    </a:ln>
                  </pic:spPr>
                </pic:pic>
              </a:graphicData>
            </a:graphic>
          </wp:inline>
        </w:drawing>
      </w:r>
    </w:p>
    <w:p>
      <w:pPr>
        <w:pStyle w:val="Caption"/>
        <w:keepNext w:val="0"/>
        <w:jc w:val="center"/>
      </w:pPr>
      <w:r>
        <w:rPr>
          <w:b/>
          <w:bCs/>
        </w:rPr>
        <w:t xml:space="preserve">Figure 17.</w:t>
      </w:r>
      <w:r>
        <w:t xml:space="preserve"> </w:t>
      </w:r>
      <w:r>
        <w:t xml:space="preserve">A resilient data-retrieval pipeline validates and caches official observations.</w:t>
      </w:r>
    </w:p>
    <w:p>
      <w:pPr>
        <w:pStyle w:val="BodyText"/>
      </w:pPr>
      <w:r>
        <w:drawing>
          <wp:inline>
            <wp:extent cx="4907280" cy="2732903"/>
            <wp:effectExtent b="0" l="0" r="0" t="0"/>
            <wp:docPr descr="Image: rId310.png" title="" id="311" name="Picture"/>
            <a:graphic>
              <a:graphicData uri="http://schemas.openxmlformats.org/drawingml/2006/picture">
                <pic:pic>
                  <pic:nvPicPr>
                    <pic:cNvPr descr="figures/fig_65_boc_fx.png" id="312" name="Picture"/>
                    <pic:cNvPicPr>
                      <a:picLocks noChangeArrowheads="1" noChangeAspect="1"/>
                    </pic:cNvPicPr>
                  </pic:nvPicPr>
                  <pic:blipFill>
                    <a:blip r:embed="rId310"/>
                    <a:stretch>
                      <a:fillRect/>
                    </a:stretch>
                  </pic:blipFill>
                  <pic:spPr bwMode="auto">
                    <a:xfrm>
                      <a:off x="0" y="0"/>
                      <a:ext cx="4907280" cy="2732903"/>
                    </a:xfrm>
                    <a:prstGeom prst="rect">
                      <a:avLst/>
                    </a:prstGeom>
                    <a:noFill/>
                    <a:ln w="9525">
                      <a:noFill/>
                      <a:headEnd/>
                      <a:tailEnd/>
                    </a:ln>
                  </pic:spPr>
                </pic:pic>
              </a:graphicData>
            </a:graphic>
          </wp:inline>
        </w:drawing>
      </w:r>
    </w:p>
    <w:p>
      <w:pPr>
        <w:pStyle w:val="Caption"/>
        <w:keepNext w:val="0"/>
        <w:jc w:val="center"/>
      </w:pPr>
      <w:r>
        <w:rPr>
          <w:b/>
          <w:bCs/>
        </w:rPr>
        <w:t xml:space="preserve">Figure 65.</w:t>
      </w:r>
      <w:r>
        <w:t xml:space="preserve"> </w:t>
      </w:r>
      <w:r>
        <w:t xml:space="preserve">Official Bank of Canada FXUSDCAD observations from 15 April to 15 May 2024.</w:t>
      </w:r>
    </w:p>
    <w:bookmarkEnd w:id="313"/>
    <w:bookmarkStart w:id="314" w:name="reference-table-15"/>
    <w:p>
      <w:pPr>
        <w:pStyle w:val="Heading2"/>
        <w:keepNext/>
      </w:pPr>
      <w:r>
        <w:rPr>
          <w:rStyle w:val="SectionNumber"/>
          <w:rFonts w:ascii="Noto Sans" w:hAnsi="Noto Sans" w:eastAsia="Noto Sans" w:cs="Noto Sans"/>
          <w:b/>
          <w:color w:val="008F87"/>
          <w:sz w:val="29"/>
        </w:rPr>
        <w:t xml:space="preserve">16.7</w:t>
      </w:r>
      <w:r>
        <w:rPr>
          <w:rFonts w:ascii="Noto Sans" w:hAnsi="Noto Sans" w:eastAsia="Noto Sans" w:cs="Noto Sans"/>
          <w:b/>
          <w:color w:val="008F87"/>
          <w:sz w:val="29"/>
        </w:rPr>
        <w:tab/>
      </w:r>
      <w:r>
        <w:rPr>
          <w:rFonts w:ascii="Noto Sans" w:hAnsi="Noto Sans" w:eastAsia="Noto Sans" w:cs="Noto Sans"/>
          <w:b/>
          <w:color w:val="008F87"/>
          <w:sz w:val="29"/>
        </w:rPr>
        <w:t xml:space="preserve">Reference table</w:t>
      </w:r>
    </w:p>
    <w:p>
      <w:pPr>
        <w:pStyle w:val="Caption"/>
        <w:keepNext/>
        <w:jc w:val="center"/>
      </w:pPr>
      <w:r>
        <w:rPr>
          <w:b/>
          <w:bCs/>
        </w:rPr>
        <w:t xml:space="preserve">Table 16. Chapter reference.</w:t>
      </w:r>
    </w:p>
    <w:tbl>
      <w:tblPr>
        <w:tblStyle w:val="Table"/>
        <w:tblW w:type="pct" w:w="5000"/>
        <w:jc w:val="center"/>
        <w:tblLayout w:type="autofit"/>
        <w:tblLook w:firstRow="1" w:lastRow="0" w:firstColumn="0" w:lastColumn="0" w:noHBand="0" w:noVBand="0" w:val="0020"/>
      </w:tblPr>
      <w:tblGrid>
        <w:gridCol w:w="2640"/>
        <w:gridCol w:w="2640"/>
        <w:gridCol w:w="2640"/>
      </w:tblGrid>
      <w:tr>
        <w:trPr>
          <w:tblHeader w:val="on"/>
          <w:tblHeader w:val="true"/>
          <w:cantSplit/>
        </w:trPr>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0A2342" w:val="clear"/>
          </w:tcPr>
          <w:p>
            <w:pPr>
              <w:pStyle w:val="Compact"/>
              <w:spacing w:before="30" w:after="30" w:line="240" w:lineRule="auto"/>
              <w:jc w:val="left"/>
            </w:pPr>
            <w:r>
              <w:rPr>
                <w:rFonts w:ascii="Noto Sans" w:hAnsi="Noto Sans" w:eastAsia="Noto Sans" w:cs="Noto Sans"/>
                <w:b/>
                <w:color w:val="FFFFFF"/>
                <w:sz w:val="16"/>
              </w:rPr>
              <w:t xml:space="preserve">Provider</w:t>
            </w:r>
          </w:p>
        </w:tc>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0A2342" w:val="clear"/>
          </w:tcPr>
          <w:p>
            <w:pPr>
              <w:pStyle w:val="Compact"/>
              <w:spacing w:before="30" w:after="30" w:line="240" w:lineRule="auto"/>
              <w:jc w:val="left"/>
            </w:pPr>
            <w:r>
              <w:rPr>
                <w:rFonts w:ascii="Noto Sans" w:hAnsi="Noto Sans" w:eastAsia="Noto Sans" w:cs="Noto Sans"/>
                <w:b/>
                <w:color w:val="FFFFFF"/>
                <w:sz w:val="16"/>
              </w:rPr>
              <w:t xml:space="preserve">Strength</w:t>
            </w:r>
          </w:p>
        </w:tc>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0A2342" w:val="clear"/>
          </w:tcPr>
          <w:p>
            <w:pPr>
              <w:pStyle w:val="Compact"/>
              <w:spacing w:before="30" w:after="30" w:line="240" w:lineRule="auto"/>
              <w:jc w:val="left"/>
            </w:pPr>
            <w:r>
              <w:rPr>
                <w:rFonts w:ascii="Noto Sans" w:hAnsi="Noto Sans" w:eastAsia="Noto Sans" w:cs="Noto Sans"/>
                <w:b/>
                <w:color w:val="FFFFFF"/>
                <w:sz w:val="16"/>
              </w:rPr>
              <w:t xml:space="preserve">Required metadata</w:t>
            </w:r>
          </w:p>
        </w:tc>
      </w:tr>
      <w:tr>
        <w:trPr>
          <w:cantSplit/>
        </w:trPr>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EEF4F8" w:val="clear"/>
          </w:tcPr>
          <w:p>
            <w:pPr>
              <w:pStyle w:val="Compact"/>
              <w:spacing w:before="30" w:after="30" w:line="240" w:lineRule="auto"/>
              <w:jc w:val="left"/>
            </w:pPr>
            <w:r>
              <w:rPr>
                <w:rFonts w:ascii="Noto Sans" w:hAnsi="Noto Sans" w:eastAsia="Noto Sans" w:cs="Noto Sans"/>
                <w:b w:val="0"/>
                <w:color w:val="18212B"/>
                <w:sz w:val="16"/>
              </w:rPr>
              <w:t xml:space="preserve">Bank of Canada</w:t>
            </w:r>
          </w:p>
        </w:tc>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EEF4F8" w:val="clear"/>
          </w:tcPr>
          <w:p>
            <w:pPr>
              <w:pStyle w:val="Compact"/>
              <w:spacing w:before="30" w:after="30" w:line="240" w:lineRule="auto"/>
              <w:jc w:val="left"/>
            </w:pPr>
            <w:r>
              <w:rPr>
                <w:rFonts w:ascii="Noto Sans" w:hAnsi="Noto Sans" w:eastAsia="Noto Sans" w:cs="Noto Sans"/>
                <w:b w:val="0"/>
                <w:color w:val="18212B"/>
                <w:sz w:val="16"/>
              </w:rPr>
              <w:t xml:space="preserve">Canadian rates and exchange rates</w:t>
            </w:r>
          </w:p>
        </w:tc>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EEF4F8" w:val="clear"/>
          </w:tcPr>
          <w:p>
            <w:pPr>
              <w:pStyle w:val="Compact"/>
              <w:spacing w:before="30" w:after="30" w:line="240" w:lineRule="auto"/>
              <w:jc w:val="left"/>
            </w:pPr>
            <w:r>
              <w:rPr>
                <w:rFonts w:ascii="Noto Sans" w:hAnsi="Noto Sans" w:eastAsia="Noto Sans" w:cs="Noto Sans"/>
                <w:b w:val="0"/>
                <w:color w:val="18212B"/>
                <w:sz w:val="16"/>
              </w:rPr>
              <w:t xml:space="preserve">series code, units, date range</w:t>
            </w:r>
          </w:p>
        </w:tc>
      </w:tr>
      <w:tr>
        <w:trPr>
          <w:cantSplit/>
        </w:trPr>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FFFFFF" w:val="clear"/>
          </w:tcPr>
          <w:p>
            <w:pPr>
              <w:pStyle w:val="Compact"/>
              <w:spacing w:before="30" w:after="30" w:line="240" w:lineRule="auto"/>
              <w:jc w:val="left"/>
            </w:pPr>
            <w:r>
              <w:rPr>
                <w:rFonts w:ascii="Noto Sans" w:hAnsi="Noto Sans" w:eastAsia="Noto Sans" w:cs="Noto Sans"/>
                <w:b w:val="0"/>
                <w:color w:val="18212B"/>
                <w:sz w:val="16"/>
              </w:rPr>
              <w:t xml:space="preserve">Statistics Canada</w:t>
            </w:r>
          </w:p>
        </w:tc>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FFFFFF" w:val="clear"/>
          </w:tcPr>
          <w:p>
            <w:pPr>
              <w:pStyle w:val="Compact"/>
              <w:spacing w:before="30" w:after="30" w:line="240" w:lineRule="auto"/>
              <w:jc w:val="left"/>
            </w:pPr>
            <w:r>
              <w:rPr>
                <w:rFonts w:ascii="Noto Sans" w:hAnsi="Noto Sans" w:eastAsia="Noto Sans" w:cs="Noto Sans"/>
                <w:b w:val="0"/>
                <w:color w:val="18212B"/>
                <w:sz w:val="16"/>
              </w:rPr>
              <w:t xml:space="preserve">official Canadian tables</w:t>
            </w:r>
          </w:p>
        </w:tc>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FFFFFF" w:val="clear"/>
          </w:tcPr>
          <w:p>
            <w:pPr>
              <w:pStyle w:val="Compact"/>
              <w:spacing w:before="30" w:after="30" w:line="240" w:lineRule="auto"/>
              <w:jc w:val="left"/>
            </w:pPr>
            <w:r>
              <w:rPr>
                <w:rFonts w:ascii="Noto Sans" w:hAnsi="Noto Sans" w:eastAsia="Noto Sans" w:cs="Noto Sans"/>
                <w:b w:val="0"/>
                <w:color w:val="18212B"/>
                <w:sz w:val="16"/>
              </w:rPr>
              <w:t xml:space="preserve">table/product ID and vector IDs</w:t>
            </w:r>
          </w:p>
        </w:tc>
      </w:tr>
      <w:tr>
        <w:trPr>
          <w:cantSplit/>
        </w:trPr>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EEF4F8" w:val="clear"/>
          </w:tcPr>
          <w:p>
            <w:pPr>
              <w:pStyle w:val="Compact"/>
              <w:spacing w:before="30" w:after="30" w:line="240" w:lineRule="auto"/>
              <w:jc w:val="left"/>
            </w:pPr>
            <w:r>
              <w:rPr>
                <w:rFonts w:ascii="Noto Sans" w:hAnsi="Noto Sans" w:eastAsia="Noto Sans" w:cs="Noto Sans"/>
                <w:b w:val="0"/>
                <w:color w:val="18212B"/>
                <w:sz w:val="16"/>
              </w:rPr>
              <w:t xml:space="preserve">FRED</w:t>
            </w:r>
          </w:p>
        </w:tc>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EEF4F8" w:val="clear"/>
          </w:tcPr>
          <w:p>
            <w:pPr>
              <w:pStyle w:val="Compact"/>
              <w:spacing w:before="30" w:after="30" w:line="240" w:lineRule="auto"/>
              <w:jc w:val="left"/>
            </w:pPr>
            <w:r>
              <w:rPr>
                <w:rFonts w:ascii="Noto Sans" w:hAnsi="Noto Sans" w:eastAsia="Noto Sans" w:cs="Noto Sans"/>
                <w:b w:val="0"/>
                <w:color w:val="18212B"/>
                <w:sz w:val="16"/>
              </w:rPr>
              <w:t xml:space="preserve">U.S. and international macro series</w:t>
            </w:r>
          </w:p>
        </w:tc>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EEF4F8" w:val="clear"/>
          </w:tcPr>
          <w:p>
            <w:pPr>
              <w:pStyle w:val="Compact"/>
              <w:spacing w:before="30" w:after="30" w:line="240" w:lineRule="auto"/>
              <w:jc w:val="left"/>
            </w:pPr>
            <w:r>
              <w:rPr>
                <w:rFonts w:ascii="Noto Sans" w:hAnsi="Noto Sans" w:eastAsia="Noto Sans" w:cs="Noto Sans"/>
                <w:b w:val="0"/>
                <w:color w:val="18212B"/>
                <w:sz w:val="16"/>
              </w:rPr>
              <w:t xml:space="preserve">series ID and frequency</w:t>
            </w:r>
          </w:p>
        </w:tc>
      </w:tr>
      <w:tr>
        <w:trPr>
          <w:cantSplit/>
        </w:trPr>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FFFFFF" w:val="clear"/>
          </w:tcPr>
          <w:p>
            <w:pPr>
              <w:pStyle w:val="Compact"/>
              <w:spacing w:before="30" w:after="30" w:line="240" w:lineRule="auto"/>
              <w:jc w:val="left"/>
            </w:pPr>
            <w:r>
              <w:rPr>
                <w:rFonts w:ascii="Noto Sans" w:hAnsi="Noto Sans" w:eastAsia="Noto Sans" w:cs="Noto Sans"/>
                <w:b w:val="0"/>
                <w:color w:val="18212B"/>
                <w:sz w:val="16"/>
              </w:rPr>
              <w:t xml:space="preserve">World Bank</w:t>
            </w:r>
          </w:p>
        </w:tc>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FFFFFF" w:val="clear"/>
          </w:tcPr>
          <w:p>
            <w:pPr>
              <w:pStyle w:val="Compact"/>
              <w:spacing w:before="30" w:after="30" w:line="240" w:lineRule="auto"/>
              <w:jc w:val="left"/>
            </w:pPr>
            <w:r>
              <w:rPr>
                <w:rFonts w:ascii="Noto Sans" w:hAnsi="Noto Sans" w:eastAsia="Noto Sans" w:cs="Noto Sans"/>
                <w:b w:val="0"/>
                <w:color w:val="18212B"/>
                <w:sz w:val="16"/>
              </w:rPr>
              <w:t xml:space="preserve">cross-country indicators</w:t>
            </w:r>
          </w:p>
        </w:tc>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FFFFFF" w:val="clear"/>
          </w:tcPr>
          <w:p>
            <w:pPr>
              <w:pStyle w:val="Compact"/>
              <w:spacing w:before="30" w:after="30" w:line="240" w:lineRule="auto"/>
              <w:jc w:val="left"/>
            </w:pPr>
            <w:r>
              <w:rPr>
                <w:rFonts w:ascii="Noto Sans" w:hAnsi="Noto Sans" w:eastAsia="Noto Sans" w:cs="Noto Sans"/>
                <w:b w:val="0"/>
                <w:color w:val="18212B"/>
                <w:sz w:val="16"/>
              </w:rPr>
              <w:t xml:space="preserve">indicator code and country coverage</w:t>
            </w:r>
          </w:p>
        </w:tc>
      </w:tr>
      <w:tr>
        <w:trPr>
          <w:cantSplit/>
        </w:trPr>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EEF4F8" w:val="clear"/>
          </w:tcPr>
          <w:p>
            <w:pPr>
              <w:pStyle w:val="Compact"/>
              <w:spacing w:before="30" w:after="30" w:line="240" w:lineRule="auto"/>
              <w:jc w:val="left"/>
            </w:pPr>
            <w:r>
              <w:rPr>
                <w:rFonts w:ascii="Noto Sans" w:hAnsi="Noto Sans" w:eastAsia="Noto Sans" w:cs="Noto Sans"/>
                <w:b w:val="0"/>
                <w:color w:val="18212B"/>
                <w:sz w:val="16"/>
              </w:rPr>
              <w:t xml:space="preserve">Market-data interface</w:t>
            </w:r>
          </w:p>
        </w:tc>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EEF4F8" w:val="clear"/>
          </w:tcPr>
          <w:p>
            <w:pPr>
              <w:pStyle w:val="Compact"/>
              <w:spacing w:before="30" w:after="30" w:line="240" w:lineRule="auto"/>
              <w:jc w:val="left"/>
            </w:pPr>
            <w:r>
              <w:rPr>
                <w:rFonts w:ascii="Noto Sans" w:hAnsi="Noto Sans" w:eastAsia="Noto Sans" w:cs="Noto Sans"/>
                <w:b w:val="0"/>
                <w:color w:val="18212B"/>
                <w:sz w:val="16"/>
              </w:rPr>
              <w:t xml:space="preserve">prices and volumes</w:t>
            </w:r>
          </w:p>
        </w:tc>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EEF4F8" w:val="clear"/>
          </w:tcPr>
          <w:p>
            <w:pPr>
              <w:pStyle w:val="Compact"/>
              <w:spacing w:before="30" w:after="30" w:line="240" w:lineRule="auto"/>
              <w:jc w:val="left"/>
            </w:pPr>
            <w:r>
              <w:rPr>
                <w:rFonts w:ascii="Noto Sans" w:hAnsi="Noto Sans" w:eastAsia="Noto Sans" w:cs="Noto Sans"/>
                <w:b w:val="0"/>
                <w:color w:val="18212B"/>
                <w:sz w:val="16"/>
              </w:rPr>
              <w:t xml:space="preserve">provider status, adjustments, licence</w:t>
            </w:r>
          </w:p>
        </w:tc>
      </w:tr>
    </w:tbl>
    <w:p>
      <w:pPr>
        <w:pStyle w:val="BlockText"/>
        <w:shd w:fill="EAF7F5" w:val="clear"/>
        <w:pBdr>
          <w:left w:val="single" w:sz="18" w:space="8" w:color="008F87"/>
        </w:pBdr>
      </w:pPr>
      <w:r>
        <w:rPr>
          <w:b/>
          <w:bCs/>
        </w:rPr>
        <w:t xml:space="preserve">Why This Matters</w:t>
      </w:r>
    </w:p>
    <w:p>
      <w:pPr>
        <w:pStyle w:val="BlockText"/>
        <w:shd w:fill="EAF7F5" w:val="clear"/>
        <w:pBdr>
          <w:left w:val="single" w:sz="18" w:space="8" w:color="008F87"/>
        </w:pBdr>
      </w:pPr>
      <w:r>
        <w:t xml:space="preserve">Reproducible data access links an empirical result to an identifiable provider, series, transformation, and retrieval date.</w:t>
      </w:r>
    </w:p>
    <w:p>
      <w:pPr>
        <w:pStyle w:val="BlockText"/>
        <w:shd w:fill="EAF7F5" w:val="clear"/>
        <w:pBdr>
          <w:left w:val="single" w:sz="18" w:space="8" w:color="008F87"/>
        </w:pBdr>
      </w:pPr>
      <w:r>
        <w:rPr>
          <w:b/>
          <w:bCs/>
        </w:rPr>
        <w:t xml:space="preserve">Common Mistake</w:t>
      </w:r>
    </w:p>
    <w:p>
      <w:pPr>
        <w:pStyle w:val="BlockText"/>
        <w:shd w:fill="EAF7F5" w:val="clear"/>
        <w:pBdr>
          <w:left w:val="single" w:sz="18" w:space="8" w:color="008F87"/>
        </w:pBdr>
      </w:pPr>
      <w:r>
        <w:t xml:space="preserve">Using a ticker or series code without documenting whether the values are adjusted, seasonally adjusted, annualized, or revised.</w:t>
      </w:r>
    </w:p>
    <w:p>
      <w:pPr>
        <w:pStyle w:val="BlockText"/>
        <w:shd w:fill="EAF7F5" w:val="clear"/>
        <w:pBdr>
          <w:left w:val="single" w:sz="18" w:space="8" w:color="008F87"/>
        </w:pBdr>
      </w:pPr>
      <w:r>
        <w:rPr>
          <w:b/>
          <w:bCs/>
        </w:rPr>
        <w:t xml:space="preserve">Ceteris LAB Tip</w:t>
      </w:r>
    </w:p>
    <w:p>
      <w:pPr>
        <w:pStyle w:val="BlockText"/>
        <w:shd w:fill="EAF7F5" w:val="clear"/>
        <w:pBdr>
          <w:left w:val="single" w:sz="18" w:space="8" w:color="008F87"/>
        </w:pBdr>
      </w:pPr>
      <w:r>
        <w:t xml:space="preserve">Save the raw response headers or metadata alongside the observations whenever the provider supplies them.</w:t>
      </w:r>
    </w:p>
    <w:p>
      <w:pPr>
        <w:pStyle w:val="BlockText"/>
        <w:shd w:fill="EAF7F5" w:val="clear"/>
        <w:pBdr>
          <w:left w:val="single" w:sz="18" w:space="8" w:color="008F87"/>
        </w:pBdr>
      </w:pPr>
      <w:r>
        <w:rPr>
          <w:b/>
          <w:bCs/>
        </w:rPr>
        <w:t xml:space="preserve">R-to-Python / Source Bridge</w:t>
      </w:r>
    </w:p>
    <w:p>
      <w:pPr>
        <w:pStyle w:val="BlockText"/>
        <w:shd w:fill="EAF7F5" w:val="clear"/>
        <w:pBdr>
          <w:left w:val="single" w:sz="18" w:space="8" w:color="008F87"/>
        </w:pBdr>
      </w:pPr>
      <w:r>
        <w:t xml:space="preserve">The 2013 pre-class notes used</w:t>
      </w:r>
      <w:r>
        <w:t xml:space="preserve"> </w:t>
      </w:r>
      <w:r>
        <w:rPr>
          <w:rStyle w:val="VerbatimChar"/>
        </w:rPr>
        <w:t xml:space="preserve">quantmod</w:t>
      </w:r>
      <w:r>
        <w:t xml:space="preserve"> </w:t>
      </w:r>
      <w:r>
        <w:t xml:space="preserve">and now-obsolete Google Finance examples. This chapter replaces them with current official APIs, documented market-data cautions, and a frozen Bank of Canada example</w:t>
      </w:r>
      <w:r>
        <w:t xml:space="preserve"> </w:t>
      </w:r>
      <w:r>
        <w:t xml:space="preserve">(Tsay 2013)</w:t>
      </w:r>
      <w:r>
        <w:t xml:space="preserve">.</w:t>
      </w:r>
    </w:p>
    <w:bookmarkEnd w:id="314"/>
    <w:bookmarkStart w:id="315" w:name="guided-practice-15"/>
    <w:p>
      <w:pPr>
        <w:pStyle w:val="Heading2"/>
        <w:keepNext/>
      </w:pPr>
      <w:r>
        <w:rPr>
          <w:rStyle w:val="SectionNumber"/>
          <w:rFonts w:ascii="Noto Sans" w:hAnsi="Noto Sans" w:eastAsia="Noto Sans" w:cs="Noto Sans"/>
          <w:b/>
          <w:color w:val="008F87"/>
          <w:sz w:val="29"/>
        </w:rPr>
        <w:t xml:space="preserve">16.8</w:t>
      </w:r>
      <w:r>
        <w:rPr>
          <w:rFonts w:ascii="Noto Sans" w:hAnsi="Noto Sans" w:eastAsia="Noto Sans" w:cs="Noto Sans"/>
          <w:b/>
          <w:color w:val="008F87"/>
          <w:sz w:val="29"/>
        </w:rPr>
        <w:tab/>
      </w:r>
      <w:r>
        <w:rPr>
          <w:rFonts w:ascii="Noto Sans" w:hAnsi="Noto Sans" w:eastAsia="Noto Sans" w:cs="Noto Sans"/>
          <w:b/>
          <w:color w:val="008F87"/>
          <w:sz w:val="29"/>
        </w:rPr>
        <w:t xml:space="preserve">Guided practice</w:t>
      </w:r>
    </w:p>
    <w:p>
      <w:pPr>
        <w:pStyle w:val="Compact"/>
        <w:numPr>
          <w:ilvl w:val="0"/>
          <w:numId w:val="1064"/>
        </w:numPr>
      </w:pPr>
      <w:r>
        <w:t xml:space="preserve">Re-run Demonstration 16.1 and change one input while keeping the analytical question fixed.</w:t>
      </w:r>
    </w:p>
    <w:p>
      <w:pPr>
        <w:pStyle w:val="Compact"/>
        <w:numPr>
          <w:ilvl w:val="0"/>
          <w:numId w:val="1064"/>
        </w:numPr>
      </w:pPr>
      <w:r>
        <w:t xml:space="preserve">Explain in two sentences how the output supports, or fails to support, the chapter opening question.</w:t>
      </w:r>
    </w:p>
    <w:p>
      <w:pPr>
        <w:pStyle w:val="Compact"/>
        <w:numPr>
          <w:ilvl w:val="0"/>
          <w:numId w:val="1064"/>
        </w:numPr>
      </w:pPr>
      <w:r>
        <w:t xml:space="preserve">Add one validation check that would prevent a plausible error.</w:t>
      </w:r>
    </w:p>
    <w:bookmarkEnd w:id="315"/>
    <w:bookmarkStart w:id="316" w:name="exercises-15"/>
    <w:p>
      <w:pPr>
        <w:pStyle w:val="Heading2"/>
        <w:keepNext/>
      </w:pPr>
      <w:r>
        <w:rPr>
          <w:rStyle w:val="SectionNumber"/>
          <w:rFonts w:ascii="Noto Sans" w:hAnsi="Noto Sans" w:eastAsia="Noto Sans" w:cs="Noto Sans"/>
          <w:b/>
          <w:color w:val="008F87"/>
          <w:sz w:val="29"/>
        </w:rPr>
        <w:t xml:space="preserve">16.9</w:t>
      </w:r>
      <w:r>
        <w:rPr>
          <w:rFonts w:ascii="Noto Sans" w:hAnsi="Noto Sans" w:eastAsia="Noto Sans" w:cs="Noto Sans"/>
          <w:b/>
          <w:color w:val="008F87"/>
          <w:sz w:val="29"/>
        </w:rPr>
        <w:tab/>
      </w:r>
      <w:r>
        <w:rPr>
          <w:rFonts w:ascii="Noto Sans" w:hAnsi="Noto Sans" w:eastAsia="Noto Sans" w:cs="Noto Sans"/>
          <w:b/>
          <w:color w:val="008F87"/>
          <w:sz w:val="29"/>
        </w:rPr>
        <w:t xml:space="preserve">Exercises</w:t>
      </w:r>
    </w:p>
    <w:p>
      <w:pPr>
        <w:pStyle w:val="Compact"/>
        <w:numPr>
          <w:ilvl w:val="0"/>
          <w:numId w:val="1065"/>
        </w:numPr>
      </w:pPr>
      <w:r>
        <w:t xml:space="preserve">Retrieve a short official series and record metadata.</w:t>
      </w:r>
    </w:p>
    <w:p>
      <w:pPr>
        <w:pStyle w:val="Compact"/>
        <w:numPr>
          <w:ilvl w:val="0"/>
          <w:numId w:val="1065"/>
        </w:numPr>
      </w:pPr>
      <w:r>
        <w:t xml:space="preserve">Write a fallback that loads a frozen file.</w:t>
      </w:r>
    </w:p>
    <w:p>
      <w:pPr>
        <w:pStyle w:val="Compact"/>
        <w:numPr>
          <w:ilvl w:val="0"/>
          <w:numId w:val="1065"/>
        </w:numPr>
      </w:pPr>
      <w:r>
        <w:t xml:space="preserve">Validate expected date coverage.</w:t>
      </w:r>
    </w:p>
    <w:p>
      <w:pPr>
        <w:pStyle w:val="Compact"/>
        <w:numPr>
          <w:ilvl w:val="0"/>
          <w:numId w:val="1065"/>
        </w:numPr>
      </w:pPr>
      <w:r>
        <w:t xml:space="preserve">Explain the difference between access permission and redistribution permission.</w:t>
      </w:r>
    </w:p>
    <w:bookmarkEnd w:id="316"/>
    <w:bookmarkStart w:id="317" w:name="chapter-summary-15"/>
    <w:p>
      <w:pPr>
        <w:pStyle w:val="Heading2"/>
        <w:keepNext/>
      </w:pPr>
      <w:r>
        <w:rPr>
          <w:rStyle w:val="SectionNumber"/>
          <w:rFonts w:ascii="Noto Sans" w:hAnsi="Noto Sans" w:eastAsia="Noto Sans" w:cs="Noto Sans"/>
          <w:b/>
          <w:color w:val="008F87"/>
          <w:sz w:val="29"/>
        </w:rPr>
        <w:t xml:space="preserve">16.10</w:t>
      </w:r>
      <w:r>
        <w:rPr>
          <w:rFonts w:ascii="Noto Sans" w:hAnsi="Noto Sans" w:eastAsia="Noto Sans" w:cs="Noto Sans"/>
          <w:b/>
          <w:color w:val="008F87"/>
          <w:sz w:val="29"/>
        </w:rPr>
        <w:tab/>
      </w:r>
      <w:r>
        <w:rPr>
          <w:rFonts w:ascii="Noto Sans" w:hAnsi="Noto Sans" w:eastAsia="Noto Sans" w:cs="Noto Sans"/>
          <w:b/>
          <w:color w:val="008F87"/>
          <w:sz w:val="29"/>
        </w:rPr>
        <w:t xml:space="preserve">Chapter summary</w:t>
      </w:r>
    </w:p>
    <w:p>
      <w:pPr>
        <w:pStyle w:val="Compact"/>
        <w:numPr>
          <w:ilvl w:val="0"/>
          <w:numId w:val="1066"/>
        </w:numPr>
      </w:pPr>
      <w:r>
        <w:t xml:space="preserve">Authoritative APIs improve provenance.</w:t>
      </w:r>
    </w:p>
    <w:p>
      <w:pPr>
        <w:pStyle w:val="Compact"/>
        <w:numPr>
          <w:ilvl w:val="0"/>
          <w:numId w:val="1066"/>
        </w:numPr>
      </w:pPr>
      <w:r>
        <w:t xml:space="preserve">Frozen snapshots and retrieval scripts support reproducibility.</w:t>
      </w:r>
    </w:p>
    <w:p>
      <w:pPr>
        <w:pStyle w:val="Compact"/>
        <w:numPr>
          <w:ilvl w:val="0"/>
          <w:numId w:val="1066"/>
        </w:numPr>
      </w:pPr>
      <w:r>
        <w:t xml:space="preserve">Schema, units, frequency, and licensing require explicit validation.</w:t>
      </w:r>
    </w:p>
    <w:bookmarkEnd w:id="317"/>
    <w:bookmarkStart w:id="318" w:name="key-python-commands-15"/>
    <w:p>
      <w:pPr>
        <w:pStyle w:val="Heading2"/>
        <w:keepNext/>
      </w:pPr>
      <w:r>
        <w:rPr>
          <w:rStyle w:val="SectionNumber"/>
          <w:rFonts w:ascii="Noto Sans" w:hAnsi="Noto Sans" w:eastAsia="Noto Sans" w:cs="Noto Sans"/>
          <w:b/>
          <w:color w:val="008F87"/>
          <w:sz w:val="29"/>
        </w:rPr>
        <w:t xml:space="preserve">16.11</w:t>
      </w:r>
      <w:r>
        <w:rPr>
          <w:rFonts w:ascii="Noto Sans" w:hAnsi="Noto Sans" w:eastAsia="Noto Sans" w:cs="Noto Sans"/>
          <w:b/>
          <w:color w:val="008F87"/>
          <w:sz w:val="29"/>
        </w:rPr>
        <w:tab/>
      </w:r>
      <w:r>
        <w:rPr>
          <w:rFonts w:ascii="Noto Sans" w:hAnsi="Noto Sans" w:eastAsia="Noto Sans" w:cs="Noto Sans"/>
          <w:b/>
          <w:color w:val="008F87"/>
          <w:sz w:val="29"/>
        </w:rPr>
        <w:t xml:space="preserve">Key Python commands</w:t>
      </w:r>
    </w:p>
    <w:p>
      <w:pPr>
        <w:pStyle w:val="SourceCode"/>
        <w:shd w:fill="F6F8FA" w:val="clear"/>
      </w:pPr>
      <w:r>
        <w:rPr>
          <w:rStyle w:val="ImportTok"/>
        </w:rPr>
        <w:t xml:space="preserve">from</w:t>
      </w:r>
      <w:r>
        <w:rPr>
          <w:rStyle w:val="NormalTok"/>
        </w:rPr>
        <w:t xml:space="preserve"> pathlib </w:t>
      </w:r>
      <w:r>
        <w:rPr>
          <w:rStyle w:val="ImportTok"/>
        </w:rPr>
        <w:t xml:space="preserve">import</w:t>
      </w:r>
      <w:r>
        <w:rPr>
          <w:rStyle w:val="NormalTok"/>
        </w:rPr>
        <w:t xml:space="preserve"> Path</w:t>
      </w:r>
      <w:r>
        <w:br/>
      </w:r>
      <w:r>
        <w:rPr>
          <w:rStyle w:val="ImportTok"/>
        </w:rPr>
        <w:t xml:space="preserve">import</w:t>
      </w:r>
      <w:r>
        <w:rPr>
          <w:rStyle w:val="NormalTok"/>
        </w:rPr>
        <w:t xml:space="preserve"> pandas </w:t>
      </w:r>
      <w:r>
        <w:rPr>
          <w:rStyle w:val="ImportTok"/>
        </w:rPr>
        <w:t xml:space="preserve">as</w:t>
      </w:r>
      <w:r>
        <w:rPr>
          <w:rStyle w:val="NormalTok"/>
        </w:rPr>
        <w:t xml:space="preserve"> pd</w:t>
      </w:r>
      <w:r>
        <w:br/>
      </w:r>
      <w:r>
        <w:rPr>
          <w:rStyle w:val="NormalTok"/>
        </w:rPr>
        <w:t xml:space="preserve">path </w:t>
      </w:r>
      <w:r>
        <w:rPr>
          <w:rStyle w:val="OperatorTok"/>
        </w:rPr>
        <w:t xml:space="preserve">=</w:t>
      </w:r>
      <w:r>
        <w:rPr>
          <w:rStyle w:val="NormalTok"/>
        </w:rPr>
        <w:t xml:space="preserve"> Path(</w:t>
      </w:r>
      <w:r>
        <w:rPr>
          <w:rStyle w:val="StringTok"/>
        </w:rPr>
        <w:t xml:space="preserve">"data/frozen/boc_fxusdcad_2024-04-15_2024-05-15.csv"</w:t>
      </w:r>
      <w:r>
        <w:rPr>
          <w:rStyle w:val="NormalTok"/>
        </w:rPr>
        <w:t xml:space="preserve">)</w:t>
      </w:r>
      <w:r>
        <w:br/>
      </w:r>
      <w:r>
        <w:rPr>
          <w:rStyle w:val="NormalTok"/>
        </w:rPr>
        <w:t xml:space="preserve">fx </w:t>
      </w:r>
      <w:r>
        <w:rPr>
          <w:rStyle w:val="OperatorTok"/>
        </w:rPr>
        <w:t xml:space="preserve">=</w:t>
      </w:r>
      <w:r>
        <w:rPr>
          <w:rStyle w:val="NormalTok"/>
        </w:rPr>
        <w:t xml:space="preserve"> pd.read_csv(path, skiprows</w:t>
      </w:r>
      <w:r>
        <w:rPr>
          <w:rStyle w:val="OperatorTok"/>
        </w:rPr>
        <w:t xml:space="preserve">=</w:t>
      </w:r>
      <w:r>
        <w:rPr>
          <w:rStyle w:val="DecValTok"/>
        </w:rPr>
        <w:t xml:space="preserve">8</w:t>
      </w:r>
      <w:r>
        <w:rPr>
          <w:rStyle w:val="NormalTok"/>
        </w:rPr>
        <w:t xml:space="preserve">)</w:t>
      </w:r>
      <w:r>
        <w:br/>
      </w:r>
      <w:r>
        <w:rPr>
          <w:rStyle w:val="NormalTok"/>
        </w:rPr>
        <w:t xml:space="preserve">fx[value_col] </w:t>
      </w:r>
      <w:r>
        <w:rPr>
          <w:rStyle w:val="OperatorTok"/>
        </w:rPr>
        <w:t xml:space="preserve">=</w:t>
      </w:r>
      <w:r>
        <w:rPr>
          <w:rStyle w:val="NormalTok"/>
        </w:rPr>
        <w:t xml:space="preserve"> pd.to_numeric(fx[value_col], errors</w:t>
      </w:r>
      <w:r>
        <w:rPr>
          <w:rStyle w:val="OperatorTok"/>
        </w:rPr>
        <w:t xml:space="preserve">=</w:t>
      </w:r>
      <w:r>
        <w:rPr>
          <w:rStyle w:val="StringTok"/>
        </w:rPr>
        <w:t xml:space="preserve">"coerce"</w:t>
      </w:r>
      <w:r>
        <w:rPr>
          <w:rStyle w:val="NormalTok"/>
        </w:rPr>
        <w:t xml:space="preserve">)</w:t>
      </w:r>
      <w:r>
        <w:br/>
      </w:r>
      <w:r>
        <w:rPr>
          <w:rStyle w:val="BuiltInTok"/>
        </w:rPr>
        <w:t xml:space="preserve">print</w:t>
      </w:r>
      <w:r>
        <w:rPr>
          <w:rStyle w:val="NormalTok"/>
        </w:rPr>
        <w:t xml:space="preserve">(fx.shape[</w:t>
      </w:r>
      <w:r>
        <w:rPr>
          <w:rStyle w:val="DecValTok"/>
        </w:rPr>
        <w:t xml:space="preserve">0</w:t>
      </w:r>
      <w:r>
        <w:rPr>
          <w:rStyle w:val="NormalTok"/>
        </w:rPr>
        <w:t xml:space="preserve">], </w:t>
      </w:r>
      <w:r>
        <w:rPr>
          <w:rStyle w:val="BuiltInTok"/>
        </w:rPr>
        <w:t xml:space="preserve">round</w:t>
      </w:r>
      <w:r>
        <w:rPr>
          <w:rStyle w:val="NormalTok"/>
        </w:rPr>
        <w:t xml:space="preserve">(fx[value_col].mean(), </w:t>
      </w:r>
      <w:r>
        <w:rPr>
          <w:rStyle w:val="DecValTok"/>
        </w:rPr>
        <w:t xml:space="preserve">4</w:t>
      </w:r>
      <w:r>
        <w:rPr>
          <w:rStyle w:val="NormalTok"/>
        </w:rPr>
        <w:t xml:space="preserve">))</w:t>
      </w:r>
    </w:p>
    <w:bookmarkEnd w:id="318"/>
    <w:bookmarkEnd w:id="319"/>
    <w:bookmarkStart w:id="320" w:name="Xd648c3a2d620088504857427e3977cc814c4f66"/>
    <w:p>
      <w:pPr>
        <w:keepNext/>
        <w:pageBreakBefore/>
        <w:spacing w:before="1360" w:after="240"/>
        <w:jc w:val="center"/>
      </w:pPr>
      <w:r>
        <w:drawing>
          <wp:inline>
            <wp:extent cx="4297680" cy="2418730"/>
            <wp:docPr id="737" name="Picture 737" descr="Image: rId20.png"/>
            <wp:cNvGraphicFramePr>
              <a:graphicFrameLocks noChangeAspect="1"/>
            </wp:cNvGraphicFramePr>
            <a:graphic>
              <a:graphicData uri="http://schemas.openxmlformats.org/drawingml/2006/picture">
                <pic:pic>
                  <pic:nvPicPr>
                    <pic:cNvPr id="0" name="image.png"/>
                    <pic:cNvPicPr/>
                  </pic:nvPicPr>
                  <pic:blipFill>
                    <a:blip r:embed="rId20"/>
                    <a:stretch>
                      <a:fillRect/>
                    </a:stretch>
                  </pic:blipFill>
                  <pic:spPr>
                    <a:xfrm>
                      <a:off x="0" y="0"/>
                      <a:ext cx="4297680" cy="2418730"/>
                    </a:xfrm>
                    <a:prstGeom prst="rect"/>
                  </pic:spPr>
                </pic:pic>
              </a:graphicData>
            </a:graphic>
          </wp:inline>
        </w:drawing>
      </w:r>
    </w:p>
    <w:p>
      <w:pPr>
        <w:pStyle w:val="PartTitle"/>
        <w:keepNext/>
        <w:pageBreakBefore w:val="0"/>
      </w:pPr>
      <w:r>
        <w:rPr>
          <w:rFonts w:ascii="Noto Sans" w:hAnsi="Noto Sans" w:eastAsia="Noto Sans" w:cs="Noto Sans"/>
          <w:b/>
          <w:color w:val="0A2342"/>
          <w:sz w:val="28"/>
        </w:rPr>
        <w:t>PART III</w:t>
        <w:br/>
      </w:r>
      <w:r>
        <w:rPr>
          <w:rFonts w:ascii="Noto Sans" w:hAnsi="Noto Sans" w:eastAsia="Noto Sans" w:cs="Noto Sans"/>
          <w:b/>
          <w:color w:val="008F87"/>
          <w:sz w:val="56"/>
        </w:rPr>
        <w:t>Time Series and Financial Econometrics</w:t>
      </w:r>
    </w:p>
    <w:p>
      <w:pPr>
        <w:pStyle w:val="PartTagline"/>
      </w:pPr>
      <w:r>
        <w:t>LEARN  •  ANALYZE  •  UNDERSTAND</w:t>
      </w:r>
    </w:p>
    <w:p>
      <w:pPr>
        <w:pStyle w:val="PartTagline"/>
      </w:pPr>
      <w:r>
        <w:t>Ceteris LAB  |  econometrics.safavim.com</w:t>
      </w:r>
    </w:p>
    <w:bookmarkEnd w:id="320"/>
    <w:bookmarkStart w:id="341" w:name="introduction-to-time-series-data"/>
    <w:p>
      <w:pPr>
        <w:pStyle w:val="Title"/>
        <w:jc w:val="center"/>
      </w:pPr>
      <w:r>
        <w:t>Part III: Core Econometrics and Causal Inference</w:t>
      </w:r>
    </w:p>
    <w:p>
      <w:pPr>
        <w:jc w:val="center"/>
      </w:pPr>
      <w:r>
        <w:t>From association to identification, from simple regression to causal machine learning</w:t>
      </w:r>
    </w:p>
    <w:p>
      <w:r>
        <w:br w:type="page"/>
      </w:r>
    </w:p>
    <w:p>
      <w:pPr>
        <w:pStyle w:val="Heading1"/>
      </w:pPr>
      <w:r>
        <w:t>17</w:t>
        <w:tab/>
        <w:t>Econometric Thinking and Research Design</w:t>
      </w:r>
    </w:p>
    <w:p>
      <w:pPr>
        <w:pStyle w:val="Subtitle"/>
      </w:pPr>
      <w:r>
        <w:t>What exactly are we trying to learn from economic data?</w:t>
      </w:r>
    </w:p>
    <w:p>
      <w:pPr>
        <w:pStyle w:val="Heading2"/>
      </w:pPr>
      <w:r>
        <w:t>17.1 Learning objectives</w:t>
      </w:r>
    </w:p>
    <w:p>
      <w:pPr>
        <w:pStyle w:val="ListBullet"/>
      </w:pPr>
      <w:r>
        <w:t>Explain and apply economic model versus econometric model.</w:t>
      </w:r>
    </w:p>
    <w:p>
      <w:pPr>
        <w:pStyle w:val="ListBullet"/>
      </w:pPr>
      <w:r>
        <w:t>Explain and apply population, sample, parameter, estimate, and estimand.</w:t>
      </w:r>
    </w:p>
    <w:p>
      <w:pPr>
        <w:pStyle w:val="ListBullet"/>
      </w:pPr>
      <w:r>
        <w:t>Explain and apply data-generating processes.</w:t>
      </w:r>
    </w:p>
    <w:p>
      <w:pPr>
        <w:pStyle w:val="ListBullet"/>
      </w:pPr>
      <w:r>
        <w:t>Explain and apply exogeneity and endogeneity.</w:t>
      </w:r>
    </w:p>
    <w:p>
      <w:pPr>
        <w:pStyle w:val="ListBullet"/>
      </w:pPr>
      <w:r>
        <w:t>Explain and apply identification.</w:t>
      </w:r>
    </w:p>
    <w:p>
      <w:pPr>
        <w:pStyle w:val="ListBullet"/>
      </w:pPr>
      <w:r>
        <w:t>Explain and apply prediction versus causal inference.</w:t>
      </w:r>
    </w:p>
    <w:p>
      <w:pPr>
        <w:pStyle w:val="ListBullet"/>
      </w:pPr>
      <w:r>
        <w:t>Explain and apply cross-sectional, panel, and time-series designs.</w:t>
      </w:r>
    </w:p>
    <w:tbl>
      <w:tblPr>
        <w:tblW w:type="auto" w:w="0"/>
        <w:jc w:val="center"/>
        <w:tblLook w:firstColumn="1" w:firstRow="1" w:lastColumn="0" w:lastRow="0" w:noHBand="0" w:noVBand="1" w:val="04A0"/>
      </w:tblPr>
      <w:tblGrid>
        <w:gridCol w:w="10080"/>
      </w:tblGrid>
      <w:tr>
        <w:tc>
          <w:tcPr>
            <w:tcW w:type="dxa" w:w="10080"/>
          </w:tcPr>
          <w:p>
            <w:r/>
            <w:r>
              <w:rPr>
                <w:b/>
              </w:rPr>
              <w:t xml:space="preserve">Concept in one sentence: </w:t>
            </w:r>
            <w:r>
              <w:t>A regression coefficient can summarize an association without identifying a causal effect.</w:t>
            </w:r>
          </w:p>
        </w:tc>
        <w:trPr>
          <w:tblHeader/>
        </w:trPr>
      </w:tr>
    </w:tbl>
    <w:p>
      <w:pPr>
        <w:pStyle w:val="Heading2"/>
      </w:pPr>
      <w:r>
        <w:t>17.2 Economic intuition</w:t>
      </w:r>
    </w:p>
    <w:p>
      <w:r>
        <w:t>This chapter begins from the economic question rather than from software syntax. The goal is to understand what information the data can legitimately provide about econometric thinking and research design. Python is used as a transparent laboratory: we state the question, define the target, inspect the data, estimate the model, and then challenge the result.</w:t>
      </w:r>
    </w:p>
    <w:p>
      <w:r>
        <w:t>A recurring distinction in econometrics is the difference between describing a pattern, predicting an outcome, and estimating a causal effect. These goals can use similar equations but require different assumptions. A model may forecast well while offering little causal interpretation, and a credible causal design may deliberately use a simple estimator because identification comes from the research design rather than algorithmic complexity.</w:t>
      </w:r>
    </w:p>
    <w:p>
      <w:r>
        <w:t>Throughout the chapter, pay attention to units, timing, sample construction, and the information set available to the analyst. Economic data are produced by institutions, markets, households, and firms. They are not abstract arrays. A good empirical workflow therefore combines statistical discipline with substantive economic reasoning.</w:t>
      </w:r>
    </w:p>
    <w:p>
      <w:pPr>
        <w:pStyle w:val="Heading2"/>
      </w:pPr>
      <w:r>
        <w:t>17.3 A small numerical example</w:t>
      </w:r>
    </w:p>
    <w:p>
      <w:r>
        <w:t>Start with a tiny hypothetical sample that can be checked by hand. Write the unit of observation, outcome, explanatory variable or treatment, and the comparison being made. Before estimating anything, ask what would make the comparison informative and what could make it misleading.</w:t>
      </w:r>
    </w:p>
    <w:tbl>
      <w:tblPr>
        <w:tblStyle w:val="TableGrid"/>
        <w:tblW w:type="auto" w:w="0"/>
        <w:jc w:val="center"/>
        <w:tblLook w:firstColumn="1" w:firstRow="1" w:lastColumn="0" w:lastRow="0" w:noHBand="0" w:noVBand="1" w:val="04A0"/>
      </w:tblPr>
      <w:tblGrid>
        <w:gridCol w:w="2520"/>
        <w:gridCol w:w="2520"/>
        <w:gridCol w:w="2520"/>
        <w:gridCol w:w="2520"/>
      </w:tblGrid>
      <w:tr>
        <w:tc>
          <w:tcPr>
            <w:tcW w:type="dxa" w:w="2520"/>
          </w:tcPr>
          <w:p>
            <w:r>
              <w:t>Observation</w:t>
            </w:r>
          </w:p>
        </w:tc>
        <w:tc>
          <w:tcPr>
            <w:tcW w:type="dxa" w:w="2520"/>
          </w:tcPr>
          <w:p>
            <w:r>
              <w:t>X / Treatment</w:t>
            </w:r>
          </w:p>
        </w:tc>
        <w:tc>
          <w:tcPr>
            <w:tcW w:type="dxa" w:w="2520"/>
          </w:tcPr>
          <w:p>
            <w:r>
              <w:t>Outcome Y</w:t>
            </w:r>
          </w:p>
        </w:tc>
        <w:tc>
          <w:tcPr>
            <w:tcW w:type="dxa" w:w="2520"/>
          </w:tcPr>
          <w:p>
            <w:r>
              <w:t>Interpretive note</w:t>
            </w:r>
          </w:p>
        </w:tc>
        <w:trPr>
          <w:tblHeader/>
        </w:trPr>
      </w:tr>
      <w:tr>
        <w:tc>
          <w:tcPr>
            <w:tcW w:type="dxa" w:w="2520"/>
          </w:tcPr>
          <w:p>
            <w:r>
              <w:t>1</w:t>
            </w:r>
          </w:p>
        </w:tc>
        <w:tc>
          <w:tcPr>
            <w:tcW w:type="dxa" w:w="2520"/>
          </w:tcPr>
          <w:p>
            <w:r>
              <w:t>0</w:t>
            </w:r>
          </w:p>
        </w:tc>
        <w:tc>
          <w:tcPr>
            <w:tcW w:type="dxa" w:w="2520"/>
          </w:tcPr>
          <w:p>
            <w:r>
              <w:t>10</w:t>
            </w:r>
          </w:p>
        </w:tc>
        <w:tc>
          <w:tcPr>
            <w:tcW w:type="dxa" w:w="2520"/>
          </w:tcPr>
          <w:p>
            <w:r>
              <w:t>baseline</w:t>
            </w:r>
          </w:p>
        </w:tc>
      </w:tr>
      <w:tr>
        <w:tc>
          <w:tcPr>
            <w:tcW w:type="dxa" w:w="2520"/>
          </w:tcPr>
          <w:p>
            <w:r>
              <w:t>2</w:t>
            </w:r>
          </w:p>
        </w:tc>
        <w:tc>
          <w:tcPr>
            <w:tcW w:type="dxa" w:w="2520"/>
          </w:tcPr>
          <w:p>
            <w:r>
              <w:t>0</w:t>
            </w:r>
          </w:p>
        </w:tc>
        <w:tc>
          <w:tcPr>
            <w:tcW w:type="dxa" w:w="2520"/>
          </w:tcPr>
          <w:p>
            <w:r>
              <w:t>12</w:t>
            </w:r>
          </w:p>
        </w:tc>
        <w:tc>
          <w:tcPr>
            <w:tcW w:type="dxa" w:w="2520"/>
          </w:tcPr>
          <w:p>
            <w:r>
              <w:t>comparison</w:t>
            </w:r>
          </w:p>
        </w:tc>
      </w:tr>
      <w:tr>
        <w:tc>
          <w:tcPr>
            <w:tcW w:type="dxa" w:w="2520"/>
          </w:tcPr>
          <w:p>
            <w:r>
              <w:t>3</w:t>
            </w:r>
          </w:p>
        </w:tc>
        <w:tc>
          <w:tcPr>
            <w:tcW w:type="dxa" w:w="2520"/>
          </w:tcPr>
          <w:p>
            <w:r>
              <w:t>1</w:t>
            </w:r>
          </w:p>
        </w:tc>
        <w:tc>
          <w:tcPr>
            <w:tcW w:type="dxa" w:w="2520"/>
          </w:tcPr>
          <w:p>
            <w:r>
              <w:t>15</w:t>
            </w:r>
          </w:p>
        </w:tc>
        <w:tc>
          <w:tcPr>
            <w:tcW w:type="dxa" w:w="2520"/>
          </w:tcPr>
          <w:p>
            <w:r>
              <w:t>exposed</w:t>
            </w:r>
          </w:p>
        </w:tc>
      </w:tr>
      <w:tr>
        <w:tc>
          <w:tcPr>
            <w:tcW w:type="dxa" w:w="2520"/>
          </w:tcPr>
          <w:p>
            <w:r>
              <w:t>4</w:t>
            </w:r>
          </w:p>
        </w:tc>
        <w:tc>
          <w:tcPr>
            <w:tcW w:type="dxa" w:w="2520"/>
          </w:tcPr>
          <w:p>
            <w:r>
              <w:t>1</w:t>
            </w:r>
          </w:p>
        </w:tc>
        <w:tc>
          <w:tcPr>
            <w:tcW w:type="dxa" w:w="2520"/>
          </w:tcPr>
          <w:p>
            <w:r>
              <w:t>17</w:t>
            </w:r>
          </w:p>
        </w:tc>
        <w:tc>
          <w:tcPr>
            <w:tcW w:type="dxa" w:w="2520"/>
          </w:tcPr>
          <w:p>
            <w:r>
              <w:t>exposed</w:t>
            </w:r>
          </w:p>
        </w:tc>
      </w:tr>
    </w:tbl>
    <w:p>
      <w:r>
        <w:t>The difference in group averages is easy to compute, but whether it is a causal effect depends on how exposure was assigned and whether the groups are otherwise comparable. This distinction is the heartbeat of modern applied econometrics.</w:t>
      </w:r>
    </w:p>
    <w:p>
      <w:pPr>
        <w:pStyle w:val="Heading2"/>
      </w:pPr>
      <w:r>
        <w:t>17.4 Formal framework</w:t>
      </w:r>
    </w:p>
    <w:p>
      <w:r>
        <w:t>Write the empirical model in a form that makes the target explicit. A generic conditional-mean representation is</w:t>
      </w:r>
    </w:p>
    <w:p>
      <w:pPr>
        <w:jc w:val="center"/>
      </w:pPr>
      <w:r>
        <w:t>E[Y | X] = m(X),     or in a linear approximation,     Y_i = β₀ + β₁X_i + u_i.</w:t>
      </w:r>
    </w:p>
    <w:p>
      <w:r>
        <w:t>Here Y is the outcome, X denotes observed information, β parameters summarize the chosen model, and u collects other determinants of the outcome. The crucial question is not only whether β can be estimated, but what β means under the design and assumptions.</w:t>
      </w:r>
    </w:p>
    <w:p>
      <w:pPr>
        <w:pStyle w:val="Heading2"/>
      </w:pPr>
      <w:r>
        <w:t>17.5 Python demonstration</w:t>
      </w:r>
    </w:p>
    <w:p>
      <w:pPr>
        <w:spacing w:after="0"/>
        <w:ind w:left="360"/>
      </w:pPr>
      <w:r>
        <w:rPr>
          <w:rFonts w:ascii="Liberation Mono" w:hAnsi="Liberation Mono"/>
          <w:sz w:val="17"/>
        </w:rPr>
        <w:t>import numpy as np</w:t>
      </w:r>
    </w:p>
    <w:p>
      <w:pPr>
        <w:spacing w:after="0"/>
        <w:ind w:left="360"/>
      </w:pPr>
      <w:r>
        <w:rPr>
          <w:rFonts w:ascii="Liberation Mono" w:hAnsi="Liberation Mono"/>
          <w:sz w:val="17"/>
        </w:rPr>
        <w:t>import statsmodels.api as sm</w:t>
      </w:r>
    </w:p>
    <w:p>
      <w:pPr>
        <w:spacing w:after="0"/>
        <w:ind w:left="360"/>
      </w:pPr>
      <w:r>
        <w:rPr>
          <w:rFonts w:ascii="Liberation Mono" w:hAnsi="Liberation Mono"/>
          <w:sz w:val="17"/>
        </w:rPr>
        <w:t>rng = np.random.default_rng(17)</w:t>
      </w:r>
    </w:p>
    <w:p>
      <w:pPr>
        <w:spacing w:after="0"/>
        <w:ind w:left="360"/>
      </w:pPr>
      <w:r>
        <w:rPr>
          <w:rFonts w:ascii="Liberation Mono" w:hAnsi="Liberation Mono"/>
          <w:sz w:val="17"/>
        </w:rPr>
        <w:t>x = rng.normal(size=300)</w:t>
      </w:r>
    </w:p>
    <w:p>
      <w:pPr>
        <w:spacing w:after="0"/>
        <w:ind w:left="360"/>
      </w:pPr>
      <w:r>
        <w:rPr>
          <w:rFonts w:ascii="Liberation Mono" w:hAnsi="Liberation Mono"/>
          <w:sz w:val="17"/>
        </w:rPr>
        <w:t>y = 1 + 0.8*x + rng.normal(size=300)</w:t>
      </w:r>
    </w:p>
    <w:p>
      <w:pPr>
        <w:spacing w:after="0"/>
        <w:ind w:left="360"/>
      </w:pPr>
      <w:r>
        <w:rPr>
          <w:rFonts w:ascii="Liberation Mono" w:hAnsi="Liberation Mono"/>
          <w:sz w:val="17"/>
        </w:rPr>
        <w:t>model = sm.OLS(y, sm.add_constant(x)).fit()</w:t>
      </w:r>
    </w:p>
    <w:p>
      <w:pPr>
        <w:spacing w:after="0"/>
        <w:ind w:left="360"/>
      </w:pPr>
      <w:r>
        <w:rPr>
          <w:rFonts w:ascii="Liberation Mono" w:hAnsi="Liberation Mono"/>
          <w:sz w:val="17"/>
        </w:rPr>
        <w:t>print(model.params)</w:t>
      </w:r>
    </w:p>
    <w:p>
      <w:r>
        <w:t>Run the code in a clean notebook and inspect both the numerical output and the data-generating assumptions. The associated notebook in the student package reproduces the example with a fixed random seed.</w:t>
      </w:r>
    </w:p>
    <w:p>
      <w:r>
        <w:drawing>
          <wp:inline>
            <wp:extent cx="5669280" cy="3186684"/>
            <wp:docPr id="1" name="Picture 1" descr="Image: image2.png"/>
            <wp:cNvGraphicFramePr>
              <a:graphicFrameLocks noChangeAspect="1"/>
            </wp:cNvGraphicFramePr>
            <a:graphic>
              <a:graphicData uri="http://schemas.openxmlformats.org/drawingml/2006/picture">
                <pic:pic>
                  <pic:nvPicPr>
                    <pic:cNvPr id="0" name="ch17_research_design.png"/>
                    <pic:cNvPicPr/>
                  </pic:nvPicPr>
                  <pic:blipFill>
                    <a:blip r:embed="rId16"/>
                    <a:stretch>
                      <a:fillRect/>
                    </a:stretch>
                  </pic:blipFill>
                  <pic:spPr>
                    <a:xfrm>
                      <a:off x="0" y="0"/>
                      <a:ext cx="5669280" cy="3186684"/>
                    </a:xfrm>
                    <a:prstGeom prst="rect"/>
                  </pic:spPr>
                </pic:pic>
              </a:graphicData>
            </a:graphic>
          </wp:inline>
        </w:drawing>
      </w:r>
    </w:p>
    <w:p>
      <w:pPr>
        <w:jc w:val="center"/>
      </w:pPr>
      <w:r>
        <w:t>Figure 17.1. What exactly are we trying to learn from economic data?</w:t>
      </w:r>
    </w:p>
    <w:p>
      <w:pPr>
        <w:pStyle w:val="Heading2"/>
      </w:pPr>
      <w:r>
        <w:t>17.6 Interpretation</w:t>
      </w:r>
    </w:p>
    <w:p>
      <w:r>
        <w:t>Interpret results in the units of the variables. Report sign, magnitude, uncertainty, and the population or time period to which the estimate applies. If a variable is logged, categorical, interacted, standardized, or transformed, translate the coefficient accordingly rather than reading it as a raw one-unit effect.</w:t>
      </w:r>
    </w:p>
    <w:p>
      <w:r>
        <w:t>Then separate statistical significance from economic significance. A precise estimate may be too small to matter economically; an economically important estimate may be imprecise. Both dimensions belong in the conclusion.</w:t>
      </w:r>
    </w:p>
    <w:p>
      <w:pPr>
        <w:pStyle w:val="Heading2"/>
      </w:pPr>
      <w:r>
        <w:t>17.7 Assumptions, diagnostics, and threats to validity</w:t>
      </w:r>
    </w:p>
    <w:p>
      <w:pPr>
        <w:pStyle w:val="ListBullet"/>
      </w:pPr>
      <w:r>
        <w:t>Is the unit of observation appropriate for the question?</w:t>
      </w:r>
    </w:p>
    <w:p>
      <w:pPr>
        <w:pStyle w:val="ListBullet"/>
      </w:pPr>
      <w:r>
        <w:t>Are timing and information sets respected?</w:t>
      </w:r>
    </w:p>
    <w:p>
      <w:pPr>
        <w:pStyle w:val="ListBullet"/>
      </w:pPr>
      <w:r>
        <w:t>Could selection, confounding, measurement error, or reverse causality matter?</w:t>
      </w:r>
    </w:p>
    <w:p>
      <w:pPr>
        <w:pStyle w:val="ListBullet"/>
      </w:pPr>
      <w:r>
        <w:t>Does the uncertainty estimator match the sampling or dependence structure?</w:t>
      </w:r>
    </w:p>
    <w:p>
      <w:pPr>
        <w:pStyle w:val="ListBullet"/>
      </w:pPr>
      <w:r>
        <w:t>Would the result survive reasonable alternative specifications?</w:t>
      </w:r>
    </w:p>
    <w:p>
      <w:pPr>
        <w:pStyle w:val="ListBullet"/>
      </w:pPr>
      <w:r>
        <w:t>Is the task predictive, descriptive, or causal?</w:t>
      </w:r>
    </w:p>
    <w:tbl>
      <w:tblPr>
        <w:tblW w:type="auto" w:w="0"/>
        <w:jc w:val="center"/>
        <w:tblLook w:firstColumn="1" w:firstRow="1" w:lastColumn="0" w:lastRow="0" w:noHBand="0" w:noVBand="1" w:val="04A0"/>
      </w:tblPr>
      <w:tblGrid>
        <w:gridCol w:w="10080"/>
      </w:tblGrid>
      <w:tr>
        <w:tc>
          <w:tcPr>
            <w:tcW w:type="dxa" w:w="10080"/>
          </w:tcPr>
          <w:p>
            <w:r/>
            <w:r>
              <w:rPr>
                <w:b/>
              </w:rPr>
              <w:t xml:space="preserve">Causal caution: </w:t>
            </w:r>
            <w:r>
              <w:t>High predictive accuracy, feature importance, or a small p-value does not by itself identify a causal effect. Causal language requires a defensible identification strategy.</w:t>
            </w:r>
          </w:p>
        </w:tc>
        <w:trPr>
          <w:tblHeader/>
        </w:trPr>
      </w:tr>
    </w:tbl>
    <w:tbl>
      <w:tblPr>
        <w:tblW w:type="auto" w:w="0"/>
        <w:jc w:val="center"/>
        <w:tblLook w:firstColumn="1" w:firstRow="1" w:lastColumn="0" w:lastRow="0" w:noHBand="0" w:noVBand="1" w:val="04A0"/>
      </w:tblPr>
      <w:tblGrid>
        <w:gridCol w:w="10080"/>
      </w:tblGrid>
      <w:tr>
        <w:tc>
          <w:tcPr>
            <w:tcW w:type="dxa" w:w="10080"/>
          </w:tcPr>
          <w:p>
            <w:r/>
            <w:r>
              <w:rPr>
                <w:b/>
              </w:rPr>
              <w:t xml:space="preserve">Ceteris LAB Tip: </w:t>
            </w:r>
            <w:r>
              <w:t>Write the research question and estimand in words before opening Python. If you cannot state what quantity you want to learn, adding packages will not rescue the analysis.</w:t>
            </w:r>
          </w:p>
        </w:tc>
        <w:trPr>
          <w:tblHeader/>
        </w:trPr>
      </w:tr>
    </w:tbl>
    <w:tbl>
      <w:tblPr>
        <w:tblW w:type="auto" w:w="0"/>
        <w:jc w:val="center"/>
        <w:tblLook w:firstColumn="1" w:firstRow="1" w:lastColumn="0" w:lastRow="0" w:noHBand="0" w:noVBand="1" w:val="04A0"/>
      </w:tblPr>
      <w:tblGrid>
        <w:gridCol w:w="10080"/>
      </w:tblGrid>
      <w:tr>
        <w:tc>
          <w:tcPr>
            <w:tcW w:type="dxa" w:w="10080"/>
          </w:tcPr>
          <w:p>
            <w:r/>
            <w:r>
              <w:rPr>
                <w:b/>
              </w:rPr>
              <w:t xml:space="preserve">Common mistake: </w:t>
            </w:r>
            <w:r>
              <w:t>Treating a software default as an econometric assumption. Defaults are conveniences; assumptions must be chosen and defended.</w:t>
            </w:r>
          </w:p>
        </w:tc>
        <w:trPr>
          <w:tblHeader/>
        </w:trPr>
      </w:tr>
    </w:tbl>
    <w:p>
      <w:pPr>
        <w:pStyle w:val="Heading2"/>
      </w:pPr>
      <w:r>
        <w:t>17.8 Guided practice</w:t>
      </w:r>
    </w:p>
    <w:p>
      <w:r>
        <w:t>Modify the notebook so that one assumption is deliberately violated. Re-estimate the model, compare the result, and explain why the estimate changed. This turns diagnostics from a checklist into an experiment.</w:t>
      </w:r>
    </w:p>
    <w:p>
      <w:pPr>
        <w:pStyle w:val="Heading2"/>
      </w:pPr>
      <w:r>
        <w:t>17.9 Exercises</w:t>
      </w:r>
    </w:p>
    <w:p>
      <w:pPr>
        <w:pStyle w:val="ListNumber"/>
      </w:pPr>
      <w:r>
        <w:t>Concept: In one paragraph, distinguish association, prediction, and causation for the chapter topic.</w:t>
      </w:r>
    </w:p>
    <w:p>
      <w:pPr>
        <w:pStyle w:val="ListNumber"/>
      </w:pPr>
      <w:r>
        <w:t>Python: Reproduce the demonstration with a different documented random seed and verify that the qualitative conclusion is stable.</w:t>
      </w:r>
    </w:p>
    <w:p>
      <w:pPr>
        <w:pStyle w:val="ListNumber"/>
      </w:pPr>
      <w:r>
        <w:t>Applied econometrics: Replace the simulated outcome with a legally shareable economic variable and document its units, source, and sample.</w:t>
      </w:r>
    </w:p>
    <w:p>
      <w:pPr>
        <w:pStyle w:val="ListNumber"/>
      </w:pPr>
      <w:r>
        <w:t>Interpretation: Write a 150-word results paragraph that reports magnitude and uncertainty without exaggerating the evidence.</w:t>
      </w:r>
    </w:p>
    <w:p>
      <w:pPr>
        <w:pStyle w:val="ListNumber"/>
      </w:pPr>
      <w:r>
        <w:t>Research challenge: Propose one alternative design or robustness check that would address the most important threat to validity.</w:t>
      </w:r>
    </w:p>
    <w:p>
      <w:pPr>
        <w:pStyle w:val="Heading2"/>
      </w:pPr>
      <w:r>
        <w:t>17.10 Chapter summary</w:t>
      </w:r>
    </w:p>
    <w:p>
      <w:r>
        <w:t>Econometric Thinking and Research Design is most useful when the economic question, statistical target, assumptions, code, and interpretation point in the same direction. Python makes the workflow reproducible; econometric reasoning determines what the output can mean.</w:t>
      </w:r>
    </w:p>
    <w:p>
      <w:pPr>
        <w:pStyle w:val="Heading2"/>
      </w:pPr>
      <w:r>
        <w:t>17.11 Key Python tools</w:t>
      </w:r>
    </w:p>
    <w:p>
      <w:r>
        <w:t>Core tools used across these chapters include NumPy for simulation, pandas for data structures, statsmodels for statistical inference, scikit-learn for predictive modeling, and Matplotlib for transparent visual diagnostics. Use the simplest maintained tool that answers the question.</w:t>
      </w:r>
    </w:p>
    <w:p>
      <w:r>
        <w:br w:type="page"/>
      </w:r>
    </w:p>
    <w:p>
      <w:pPr>
        <w:pStyle w:val="Heading1"/>
      </w:pPr>
      <w:r>
        <w:t>18</w:t>
        <w:tab/>
        <w:t>Simple Linear Regression</w:t>
      </w:r>
    </w:p>
    <w:p>
      <w:pPr>
        <w:pStyle w:val="Subtitle"/>
      </w:pPr>
      <w:r>
        <w:t>How does consumption change with income in a simple model?</w:t>
      </w:r>
    </w:p>
    <w:p>
      <w:pPr>
        <w:pStyle w:val="Heading2"/>
      </w:pPr>
      <w:r>
        <w:t>18.1 Learning objectives</w:t>
      </w:r>
    </w:p>
    <w:p>
      <w:pPr>
        <w:pStyle w:val="ListBullet"/>
      </w:pPr>
      <w:r>
        <w:t>Explain and apply population regression function.</w:t>
      </w:r>
    </w:p>
    <w:p>
      <w:pPr>
        <w:pStyle w:val="ListBullet"/>
      </w:pPr>
      <w:r>
        <w:t>Explain and apply ordinary least squares.</w:t>
      </w:r>
    </w:p>
    <w:p>
      <w:pPr>
        <w:pStyle w:val="ListBullet"/>
      </w:pPr>
      <w:r>
        <w:t>Explain and apply intercept and slope.</w:t>
      </w:r>
    </w:p>
    <w:p>
      <w:pPr>
        <w:pStyle w:val="ListBullet"/>
      </w:pPr>
      <w:r>
        <w:t>Explain and apply fitted values and residuals.</w:t>
      </w:r>
    </w:p>
    <w:p>
      <w:pPr>
        <w:pStyle w:val="ListBullet"/>
      </w:pPr>
      <w:r>
        <w:t>Explain and apply R-squared.</w:t>
      </w:r>
    </w:p>
    <w:p>
      <w:pPr>
        <w:pStyle w:val="ListBullet"/>
      </w:pPr>
      <w:r>
        <w:t>Explain and apply confidence intervals.</w:t>
      </w:r>
    </w:p>
    <w:p>
      <w:pPr>
        <w:pStyle w:val="ListBullet"/>
      </w:pPr>
      <w:r>
        <w:t>Explain and apply prediction intervals.</w:t>
      </w:r>
    </w:p>
    <w:p>
      <w:pPr>
        <w:pStyle w:val="ListBullet"/>
      </w:pPr>
      <w:r>
        <w:t>Explain and apply units and economic interpretation.</w:t>
      </w:r>
    </w:p>
    <w:tbl>
      <w:tblPr>
        <w:tblW w:type="auto" w:w="0"/>
        <w:jc w:val="center"/>
        <w:tblLook w:firstColumn="1" w:firstRow="1" w:lastColumn="0" w:lastRow="0" w:noHBand="0" w:noVBand="1" w:val="04A0"/>
      </w:tblPr>
      <w:tblGrid>
        <w:gridCol w:w="10080"/>
      </w:tblGrid>
      <w:tr>
        <w:tc>
          <w:tcPr>
            <w:tcW w:type="dxa" w:w="10080"/>
          </w:tcPr>
          <w:p>
            <w:r/>
            <w:r>
              <w:rPr>
                <w:b/>
              </w:rPr>
              <w:t xml:space="preserve">Concept in one sentence: </w:t>
            </w:r>
            <w:r>
              <w:t>OLS chooses the line that minimizes the sum of squared residuals.</w:t>
            </w:r>
          </w:p>
        </w:tc>
        <w:trPr>
          <w:tblHeader/>
        </w:trPr>
      </w:tr>
    </w:tbl>
    <w:p>
      <w:pPr>
        <w:pStyle w:val="Heading2"/>
      </w:pPr>
      <w:r>
        <w:t>18.2 Economic intuition</w:t>
      </w:r>
    </w:p>
    <w:p>
      <w:r>
        <w:t>This chapter begins from the economic question rather than from software syntax. The goal is to understand what information the data can legitimately provide about simple linear regression. Python is used as a transparent laboratory: we state the question, define the target, inspect the data, estimate the model, and then challenge the result.</w:t>
      </w:r>
    </w:p>
    <w:p>
      <w:r>
        <w:t>A recurring distinction in econometrics is the difference between describing a pattern, predicting an outcome, and estimating a causal effect. These goals can use similar equations but require different assumptions. A model may forecast well while offering little causal interpretation, and a credible causal design may deliberately use a simple estimator because identification comes from the research design rather than algorithmic complexity.</w:t>
      </w:r>
    </w:p>
    <w:p>
      <w:r>
        <w:t>Throughout the chapter, pay attention to units, timing, sample construction, and the information set available to the analyst. Economic data are produced by institutions, markets, households, and firms. They are not abstract arrays. A good empirical workflow therefore combines statistical discipline with substantive economic reasoning.</w:t>
      </w:r>
    </w:p>
    <w:p>
      <w:pPr>
        <w:pStyle w:val="Heading2"/>
      </w:pPr>
      <w:r>
        <w:t>18.3 A small numerical example</w:t>
      </w:r>
    </w:p>
    <w:p>
      <w:r>
        <w:t>Start with a tiny hypothetical sample that can be checked by hand. Write the unit of observation, outcome, explanatory variable or treatment, and the comparison being made. Before estimating anything, ask what would make the comparison informative and what could make it misleading.</w:t>
      </w:r>
    </w:p>
    <w:tbl>
      <w:tblPr>
        <w:tblStyle w:val="TableGrid"/>
        <w:tblW w:type="auto" w:w="0"/>
        <w:jc w:val="center"/>
        <w:tblLook w:firstColumn="1" w:firstRow="1" w:lastColumn="0" w:lastRow="0" w:noHBand="0" w:noVBand="1" w:val="04A0"/>
      </w:tblPr>
      <w:tblGrid>
        <w:gridCol w:w="2520"/>
        <w:gridCol w:w="2520"/>
        <w:gridCol w:w="2520"/>
        <w:gridCol w:w="2520"/>
      </w:tblGrid>
      <w:tr>
        <w:tc>
          <w:tcPr>
            <w:tcW w:type="dxa" w:w="2520"/>
          </w:tcPr>
          <w:p>
            <w:r>
              <w:t>Observation</w:t>
            </w:r>
          </w:p>
        </w:tc>
        <w:tc>
          <w:tcPr>
            <w:tcW w:type="dxa" w:w="2520"/>
          </w:tcPr>
          <w:p>
            <w:r>
              <w:t>X / Treatment</w:t>
            </w:r>
          </w:p>
        </w:tc>
        <w:tc>
          <w:tcPr>
            <w:tcW w:type="dxa" w:w="2520"/>
          </w:tcPr>
          <w:p>
            <w:r>
              <w:t>Outcome Y</w:t>
            </w:r>
          </w:p>
        </w:tc>
        <w:tc>
          <w:tcPr>
            <w:tcW w:type="dxa" w:w="2520"/>
          </w:tcPr>
          <w:p>
            <w:r>
              <w:t>Interpretive note</w:t>
            </w:r>
          </w:p>
        </w:tc>
        <w:trPr>
          <w:tblHeader/>
        </w:trPr>
      </w:tr>
      <w:tr>
        <w:tc>
          <w:tcPr>
            <w:tcW w:type="dxa" w:w="2520"/>
          </w:tcPr>
          <w:p>
            <w:r>
              <w:t>1</w:t>
            </w:r>
          </w:p>
        </w:tc>
        <w:tc>
          <w:tcPr>
            <w:tcW w:type="dxa" w:w="2520"/>
          </w:tcPr>
          <w:p>
            <w:r>
              <w:t>0</w:t>
            </w:r>
          </w:p>
        </w:tc>
        <w:tc>
          <w:tcPr>
            <w:tcW w:type="dxa" w:w="2520"/>
          </w:tcPr>
          <w:p>
            <w:r>
              <w:t>10</w:t>
            </w:r>
          </w:p>
        </w:tc>
        <w:tc>
          <w:tcPr>
            <w:tcW w:type="dxa" w:w="2520"/>
          </w:tcPr>
          <w:p>
            <w:r>
              <w:t>baseline</w:t>
            </w:r>
          </w:p>
        </w:tc>
      </w:tr>
      <w:tr>
        <w:tc>
          <w:tcPr>
            <w:tcW w:type="dxa" w:w="2520"/>
          </w:tcPr>
          <w:p>
            <w:r>
              <w:t>2</w:t>
            </w:r>
          </w:p>
        </w:tc>
        <w:tc>
          <w:tcPr>
            <w:tcW w:type="dxa" w:w="2520"/>
          </w:tcPr>
          <w:p>
            <w:r>
              <w:t>0</w:t>
            </w:r>
          </w:p>
        </w:tc>
        <w:tc>
          <w:tcPr>
            <w:tcW w:type="dxa" w:w="2520"/>
          </w:tcPr>
          <w:p>
            <w:r>
              <w:t>12</w:t>
            </w:r>
          </w:p>
        </w:tc>
        <w:tc>
          <w:tcPr>
            <w:tcW w:type="dxa" w:w="2520"/>
          </w:tcPr>
          <w:p>
            <w:r>
              <w:t>comparison</w:t>
            </w:r>
          </w:p>
        </w:tc>
      </w:tr>
      <w:tr>
        <w:tc>
          <w:tcPr>
            <w:tcW w:type="dxa" w:w="2520"/>
          </w:tcPr>
          <w:p>
            <w:r>
              <w:t>3</w:t>
            </w:r>
          </w:p>
        </w:tc>
        <w:tc>
          <w:tcPr>
            <w:tcW w:type="dxa" w:w="2520"/>
          </w:tcPr>
          <w:p>
            <w:r>
              <w:t>1</w:t>
            </w:r>
          </w:p>
        </w:tc>
        <w:tc>
          <w:tcPr>
            <w:tcW w:type="dxa" w:w="2520"/>
          </w:tcPr>
          <w:p>
            <w:r>
              <w:t>15</w:t>
            </w:r>
          </w:p>
        </w:tc>
        <w:tc>
          <w:tcPr>
            <w:tcW w:type="dxa" w:w="2520"/>
          </w:tcPr>
          <w:p>
            <w:r>
              <w:t>exposed</w:t>
            </w:r>
          </w:p>
        </w:tc>
      </w:tr>
      <w:tr>
        <w:tc>
          <w:tcPr>
            <w:tcW w:type="dxa" w:w="2520"/>
          </w:tcPr>
          <w:p>
            <w:r>
              <w:t>4</w:t>
            </w:r>
          </w:p>
        </w:tc>
        <w:tc>
          <w:tcPr>
            <w:tcW w:type="dxa" w:w="2520"/>
          </w:tcPr>
          <w:p>
            <w:r>
              <w:t>1</w:t>
            </w:r>
          </w:p>
        </w:tc>
        <w:tc>
          <w:tcPr>
            <w:tcW w:type="dxa" w:w="2520"/>
          </w:tcPr>
          <w:p>
            <w:r>
              <w:t>17</w:t>
            </w:r>
          </w:p>
        </w:tc>
        <w:tc>
          <w:tcPr>
            <w:tcW w:type="dxa" w:w="2520"/>
          </w:tcPr>
          <w:p>
            <w:r>
              <w:t>exposed</w:t>
            </w:r>
          </w:p>
        </w:tc>
      </w:tr>
    </w:tbl>
    <w:p>
      <w:r>
        <w:t>The difference in group averages is easy to compute, but whether it is a causal effect depends on how exposure was assigned and whether the groups are otherwise comparable. This distinction is the heartbeat of modern applied econometrics.</w:t>
      </w:r>
    </w:p>
    <w:p>
      <w:pPr>
        <w:pStyle w:val="Heading2"/>
      </w:pPr>
      <w:r>
        <w:t>18.4 Formal framework</w:t>
      </w:r>
    </w:p>
    <w:p>
      <w:r>
        <w:t>Write the empirical model in a form that makes the target explicit. A generic conditional-mean representation is</w:t>
      </w:r>
    </w:p>
    <w:p>
      <w:pPr>
        <w:jc w:val="center"/>
      </w:pPr>
      <w:r>
        <w:t>E[Y | X] = m(X),     or in a linear approximation,     Y_i = β₀ + β₁X_i + u_i.</w:t>
      </w:r>
    </w:p>
    <w:p>
      <w:r>
        <w:t>Here Y is the outcome, X denotes observed information, β parameters summarize the chosen model, and u collects other determinants of the outcome. The crucial question is not only whether β can be estimated, but what β means under the design and assumptions.</w:t>
      </w:r>
    </w:p>
    <w:p>
      <w:pPr>
        <w:pStyle w:val="Heading2"/>
      </w:pPr>
      <w:r>
        <w:t>18.5 Python demonstration</w:t>
      </w:r>
    </w:p>
    <w:p>
      <w:pPr>
        <w:spacing w:after="0"/>
        <w:ind w:left="360"/>
      </w:pPr>
      <w:r>
        <w:rPr>
          <w:rFonts w:ascii="Liberation Mono" w:hAnsi="Liberation Mono"/>
          <w:sz w:val="17"/>
        </w:rPr>
        <w:t>import numpy as np</w:t>
      </w:r>
    </w:p>
    <w:p>
      <w:pPr>
        <w:spacing w:after="0"/>
        <w:ind w:left="360"/>
      </w:pPr>
      <w:r>
        <w:rPr>
          <w:rFonts w:ascii="Liberation Mono" w:hAnsi="Liberation Mono"/>
          <w:sz w:val="17"/>
        </w:rPr>
        <w:t>import statsmodels.api as sm</w:t>
      </w:r>
    </w:p>
    <w:p>
      <w:pPr>
        <w:spacing w:after="0"/>
        <w:ind w:left="360"/>
      </w:pPr>
      <w:r>
        <w:rPr>
          <w:rFonts w:ascii="Liberation Mono" w:hAnsi="Liberation Mono"/>
          <w:sz w:val="17"/>
        </w:rPr>
        <w:t>rng=np.random.default_rng(18)</w:t>
      </w:r>
    </w:p>
    <w:p>
      <w:pPr>
        <w:spacing w:after="0"/>
        <w:ind w:left="360"/>
      </w:pPr>
      <w:r>
        <w:rPr>
          <w:rFonts w:ascii="Liberation Mono" w:hAnsi="Liberation Mono"/>
          <w:sz w:val="17"/>
        </w:rPr>
        <w:t>income=np.linspace(20,100,120)</w:t>
      </w:r>
    </w:p>
    <w:p>
      <w:pPr>
        <w:spacing w:after="0"/>
        <w:ind w:left="360"/>
      </w:pPr>
      <w:r>
        <w:rPr>
          <w:rFonts w:ascii="Liberation Mono" w:hAnsi="Liberation Mono"/>
          <w:sz w:val="17"/>
        </w:rPr>
        <w:t>cons=8+0.55*income+rng.normal(0,8,120)</w:t>
      </w:r>
    </w:p>
    <w:p>
      <w:pPr>
        <w:spacing w:after="0"/>
        <w:ind w:left="360"/>
      </w:pPr>
      <w:r>
        <w:rPr>
          <w:rFonts w:ascii="Liberation Mono" w:hAnsi="Liberation Mono"/>
          <w:sz w:val="17"/>
        </w:rPr>
        <w:t>res=sm.OLS(cons,sm.add_constant(income)).fit()</w:t>
      </w:r>
    </w:p>
    <w:p>
      <w:pPr>
        <w:spacing w:after="0"/>
        <w:ind w:left="360"/>
      </w:pPr>
      <w:r>
        <w:rPr>
          <w:rFonts w:ascii="Liberation Mono" w:hAnsi="Liberation Mono"/>
          <w:sz w:val="17"/>
        </w:rPr>
        <w:t>print(res.summary())</w:t>
      </w:r>
    </w:p>
    <w:p>
      <w:r>
        <w:t>Run the code in a clean notebook and inspect both the numerical output and the data-generating assumptions. The associated notebook in the student package reproduces the example with a fixed random seed.</w:t>
      </w:r>
    </w:p>
    <w:p>
      <w:r>
        <w:drawing>
          <wp:inline>
            <wp:extent cx="5669280" cy="3186684"/>
            <wp:docPr id="2" name="Picture 2" descr="Image: image3.png"/>
            <wp:cNvGraphicFramePr>
              <a:graphicFrameLocks noChangeAspect="1"/>
            </wp:cNvGraphicFramePr>
            <a:graphic>
              <a:graphicData uri="http://schemas.openxmlformats.org/drawingml/2006/picture">
                <pic:pic>
                  <pic:nvPicPr>
                    <pic:cNvPr id="0" name="ch18_simple_regression.png"/>
                    <pic:cNvPicPr/>
                  </pic:nvPicPr>
                  <pic:blipFill>
                    <a:blip r:embed="rId17"/>
                    <a:stretch>
                      <a:fillRect/>
                    </a:stretch>
                  </pic:blipFill>
                  <pic:spPr>
                    <a:xfrm>
                      <a:off x="0" y="0"/>
                      <a:ext cx="5669280" cy="3186684"/>
                    </a:xfrm>
                    <a:prstGeom prst="rect"/>
                  </pic:spPr>
                </pic:pic>
              </a:graphicData>
            </a:graphic>
          </wp:inline>
        </w:drawing>
      </w:r>
    </w:p>
    <w:p>
      <w:pPr>
        <w:jc w:val="center"/>
      </w:pPr>
      <w:r>
        <w:t>Figure 18.1. How does consumption change with income in a simple model?</w:t>
      </w:r>
    </w:p>
    <w:p>
      <w:pPr>
        <w:pStyle w:val="Heading2"/>
      </w:pPr>
      <w:r>
        <w:t>18.6 Interpretation</w:t>
      </w:r>
    </w:p>
    <w:p>
      <w:r>
        <w:t>Interpret results in the units of the variables. Report sign, magnitude, uncertainty, and the population or time period to which the estimate applies. If a variable is logged, categorical, interacted, standardized, or transformed, translate the coefficient accordingly rather than reading it as a raw one-unit effect.</w:t>
      </w:r>
    </w:p>
    <w:p>
      <w:r>
        <w:t>Then separate statistical significance from economic significance. A precise estimate may be too small to matter economically; an economically important estimate may be imprecise. Both dimensions belong in the conclusion.</w:t>
      </w:r>
    </w:p>
    <w:p>
      <w:pPr>
        <w:pStyle w:val="Heading2"/>
      </w:pPr>
      <w:r>
        <w:t>18.7 Assumptions, diagnostics, and threats to validity</w:t>
      </w:r>
    </w:p>
    <w:p>
      <w:pPr>
        <w:pStyle w:val="ListBullet"/>
      </w:pPr>
      <w:r>
        <w:t>Is the unit of observation appropriate for the question?</w:t>
      </w:r>
    </w:p>
    <w:p>
      <w:pPr>
        <w:pStyle w:val="ListBullet"/>
      </w:pPr>
      <w:r>
        <w:t>Are timing and information sets respected?</w:t>
      </w:r>
    </w:p>
    <w:p>
      <w:pPr>
        <w:pStyle w:val="ListBullet"/>
      </w:pPr>
      <w:r>
        <w:t>Could selection, confounding, measurement error, or reverse causality matter?</w:t>
      </w:r>
    </w:p>
    <w:p>
      <w:pPr>
        <w:pStyle w:val="ListBullet"/>
      </w:pPr>
      <w:r>
        <w:t>Does the uncertainty estimator match the sampling or dependence structure?</w:t>
      </w:r>
    </w:p>
    <w:p>
      <w:pPr>
        <w:pStyle w:val="ListBullet"/>
      </w:pPr>
      <w:r>
        <w:t>Would the result survive reasonable alternative specifications?</w:t>
      </w:r>
    </w:p>
    <w:p>
      <w:pPr>
        <w:pStyle w:val="ListBullet"/>
      </w:pPr>
      <w:r>
        <w:t>Is the task predictive, descriptive, or causal?</w:t>
      </w:r>
    </w:p>
    <w:tbl>
      <w:tblPr>
        <w:tblW w:type="auto" w:w="0"/>
        <w:jc w:val="center"/>
        <w:tblLook w:firstColumn="1" w:firstRow="1" w:lastColumn="0" w:lastRow="0" w:noHBand="0" w:noVBand="1" w:val="04A0"/>
      </w:tblPr>
      <w:tblGrid>
        <w:gridCol w:w="10080"/>
      </w:tblGrid>
      <w:tr>
        <w:tc>
          <w:tcPr>
            <w:tcW w:type="dxa" w:w="10080"/>
          </w:tcPr>
          <w:p>
            <w:r/>
            <w:r>
              <w:rPr>
                <w:b/>
              </w:rPr>
              <w:t xml:space="preserve">Causal caution: </w:t>
            </w:r>
            <w:r>
              <w:t>High predictive accuracy, feature importance, or a small p-value does not by itself identify a causal effect. Causal language requires a defensible identification strategy.</w:t>
            </w:r>
          </w:p>
        </w:tc>
        <w:trPr>
          <w:tblHeader/>
        </w:trPr>
      </w:tr>
    </w:tbl>
    <w:tbl>
      <w:tblPr>
        <w:tblW w:type="auto" w:w="0"/>
        <w:jc w:val="center"/>
        <w:tblLook w:firstColumn="1" w:firstRow="1" w:lastColumn="0" w:lastRow="0" w:noHBand="0" w:noVBand="1" w:val="04A0"/>
      </w:tblPr>
      <w:tblGrid>
        <w:gridCol w:w="10080"/>
      </w:tblGrid>
      <w:tr>
        <w:tc>
          <w:tcPr>
            <w:tcW w:type="dxa" w:w="10080"/>
          </w:tcPr>
          <w:p>
            <w:r/>
            <w:r>
              <w:rPr>
                <w:b/>
              </w:rPr>
              <w:t xml:space="preserve">Ceteris LAB Tip: </w:t>
            </w:r>
            <w:r>
              <w:t>Write the research question and estimand in words before opening Python. If you cannot state what quantity you want to learn, adding packages will not rescue the analysis.</w:t>
            </w:r>
          </w:p>
        </w:tc>
        <w:trPr>
          <w:tblHeader/>
        </w:trPr>
      </w:tr>
    </w:tbl>
    <w:tbl>
      <w:tblPr>
        <w:tblW w:type="auto" w:w="0"/>
        <w:jc w:val="center"/>
        <w:tblLook w:firstColumn="1" w:firstRow="1" w:lastColumn="0" w:lastRow="0" w:noHBand="0" w:noVBand="1" w:val="04A0"/>
      </w:tblPr>
      <w:tblGrid>
        <w:gridCol w:w="10080"/>
      </w:tblGrid>
      <w:tr>
        <w:tc>
          <w:tcPr>
            <w:tcW w:type="dxa" w:w="10080"/>
          </w:tcPr>
          <w:p>
            <w:r/>
            <w:r>
              <w:rPr>
                <w:b/>
              </w:rPr>
              <w:t xml:space="preserve">Common mistake: </w:t>
            </w:r>
            <w:r>
              <w:t>Treating a software default as an econometric assumption. Defaults are conveniences; assumptions must be chosen and defended.</w:t>
            </w:r>
          </w:p>
        </w:tc>
        <w:trPr>
          <w:tblHeader/>
        </w:trPr>
      </w:tr>
    </w:tbl>
    <w:p>
      <w:pPr>
        <w:pStyle w:val="Heading2"/>
      </w:pPr>
      <w:r>
        <w:t>18.8 Guided practice</w:t>
      </w:r>
    </w:p>
    <w:p>
      <w:r>
        <w:t>Modify the notebook so that one assumption is deliberately violated. Re-estimate the model, compare the result, and explain why the estimate changed. This turns diagnostics from a checklist into an experiment.</w:t>
      </w:r>
    </w:p>
    <w:p>
      <w:pPr>
        <w:pStyle w:val="Heading2"/>
      </w:pPr>
      <w:r>
        <w:t>18.9 Exercises</w:t>
      </w:r>
    </w:p>
    <w:p>
      <w:pPr>
        <w:pStyle w:val="ListNumber"/>
      </w:pPr>
      <w:r>
        <w:t>Concept: In one paragraph, distinguish association, prediction, and causation for the chapter topic.</w:t>
      </w:r>
    </w:p>
    <w:p>
      <w:pPr>
        <w:pStyle w:val="ListNumber"/>
      </w:pPr>
      <w:r>
        <w:t>Python: Reproduce the demonstration with a different documented random seed and verify that the qualitative conclusion is stable.</w:t>
      </w:r>
    </w:p>
    <w:p>
      <w:pPr>
        <w:pStyle w:val="ListNumber"/>
      </w:pPr>
      <w:r>
        <w:t>Applied econometrics: Replace the simulated outcome with a legally shareable economic variable and document its units, source, and sample.</w:t>
      </w:r>
    </w:p>
    <w:p>
      <w:pPr>
        <w:pStyle w:val="ListNumber"/>
      </w:pPr>
      <w:r>
        <w:t>Interpretation: Write a 150-word results paragraph that reports magnitude and uncertainty without exaggerating the evidence.</w:t>
      </w:r>
    </w:p>
    <w:p>
      <w:pPr>
        <w:pStyle w:val="ListNumber"/>
      </w:pPr>
      <w:r>
        <w:t>Research challenge: Propose one alternative design or robustness check that would address the most important threat to validity.</w:t>
      </w:r>
    </w:p>
    <w:p>
      <w:pPr>
        <w:pStyle w:val="Heading2"/>
      </w:pPr>
      <w:r>
        <w:t>18.10 Chapter summary</w:t>
      </w:r>
    </w:p>
    <w:p>
      <w:r>
        <w:t>Simple Linear Regression is most useful when the economic question, statistical target, assumptions, code, and interpretation point in the same direction. Python makes the workflow reproducible; econometric reasoning determines what the output can mean.</w:t>
      </w:r>
    </w:p>
    <w:p>
      <w:pPr>
        <w:pStyle w:val="Heading2"/>
      </w:pPr>
      <w:r>
        <w:t>18.11 Key Python tools</w:t>
      </w:r>
    </w:p>
    <w:p>
      <w:r>
        <w:t>Core tools used across these chapters include NumPy for simulation, pandas for data structures, statsmodels for statistical inference, scikit-learn for predictive modeling, and Matplotlib for transparent visual diagnostics. Use the simplest maintained tool that answers the question.</w:t>
      </w:r>
    </w:p>
    <w:p>
      <w:r>
        <w:br w:type="page"/>
      </w:r>
    </w:p>
    <w:p>
      <w:pPr>
        <w:pStyle w:val="Heading1"/>
      </w:pPr>
      <w:r>
        <w:t>19</w:t>
        <w:tab/>
        <w:t>Multiple Regression and the Ceteris Paribus Interpretation</w:t>
      </w:r>
    </w:p>
    <w:p>
      <w:pPr>
        <w:pStyle w:val="Subtitle"/>
      </w:pPr>
      <w:r>
        <w:t>How can we compare two people while holding other observed characteristics constant?</w:t>
      </w:r>
    </w:p>
    <w:p>
      <w:pPr>
        <w:pStyle w:val="Heading2"/>
      </w:pPr>
      <w:r>
        <w:t>19.1 Learning objectives</w:t>
      </w:r>
    </w:p>
    <w:p>
      <w:pPr>
        <w:pStyle w:val="ListBullet"/>
      </w:pPr>
      <w:r>
        <w:t>Explain and apply multiple explanatory variables.</w:t>
      </w:r>
    </w:p>
    <w:p>
      <w:pPr>
        <w:pStyle w:val="ListBullet"/>
      </w:pPr>
      <w:r>
        <w:t>Explain and apply partial effects.</w:t>
      </w:r>
    </w:p>
    <w:p>
      <w:pPr>
        <w:pStyle w:val="ListBullet"/>
      </w:pPr>
      <w:r>
        <w:t>Explain and apply ceteris paribus interpretation.</w:t>
      </w:r>
    </w:p>
    <w:p>
      <w:pPr>
        <w:pStyle w:val="ListBullet"/>
      </w:pPr>
      <w:r>
        <w:t>Explain and apply confounding.</w:t>
      </w:r>
    </w:p>
    <w:p>
      <w:pPr>
        <w:pStyle w:val="ListBullet"/>
      </w:pPr>
      <w:r>
        <w:t>Explain and apply Frisch-Waugh-Lovell intuition.</w:t>
      </w:r>
    </w:p>
    <w:p>
      <w:pPr>
        <w:pStyle w:val="ListBullet"/>
      </w:pPr>
      <w:r>
        <w:t>Explain and apply adjusted versus unadjusted relationships.</w:t>
      </w:r>
    </w:p>
    <w:p>
      <w:pPr>
        <w:pStyle w:val="ListBullet"/>
      </w:pPr>
      <w:r>
        <w:t>Explain and apply nested specifications.</w:t>
      </w:r>
    </w:p>
    <w:tbl>
      <w:tblPr>
        <w:tblW w:type="auto" w:w="0"/>
        <w:jc w:val="center"/>
        <w:tblLook w:firstColumn="1" w:firstRow="1" w:lastColumn="0" w:lastRow="0" w:noHBand="0" w:noVBand="1" w:val="04A0"/>
      </w:tblPr>
      <w:tblGrid>
        <w:gridCol w:w="10080"/>
      </w:tblGrid>
      <w:tr>
        <w:tc>
          <w:tcPr>
            <w:tcW w:type="dxa" w:w="10080"/>
          </w:tcPr>
          <w:p>
            <w:r/>
            <w:r>
              <w:rPr>
                <w:b/>
              </w:rPr>
              <w:t xml:space="preserve">Concept in one sentence: </w:t>
            </w:r>
            <w:r>
              <w:t>Multiple regression estimates partial associations conditional on the controls included in the model.</w:t>
            </w:r>
          </w:p>
        </w:tc>
        <w:trPr>
          <w:tblHeader/>
        </w:trPr>
      </w:tr>
    </w:tbl>
    <w:p>
      <w:pPr>
        <w:pStyle w:val="Heading2"/>
      </w:pPr>
      <w:r>
        <w:t>19.2 Economic intuition</w:t>
      </w:r>
    </w:p>
    <w:p>
      <w:r>
        <w:t>This chapter begins from the economic question rather than from software syntax. The goal is to understand what information the data can legitimately provide about multiple regression and the ceteris paribus interpretation. Python is used as a transparent laboratory: we state the question, define the target, inspect the data, estimate the model, and then challenge the result.</w:t>
      </w:r>
    </w:p>
    <w:p>
      <w:r>
        <w:t>A recurring distinction in econometrics is the difference between describing a pattern, predicting an outcome, and estimating a causal effect. These goals can use similar equations but require different assumptions. A model may forecast well while offering little causal interpretation, and a credible causal design may deliberately use a simple estimator because identification comes from the research design rather than algorithmic complexity.</w:t>
      </w:r>
    </w:p>
    <w:p>
      <w:r>
        <w:t>Throughout the chapter, pay attention to units, timing, sample construction, and the information set available to the analyst. Economic data are produced by institutions, markets, households, and firms. They are not abstract arrays. A good empirical workflow therefore combines statistical discipline with substantive economic reasoning.</w:t>
      </w:r>
    </w:p>
    <w:p>
      <w:pPr>
        <w:pStyle w:val="Heading2"/>
      </w:pPr>
      <w:r>
        <w:t>19.3 A small numerical example</w:t>
      </w:r>
    </w:p>
    <w:p>
      <w:r>
        <w:t>Start with a tiny hypothetical sample that can be checked by hand. Write the unit of observation, outcome, explanatory variable or treatment, and the comparison being made. Before estimating anything, ask what would make the comparison informative and what could make it misleading.</w:t>
      </w:r>
    </w:p>
    <w:tbl>
      <w:tblPr>
        <w:tblStyle w:val="TableGrid"/>
        <w:tblW w:type="auto" w:w="0"/>
        <w:jc w:val="center"/>
        <w:tblLook w:firstColumn="1" w:firstRow="1" w:lastColumn="0" w:lastRow="0" w:noHBand="0" w:noVBand="1" w:val="04A0"/>
      </w:tblPr>
      <w:tblGrid>
        <w:gridCol w:w="2520"/>
        <w:gridCol w:w="2520"/>
        <w:gridCol w:w="2520"/>
        <w:gridCol w:w="2520"/>
      </w:tblGrid>
      <w:tr>
        <w:tc>
          <w:tcPr>
            <w:tcW w:type="dxa" w:w="2520"/>
          </w:tcPr>
          <w:p>
            <w:r>
              <w:t>Observation</w:t>
            </w:r>
          </w:p>
        </w:tc>
        <w:tc>
          <w:tcPr>
            <w:tcW w:type="dxa" w:w="2520"/>
          </w:tcPr>
          <w:p>
            <w:r>
              <w:t>X / Treatment</w:t>
            </w:r>
          </w:p>
        </w:tc>
        <w:tc>
          <w:tcPr>
            <w:tcW w:type="dxa" w:w="2520"/>
          </w:tcPr>
          <w:p>
            <w:r>
              <w:t>Outcome Y</w:t>
            </w:r>
          </w:p>
        </w:tc>
        <w:tc>
          <w:tcPr>
            <w:tcW w:type="dxa" w:w="2520"/>
          </w:tcPr>
          <w:p>
            <w:r>
              <w:t>Interpretive note</w:t>
            </w:r>
          </w:p>
        </w:tc>
        <w:trPr>
          <w:tblHeader/>
        </w:trPr>
      </w:tr>
      <w:tr>
        <w:tc>
          <w:tcPr>
            <w:tcW w:type="dxa" w:w="2520"/>
          </w:tcPr>
          <w:p>
            <w:r>
              <w:t>1</w:t>
            </w:r>
          </w:p>
        </w:tc>
        <w:tc>
          <w:tcPr>
            <w:tcW w:type="dxa" w:w="2520"/>
          </w:tcPr>
          <w:p>
            <w:r>
              <w:t>0</w:t>
            </w:r>
          </w:p>
        </w:tc>
        <w:tc>
          <w:tcPr>
            <w:tcW w:type="dxa" w:w="2520"/>
          </w:tcPr>
          <w:p>
            <w:r>
              <w:t>10</w:t>
            </w:r>
          </w:p>
        </w:tc>
        <w:tc>
          <w:tcPr>
            <w:tcW w:type="dxa" w:w="2520"/>
          </w:tcPr>
          <w:p>
            <w:r>
              <w:t>baseline</w:t>
            </w:r>
          </w:p>
        </w:tc>
      </w:tr>
      <w:tr>
        <w:tc>
          <w:tcPr>
            <w:tcW w:type="dxa" w:w="2520"/>
          </w:tcPr>
          <w:p>
            <w:r>
              <w:t>2</w:t>
            </w:r>
          </w:p>
        </w:tc>
        <w:tc>
          <w:tcPr>
            <w:tcW w:type="dxa" w:w="2520"/>
          </w:tcPr>
          <w:p>
            <w:r>
              <w:t>0</w:t>
            </w:r>
          </w:p>
        </w:tc>
        <w:tc>
          <w:tcPr>
            <w:tcW w:type="dxa" w:w="2520"/>
          </w:tcPr>
          <w:p>
            <w:r>
              <w:t>12</w:t>
            </w:r>
          </w:p>
        </w:tc>
        <w:tc>
          <w:tcPr>
            <w:tcW w:type="dxa" w:w="2520"/>
          </w:tcPr>
          <w:p>
            <w:r>
              <w:t>comparison</w:t>
            </w:r>
          </w:p>
        </w:tc>
      </w:tr>
      <w:tr>
        <w:tc>
          <w:tcPr>
            <w:tcW w:type="dxa" w:w="2520"/>
          </w:tcPr>
          <w:p>
            <w:r>
              <w:t>3</w:t>
            </w:r>
          </w:p>
        </w:tc>
        <w:tc>
          <w:tcPr>
            <w:tcW w:type="dxa" w:w="2520"/>
          </w:tcPr>
          <w:p>
            <w:r>
              <w:t>1</w:t>
            </w:r>
          </w:p>
        </w:tc>
        <w:tc>
          <w:tcPr>
            <w:tcW w:type="dxa" w:w="2520"/>
          </w:tcPr>
          <w:p>
            <w:r>
              <w:t>15</w:t>
            </w:r>
          </w:p>
        </w:tc>
        <w:tc>
          <w:tcPr>
            <w:tcW w:type="dxa" w:w="2520"/>
          </w:tcPr>
          <w:p>
            <w:r>
              <w:t>exposed</w:t>
            </w:r>
          </w:p>
        </w:tc>
      </w:tr>
      <w:tr>
        <w:tc>
          <w:tcPr>
            <w:tcW w:type="dxa" w:w="2520"/>
          </w:tcPr>
          <w:p>
            <w:r>
              <w:t>4</w:t>
            </w:r>
          </w:p>
        </w:tc>
        <w:tc>
          <w:tcPr>
            <w:tcW w:type="dxa" w:w="2520"/>
          </w:tcPr>
          <w:p>
            <w:r>
              <w:t>1</w:t>
            </w:r>
          </w:p>
        </w:tc>
        <w:tc>
          <w:tcPr>
            <w:tcW w:type="dxa" w:w="2520"/>
          </w:tcPr>
          <w:p>
            <w:r>
              <w:t>17</w:t>
            </w:r>
          </w:p>
        </w:tc>
        <w:tc>
          <w:tcPr>
            <w:tcW w:type="dxa" w:w="2520"/>
          </w:tcPr>
          <w:p>
            <w:r>
              <w:t>exposed</w:t>
            </w:r>
          </w:p>
        </w:tc>
      </w:tr>
    </w:tbl>
    <w:p>
      <w:r>
        <w:t>The difference in group averages is easy to compute, but whether it is a causal effect depends on how exposure was assigned and whether the groups are otherwise comparable. This distinction is the heartbeat of modern applied econometrics.</w:t>
      </w:r>
    </w:p>
    <w:p>
      <w:pPr>
        <w:pStyle w:val="Heading2"/>
      </w:pPr>
      <w:r>
        <w:t>19.4 Formal framework</w:t>
      </w:r>
    </w:p>
    <w:p>
      <w:r>
        <w:t>Write the empirical model in a form that makes the target explicit. A generic conditional-mean representation is</w:t>
      </w:r>
    </w:p>
    <w:p>
      <w:pPr>
        <w:jc w:val="center"/>
      </w:pPr>
      <w:r>
        <w:t>E[Y | X] = m(X),     or in a linear approximation,     Y_i = β₀ + β₁X_i + u_i.</w:t>
      </w:r>
    </w:p>
    <w:p>
      <w:r>
        <w:t>Here Y is the outcome, X denotes observed information, β parameters summarize the chosen model, and u collects other determinants of the outcome. The crucial question is not only whether β can be estimated, but what β means under the design and assumptions.</w:t>
      </w:r>
    </w:p>
    <w:p>
      <w:pPr>
        <w:pStyle w:val="Heading2"/>
      </w:pPr>
      <w:r>
        <w:t>19.5 Python demonstration</w:t>
      </w:r>
    </w:p>
    <w:p>
      <w:pPr>
        <w:spacing w:after="0"/>
        <w:ind w:left="360"/>
      </w:pPr>
      <w:r>
        <w:rPr>
          <w:rFonts w:ascii="Liberation Mono" w:hAnsi="Liberation Mono"/>
          <w:sz w:val="17"/>
        </w:rPr>
        <w:t>import numpy as np, statsmodels.api as sm</w:t>
      </w:r>
    </w:p>
    <w:p>
      <w:pPr>
        <w:spacing w:after="0"/>
        <w:ind w:left="360"/>
      </w:pPr>
      <w:r>
        <w:rPr>
          <w:rFonts w:ascii="Liberation Mono" w:hAnsi="Liberation Mono"/>
          <w:sz w:val="17"/>
        </w:rPr>
        <w:t>rng=np.random.default_rng(19)</w:t>
      </w:r>
    </w:p>
    <w:p>
      <w:pPr>
        <w:spacing w:after="0"/>
        <w:ind w:left="360"/>
      </w:pPr>
      <w:r>
        <w:rPr>
          <w:rFonts w:ascii="Liberation Mono" w:hAnsi="Liberation Mono"/>
          <w:sz w:val="17"/>
        </w:rPr>
        <w:t>ability=rng.normal(size=300)</w:t>
      </w:r>
    </w:p>
    <w:p>
      <w:pPr>
        <w:spacing w:after="0"/>
        <w:ind w:left="360"/>
      </w:pPr>
      <w:r>
        <w:rPr>
          <w:rFonts w:ascii="Liberation Mono" w:hAnsi="Liberation Mono"/>
          <w:sz w:val="17"/>
        </w:rPr>
        <w:t>educ=.7*ability+rng.normal(size=300)</w:t>
      </w:r>
    </w:p>
    <w:p>
      <w:pPr>
        <w:spacing w:after="0"/>
        <w:ind w:left="360"/>
      </w:pPr>
      <w:r>
        <w:rPr>
          <w:rFonts w:ascii="Liberation Mono" w:hAnsi="Liberation Mono"/>
          <w:sz w:val="17"/>
        </w:rPr>
        <w:t>wage=2+1.2*educ+1.5*ability+rng.normal(size=300)</w:t>
      </w:r>
    </w:p>
    <w:p>
      <w:pPr>
        <w:spacing w:after="0"/>
        <w:ind w:left="360"/>
      </w:pPr>
      <w:r>
        <w:rPr>
          <w:rFonts w:ascii="Liberation Mono" w:hAnsi="Liberation Mono"/>
          <w:sz w:val="17"/>
        </w:rPr>
        <w:t>naive=sm.OLS(wage,sm.add_constant(educ)).fit()</w:t>
      </w:r>
    </w:p>
    <w:p>
      <w:pPr>
        <w:spacing w:after="0"/>
        <w:ind w:left="360"/>
      </w:pPr>
      <w:r>
        <w:rPr>
          <w:rFonts w:ascii="Liberation Mono" w:hAnsi="Liberation Mono"/>
          <w:sz w:val="17"/>
        </w:rPr>
        <w:t>controlled=sm.OLS(wage,sm.add_constant(np.c_[educ,ability])).fit()</w:t>
      </w:r>
    </w:p>
    <w:p>
      <w:pPr>
        <w:spacing w:after="0"/>
        <w:ind w:left="360"/>
      </w:pPr>
      <w:r>
        <w:rPr>
          <w:rFonts w:ascii="Liberation Mono" w:hAnsi="Liberation Mono"/>
          <w:sz w:val="17"/>
        </w:rPr>
        <w:t>print('naive',naive.params[1],'controlled',controlled.params[1])</w:t>
      </w:r>
    </w:p>
    <w:p>
      <w:r>
        <w:t>Run the code in a clean notebook and inspect both the numerical output and the data-generating assumptions. The associated notebook in the student package reproduces the example with a fixed random seed.</w:t>
      </w:r>
    </w:p>
    <w:p>
      <w:r>
        <w:drawing>
          <wp:inline>
            <wp:extent cx="5669280" cy="3184116"/>
            <wp:docPr id="3" name="Picture 3" descr="Image: image4.png"/>
            <wp:cNvGraphicFramePr>
              <a:graphicFrameLocks noChangeAspect="1"/>
            </wp:cNvGraphicFramePr>
            <a:graphic>
              <a:graphicData uri="http://schemas.openxmlformats.org/drawingml/2006/picture">
                <pic:pic>
                  <pic:nvPicPr>
                    <pic:cNvPr id="0" name="ch19_multiple_regression.png"/>
                    <pic:cNvPicPr/>
                  </pic:nvPicPr>
                  <pic:blipFill>
                    <a:blip r:embed="rId18"/>
                    <a:stretch>
                      <a:fillRect/>
                    </a:stretch>
                  </pic:blipFill>
                  <pic:spPr>
                    <a:xfrm>
                      <a:off x="0" y="0"/>
                      <a:ext cx="5669280" cy="3184116"/>
                    </a:xfrm>
                    <a:prstGeom prst="rect"/>
                  </pic:spPr>
                </pic:pic>
              </a:graphicData>
            </a:graphic>
          </wp:inline>
        </w:drawing>
      </w:r>
    </w:p>
    <w:p>
      <w:pPr>
        <w:jc w:val="center"/>
      </w:pPr>
      <w:r>
        <w:t>Figure 19.1. How can we compare two people while holding other observed characteristics constant?</w:t>
      </w:r>
    </w:p>
    <w:p>
      <w:pPr>
        <w:pStyle w:val="Heading2"/>
      </w:pPr>
      <w:r>
        <w:t>19.6 Interpretation</w:t>
      </w:r>
    </w:p>
    <w:p>
      <w:r>
        <w:t>Interpret results in the units of the variables. Report sign, magnitude, uncertainty, and the population or time period to which the estimate applies. If a variable is logged, categorical, interacted, standardized, or transformed, translate the coefficient accordingly rather than reading it as a raw one-unit effect.</w:t>
      </w:r>
    </w:p>
    <w:p>
      <w:r>
        <w:t>Then separate statistical significance from economic significance. A precise estimate may be too small to matter economically; an economically important estimate may be imprecise. Both dimensions belong in the conclusion.</w:t>
      </w:r>
    </w:p>
    <w:p>
      <w:pPr>
        <w:pStyle w:val="Heading2"/>
      </w:pPr>
      <w:r>
        <w:t>19.7 Assumptions, diagnostics, and threats to validity</w:t>
      </w:r>
    </w:p>
    <w:p>
      <w:pPr>
        <w:pStyle w:val="ListBullet"/>
      </w:pPr>
      <w:r>
        <w:t>Is the unit of observation appropriate for the question?</w:t>
      </w:r>
    </w:p>
    <w:p>
      <w:pPr>
        <w:pStyle w:val="ListBullet"/>
      </w:pPr>
      <w:r>
        <w:t>Are timing and information sets respected?</w:t>
      </w:r>
    </w:p>
    <w:p>
      <w:pPr>
        <w:pStyle w:val="ListBullet"/>
      </w:pPr>
      <w:r>
        <w:t>Could selection, confounding, measurement error, or reverse causality matter?</w:t>
      </w:r>
    </w:p>
    <w:p>
      <w:pPr>
        <w:pStyle w:val="ListBullet"/>
      </w:pPr>
      <w:r>
        <w:t>Does the uncertainty estimator match the sampling or dependence structure?</w:t>
      </w:r>
    </w:p>
    <w:p>
      <w:pPr>
        <w:pStyle w:val="ListBullet"/>
      </w:pPr>
      <w:r>
        <w:t>Would the result survive reasonable alternative specifications?</w:t>
      </w:r>
    </w:p>
    <w:p>
      <w:pPr>
        <w:pStyle w:val="ListBullet"/>
      </w:pPr>
      <w:r>
        <w:t>Is the task predictive, descriptive, or causal?</w:t>
      </w:r>
    </w:p>
    <w:tbl>
      <w:tblPr>
        <w:tblW w:type="auto" w:w="0"/>
        <w:jc w:val="center"/>
        <w:tblLook w:firstColumn="1" w:firstRow="1" w:lastColumn="0" w:lastRow="0" w:noHBand="0" w:noVBand="1" w:val="04A0"/>
      </w:tblPr>
      <w:tblGrid>
        <w:gridCol w:w="10080"/>
      </w:tblGrid>
      <w:tr>
        <w:tc>
          <w:tcPr>
            <w:tcW w:type="dxa" w:w="10080"/>
          </w:tcPr>
          <w:p>
            <w:r/>
            <w:r>
              <w:rPr>
                <w:b/>
              </w:rPr>
              <w:t xml:space="preserve">Causal caution: </w:t>
            </w:r>
            <w:r>
              <w:t>High predictive accuracy, feature importance, or a small p-value does not by itself identify a causal effect. Causal language requires a defensible identification strategy.</w:t>
            </w:r>
          </w:p>
        </w:tc>
        <w:trPr>
          <w:tblHeader/>
        </w:trPr>
      </w:tr>
    </w:tbl>
    <w:tbl>
      <w:tblPr>
        <w:tblW w:type="auto" w:w="0"/>
        <w:jc w:val="center"/>
        <w:tblLook w:firstColumn="1" w:firstRow="1" w:lastColumn="0" w:lastRow="0" w:noHBand="0" w:noVBand="1" w:val="04A0"/>
      </w:tblPr>
      <w:tblGrid>
        <w:gridCol w:w="10080"/>
      </w:tblGrid>
      <w:tr>
        <w:tc>
          <w:tcPr>
            <w:tcW w:type="dxa" w:w="10080"/>
          </w:tcPr>
          <w:p>
            <w:r/>
            <w:r>
              <w:rPr>
                <w:b/>
              </w:rPr>
              <w:t xml:space="preserve">Ceteris LAB Tip: </w:t>
            </w:r>
            <w:r>
              <w:t>Write the research question and estimand in words before opening Python. If you cannot state what quantity you want to learn, adding packages will not rescue the analysis.</w:t>
            </w:r>
          </w:p>
        </w:tc>
        <w:trPr>
          <w:tblHeader/>
        </w:trPr>
      </w:tr>
    </w:tbl>
    <w:tbl>
      <w:tblPr>
        <w:tblW w:type="auto" w:w="0"/>
        <w:jc w:val="center"/>
        <w:tblLook w:firstColumn="1" w:firstRow="1" w:lastColumn="0" w:lastRow="0" w:noHBand="0" w:noVBand="1" w:val="04A0"/>
      </w:tblPr>
      <w:tblGrid>
        <w:gridCol w:w="10080"/>
      </w:tblGrid>
      <w:tr>
        <w:tc>
          <w:tcPr>
            <w:tcW w:type="dxa" w:w="10080"/>
          </w:tcPr>
          <w:p>
            <w:r/>
            <w:r>
              <w:rPr>
                <w:b/>
              </w:rPr>
              <w:t xml:space="preserve">Common mistake: </w:t>
            </w:r>
            <w:r>
              <w:t>Treating a software default as an econometric assumption. Defaults are conveniences; assumptions must be chosen and defended.</w:t>
            </w:r>
          </w:p>
        </w:tc>
        <w:trPr>
          <w:tblHeader/>
        </w:trPr>
      </w:tr>
    </w:tbl>
    <w:p>
      <w:pPr>
        <w:pStyle w:val="Heading2"/>
      </w:pPr>
      <w:r>
        <w:t>19.8 Guided practice</w:t>
      </w:r>
    </w:p>
    <w:p>
      <w:r>
        <w:t>Modify the notebook so that one assumption is deliberately violated. Re-estimate the model, compare the result, and explain why the estimate changed. This turns diagnostics from a checklist into an experiment.</w:t>
      </w:r>
    </w:p>
    <w:p>
      <w:pPr>
        <w:pStyle w:val="Heading2"/>
      </w:pPr>
      <w:r>
        <w:t>19.9 Exercises</w:t>
      </w:r>
    </w:p>
    <w:p>
      <w:pPr>
        <w:pStyle w:val="ListNumber"/>
      </w:pPr>
      <w:r>
        <w:t>Concept: In one paragraph, distinguish association, prediction, and causation for the chapter topic.</w:t>
      </w:r>
    </w:p>
    <w:p>
      <w:pPr>
        <w:pStyle w:val="ListNumber"/>
      </w:pPr>
      <w:r>
        <w:t>Python: Reproduce the demonstration with a different documented random seed and verify that the qualitative conclusion is stable.</w:t>
      </w:r>
    </w:p>
    <w:p>
      <w:pPr>
        <w:pStyle w:val="ListNumber"/>
      </w:pPr>
      <w:r>
        <w:t>Applied econometrics: Replace the simulated outcome with a legally shareable economic variable and document its units, source, and sample.</w:t>
      </w:r>
    </w:p>
    <w:p>
      <w:pPr>
        <w:pStyle w:val="ListNumber"/>
      </w:pPr>
      <w:r>
        <w:t>Interpretation: Write a 150-word results paragraph that reports magnitude and uncertainty without exaggerating the evidence.</w:t>
      </w:r>
    </w:p>
    <w:p>
      <w:pPr>
        <w:pStyle w:val="ListNumber"/>
      </w:pPr>
      <w:r>
        <w:t>Research challenge: Propose one alternative design or robustness check that would address the most important threat to validity.</w:t>
      </w:r>
    </w:p>
    <w:p>
      <w:pPr>
        <w:pStyle w:val="Heading2"/>
      </w:pPr>
      <w:r>
        <w:t>19.10 Chapter summary</w:t>
      </w:r>
    </w:p>
    <w:p>
      <w:r>
        <w:t>Multiple Regression and the Ceteris Paribus Interpretation is most useful when the economic question, statistical target, assumptions, code, and interpretation point in the same direction. Python makes the workflow reproducible; econometric reasoning determines what the output can mean.</w:t>
      </w:r>
    </w:p>
    <w:p>
      <w:pPr>
        <w:pStyle w:val="Heading2"/>
      </w:pPr>
      <w:r>
        <w:t>19.11 Key Python tools</w:t>
      </w:r>
    </w:p>
    <w:p>
      <w:r>
        <w:t>Core tools used across these chapters include NumPy for simulation, pandas for data structures, statsmodels for statistical inference, scikit-learn for predictive modeling, and Matplotlib for transparent visual diagnostics. Use the simplest maintained tool that answers the question.</w:t>
      </w:r>
    </w:p>
    <w:p>
      <w:r>
        <w:br w:type="page"/>
      </w:r>
    </w:p>
    <w:p>
      <w:pPr>
        <w:pStyle w:val="Heading1"/>
      </w:pPr>
      <w:r>
        <w:t>20</w:t>
        <w:tab/>
        <w:t>Functional Forms, Dummy Variables, and Interactions</w:t>
      </w:r>
    </w:p>
    <w:p>
      <w:pPr>
        <w:pStyle w:val="Subtitle"/>
      </w:pPr>
      <w:r>
        <w:t>When is a one-unit change not the right way to describe an economic relationship?</w:t>
      </w:r>
    </w:p>
    <w:p>
      <w:pPr>
        <w:pStyle w:val="Heading2"/>
      </w:pPr>
      <w:r>
        <w:t>20.1 Learning objectives</w:t>
      </w:r>
    </w:p>
    <w:p>
      <w:pPr>
        <w:pStyle w:val="ListBullet"/>
      </w:pPr>
      <w:r>
        <w:t>Explain and apply log-level, level-log, and log-log models.</w:t>
      </w:r>
    </w:p>
    <w:p>
      <w:pPr>
        <w:pStyle w:val="ListBullet"/>
      </w:pPr>
      <w:r>
        <w:t>Explain and apply elasticities.</w:t>
      </w:r>
    </w:p>
    <w:p>
      <w:pPr>
        <w:pStyle w:val="ListBullet"/>
      </w:pPr>
      <w:r>
        <w:t>Explain and apply quadratic terms.</w:t>
      </w:r>
    </w:p>
    <w:p>
      <w:pPr>
        <w:pStyle w:val="ListBullet"/>
      </w:pPr>
      <w:r>
        <w:t>Explain and apply dummy variables.</w:t>
      </w:r>
    </w:p>
    <w:p>
      <w:pPr>
        <w:pStyle w:val="ListBullet"/>
      </w:pPr>
      <w:r>
        <w:t>Explain and apply reference groups.</w:t>
      </w:r>
    </w:p>
    <w:p>
      <w:pPr>
        <w:pStyle w:val="ListBullet"/>
      </w:pPr>
      <w:r>
        <w:t>Explain and apply interaction terms.</w:t>
      </w:r>
    </w:p>
    <w:p>
      <w:pPr>
        <w:pStyle w:val="ListBullet"/>
      </w:pPr>
      <w:r>
        <w:t>Explain and apply marginal effects.</w:t>
      </w:r>
    </w:p>
    <w:tbl>
      <w:tblPr>
        <w:tblW w:type="auto" w:w="0"/>
        <w:jc w:val="center"/>
        <w:tblLook w:firstColumn="1" w:firstRow="1" w:lastColumn="0" w:lastRow="0" w:noHBand="0" w:noVBand="1" w:val="04A0"/>
      </w:tblPr>
      <w:tblGrid>
        <w:gridCol w:w="10080"/>
      </w:tblGrid>
      <w:tr>
        <w:tc>
          <w:tcPr>
            <w:tcW w:type="dxa" w:w="10080"/>
          </w:tcPr>
          <w:p>
            <w:r/>
            <w:r>
              <w:rPr>
                <w:b/>
              </w:rPr>
              <w:t xml:space="preserve">Concept in one sentence: </w:t>
            </w:r>
            <w:r>
              <w:t>Functional form determines what a coefficient means, so interpretation must match the transformation.</w:t>
            </w:r>
          </w:p>
        </w:tc>
        <w:trPr>
          <w:tblHeader/>
        </w:trPr>
      </w:tr>
    </w:tbl>
    <w:p>
      <w:pPr>
        <w:pStyle w:val="Heading2"/>
      </w:pPr>
      <w:r>
        <w:t>20.2 Economic intuition</w:t>
      </w:r>
    </w:p>
    <w:p>
      <w:r>
        <w:t>This chapter begins from the economic question rather than from software syntax. The goal is to understand what information the data can legitimately provide about functional forms, dummy variables, and interactions. Python is used as a transparent laboratory: we state the question, define the target, inspect the data, estimate the model, and then challenge the result.</w:t>
      </w:r>
    </w:p>
    <w:p>
      <w:r>
        <w:t>A recurring distinction in econometrics is the difference between describing a pattern, predicting an outcome, and estimating a causal effect. These goals can use similar equations but require different assumptions. A model may forecast well while offering little causal interpretation, and a credible causal design may deliberately use a simple estimator because identification comes from the research design rather than algorithmic complexity.</w:t>
      </w:r>
    </w:p>
    <w:p>
      <w:r>
        <w:t>Throughout the chapter, pay attention to units, timing, sample construction, and the information set available to the analyst. Economic data are produced by institutions, markets, households, and firms. They are not abstract arrays. A good empirical workflow therefore combines statistical discipline with substantive economic reasoning.</w:t>
      </w:r>
    </w:p>
    <w:p>
      <w:pPr>
        <w:pStyle w:val="Heading2"/>
      </w:pPr>
      <w:r>
        <w:t>20.3 A small numerical example</w:t>
      </w:r>
    </w:p>
    <w:p>
      <w:r>
        <w:t>Start with a tiny hypothetical sample that can be checked by hand. Write the unit of observation, outcome, explanatory variable or treatment, and the comparison being made. Before estimating anything, ask what would make the comparison informative and what could make it misleading.</w:t>
      </w:r>
    </w:p>
    <w:tbl>
      <w:tblPr>
        <w:tblStyle w:val="TableGrid"/>
        <w:tblW w:type="auto" w:w="0"/>
        <w:jc w:val="center"/>
        <w:tblLook w:firstColumn="1" w:firstRow="1" w:lastColumn="0" w:lastRow="0" w:noHBand="0" w:noVBand="1" w:val="04A0"/>
      </w:tblPr>
      <w:tblGrid>
        <w:gridCol w:w="2520"/>
        <w:gridCol w:w="2520"/>
        <w:gridCol w:w="2520"/>
        <w:gridCol w:w="2520"/>
      </w:tblGrid>
      <w:tr>
        <w:tc>
          <w:tcPr>
            <w:tcW w:type="dxa" w:w="2520"/>
          </w:tcPr>
          <w:p>
            <w:r>
              <w:t>Observation</w:t>
            </w:r>
          </w:p>
        </w:tc>
        <w:tc>
          <w:tcPr>
            <w:tcW w:type="dxa" w:w="2520"/>
          </w:tcPr>
          <w:p>
            <w:r>
              <w:t>X / Treatment</w:t>
            </w:r>
          </w:p>
        </w:tc>
        <w:tc>
          <w:tcPr>
            <w:tcW w:type="dxa" w:w="2520"/>
          </w:tcPr>
          <w:p>
            <w:r>
              <w:t>Outcome Y</w:t>
            </w:r>
          </w:p>
        </w:tc>
        <w:tc>
          <w:tcPr>
            <w:tcW w:type="dxa" w:w="2520"/>
          </w:tcPr>
          <w:p>
            <w:r>
              <w:t>Interpretive note</w:t>
            </w:r>
          </w:p>
        </w:tc>
        <w:trPr>
          <w:tblHeader/>
        </w:trPr>
      </w:tr>
      <w:tr>
        <w:tc>
          <w:tcPr>
            <w:tcW w:type="dxa" w:w="2520"/>
          </w:tcPr>
          <w:p>
            <w:r>
              <w:t>1</w:t>
            </w:r>
          </w:p>
        </w:tc>
        <w:tc>
          <w:tcPr>
            <w:tcW w:type="dxa" w:w="2520"/>
          </w:tcPr>
          <w:p>
            <w:r>
              <w:t>0</w:t>
            </w:r>
          </w:p>
        </w:tc>
        <w:tc>
          <w:tcPr>
            <w:tcW w:type="dxa" w:w="2520"/>
          </w:tcPr>
          <w:p>
            <w:r>
              <w:t>10</w:t>
            </w:r>
          </w:p>
        </w:tc>
        <w:tc>
          <w:tcPr>
            <w:tcW w:type="dxa" w:w="2520"/>
          </w:tcPr>
          <w:p>
            <w:r>
              <w:t>baseline</w:t>
            </w:r>
          </w:p>
        </w:tc>
      </w:tr>
      <w:tr>
        <w:tc>
          <w:tcPr>
            <w:tcW w:type="dxa" w:w="2520"/>
          </w:tcPr>
          <w:p>
            <w:r>
              <w:t>2</w:t>
            </w:r>
          </w:p>
        </w:tc>
        <w:tc>
          <w:tcPr>
            <w:tcW w:type="dxa" w:w="2520"/>
          </w:tcPr>
          <w:p>
            <w:r>
              <w:t>0</w:t>
            </w:r>
          </w:p>
        </w:tc>
        <w:tc>
          <w:tcPr>
            <w:tcW w:type="dxa" w:w="2520"/>
          </w:tcPr>
          <w:p>
            <w:r>
              <w:t>12</w:t>
            </w:r>
          </w:p>
        </w:tc>
        <w:tc>
          <w:tcPr>
            <w:tcW w:type="dxa" w:w="2520"/>
          </w:tcPr>
          <w:p>
            <w:r>
              <w:t>comparison</w:t>
            </w:r>
          </w:p>
        </w:tc>
      </w:tr>
      <w:tr>
        <w:tc>
          <w:tcPr>
            <w:tcW w:type="dxa" w:w="2520"/>
          </w:tcPr>
          <w:p>
            <w:r>
              <w:t>3</w:t>
            </w:r>
          </w:p>
        </w:tc>
        <w:tc>
          <w:tcPr>
            <w:tcW w:type="dxa" w:w="2520"/>
          </w:tcPr>
          <w:p>
            <w:r>
              <w:t>1</w:t>
            </w:r>
          </w:p>
        </w:tc>
        <w:tc>
          <w:tcPr>
            <w:tcW w:type="dxa" w:w="2520"/>
          </w:tcPr>
          <w:p>
            <w:r>
              <w:t>15</w:t>
            </w:r>
          </w:p>
        </w:tc>
        <w:tc>
          <w:tcPr>
            <w:tcW w:type="dxa" w:w="2520"/>
          </w:tcPr>
          <w:p>
            <w:r>
              <w:t>exposed</w:t>
            </w:r>
          </w:p>
        </w:tc>
      </w:tr>
      <w:tr>
        <w:tc>
          <w:tcPr>
            <w:tcW w:type="dxa" w:w="2520"/>
          </w:tcPr>
          <w:p>
            <w:r>
              <w:t>4</w:t>
            </w:r>
          </w:p>
        </w:tc>
        <w:tc>
          <w:tcPr>
            <w:tcW w:type="dxa" w:w="2520"/>
          </w:tcPr>
          <w:p>
            <w:r>
              <w:t>1</w:t>
            </w:r>
          </w:p>
        </w:tc>
        <w:tc>
          <w:tcPr>
            <w:tcW w:type="dxa" w:w="2520"/>
          </w:tcPr>
          <w:p>
            <w:r>
              <w:t>17</w:t>
            </w:r>
          </w:p>
        </w:tc>
        <w:tc>
          <w:tcPr>
            <w:tcW w:type="dxa" w:w="2520"/>
          </w:tcPr>
          <w:p>
            <w:r>
              <w:t>exposed</w:t>
            </w:r>
          </w:p>
        </w:tc>
      </w:tr>
    </w:tbl>
    <w:p>
      <w:r>
        <w:t>The difference in group averages is easy to compute, but whether it is a causal effect depends on how exposure was assigned and whether the groups are otherwise comparable. This distinction is the heartbeat of modern applied econometrics.</w:t>
      </w:r>
    </w:p>
    <w:p>
      <w:pPr>
        <w:pStyle w:val="Heading2"/>
      </w:pPr>
      <w:r>
        <w:t>20.4 Formal framework</w:t>
      </w:r>
    </w:p>
    <w:p>
      <w:r>
        <w:t>Write the empirical model in a form that makes the target explicit. A generic conditional-mean representation is</w:t>
      </w:r>
    </w:p>
    <w:p>
      <w:pPr>
        <w:jc w:val="center"/>
      </w:pPr>
      <w:r>
        <w:t>E[Y | X] = m(X),     or in a linear approximation,     Y_i = β₀ + β₁X_i + u_i.</w:t>
      </w:r>
    </w:p>
    <w:p>
      <w:r>
        <w:t>Here Y is the outcome, X denotes observed information, β parameters summarize the chosen model, and u collects other determinants of the outcome. The crucial question is not only whether β can be estimated, but what β means under the design and assumptions.</w:t>
      </w:r>
    </w:p>
    <w:p>
      <w:pPr>
        <w:pStyle w:val="Heading2"/>
      </w:pPr>
      <w:r>
        <w:t>20.5 Python demonstration</w:t>
      </w:r>
    </w:p>
    <w:p>
      <w:pPr>
        <w:spacing w:after="0"/>
        <w:ind w:left="360"/>
      </w:pPr>
      <w:r>
        <w:rPr>
          <w:rFonts w:ascii="Liberation Mono" w:hAnsi="Liberation Mono"/>
          <w:sz w:val="17"/>
        </w:rPr>
        <w:t>import numpy as np, pandas as pd, statsmodels.formula.api as smf</w:t>
      </w:r>
    </w:p>
    <w:p>
      <w:pPr>
        <w:spacing w:after="0"/>
        <w:ind w:left="360"/>
      </w:pPr>
      <w:r>
        <w:rPr>
          <w:rFonts w:ascii="Liberation Mono" w:hAnsi="Liberation Mono"/>
          <w:sz w:val="17"/>
        </w:rPr>
        <w:t>rng=np.random.default_rng(20)</w:t>
      </w:r>
    </w:p>
    <w:p>
      <w:pPr>
        <w:spacing w:after="0"/>
        <w:ind w:left="360"/>
      </w:pPr>
      <w:r>
        <w:rPr>
          <w:rFonts w:ascii="Liberation Mono" w:hAnsi="Liberation Mono"/>
          <w:sz w:val="17"/>
        </w:rPr>
        <w:t>n=300</w:t>
      </w:r>
    </w:p>
    <w:p>
      <w:pPr>
        <w:spacing w:after="0"/>
        <w:ind w:left="360"/>
      </w:pPr>
      <w:r>
        <w:rPr>
          <w:rFonts w:ascii="Liberation Mono" w:hAnsi="Liberation Mono"/>
          <w:sz w:val="17"/>
        </w:rPr>
        <w:t>experience=rng.uniform(0,10,n); group=rng.integers(0,2,n)</w:t>
      </w:r>
    </w:p>
    <w:p>
      <w:pPr>
        <w:spacing w:after="0"/>
        <w:ind w:left="360"/>
      </w:pPr>
      <w:r>
        <w:rPr>
          <w:rFonts w:ascii="Liberation Mono" w:hAnsi="Liberation Mono"/>
          <w:sz w:val="17"/>
        </w:rPr>
        <w:t>wage=20+2*experience+5*group+1.2*experience*group+rng.normal(0,3,n)</w:t>
      </w:r>
    </w:p>
    <w:p>
      <w:pPr>
        <w:spacing w:after="0"/>
        <w:ind w:left="360"/>
      </w:pPr>
      <w:r>
        <w:rPr>
          <w:rFonts w:ascii="Liberation Mono" w:hAnsi="Liberation Mono"/>
          <w:sz w:val="17"/>
        </w:rPr>
        <w:t>df=pd.DataFrame({'wage':wage,'experience':experience,'group':group})</w:t>
      </w:r>
    </w:p>
    <w:p>
      <w:pPr>
        <w:spacing w:after="0"/>
        <w:ind w:left="360"/>
      </w:pPr>
      <w:r>
        <w:rPr>
          <w:rFonts w:ascii="Liberation Mono" w:hAnsi="Liberation Mono"/>
          <w:sz w:val="17"/>
        </w:rPr>
        <w:t>print(smf.ols('wage ~ experience * group',data=df).fit().summary())</w:t>
      </w:r>
    </w:p>
    <w:p>
      <w:r>
        <w:t>Run the code in a clean notebook and inspect both the numerical output and the data-generating assumptions. The associated notebook in the student package reproduces the example with a fixed random seed.</w:t>
      </w:r>
    </w:p>
    <w:p>
      <w:r>
        <w:drawing>
          <wp:inline>
            <wp:extent cx="5669280" cy="3184116"/>
            <wp:docPr id="4" name="Picture 4" descr="Image: image5.png"/>
            <wp:cNvGraphicFramePr>
              <a:graphicFrameLocks noChangeAspect="1"/>
            </wp:cNvGraphicFramePr>
            <a:graphic>
              <a:graphicData uri="http://schemas.openxmlformats.org/drawingml/2006/picture">
                <pic:pic>
                  <pic:nvPicPr>
                    <pic:cNvPr id="0" name="ch20_interactions.png"/>
                    <pic:cNvPicPr/>
                  </pic:nvPicPr>
                  <pic:blipFill>
                    <a:blip r:embed="rId19"/>
                    <a:stretch>
                      <a:fillRect/>
                    </a:stretch>
                  </pic:blipFill>
                  <pic:spPr>
                    <a:xfrm>
                      <a:off x="0" y="0"/>
                      <a:ext cx="5669280" cy="3184116"/>
                    </a:xfrm>
                    <a:prstGeom prst="rect"/>
                  </pic:spPr>
                </pic:pic>
              </a:graphicData>
            </a:graphic>
          </wp:inline>
        </w:drawing>
      </w:r>
    </w:p>
    <w:p>
      <w:pPr>
        <w:jc w:val="center"/>
      </w:pPr>
      <w:r>
        <w:t>Figure 20.1. When is a one-unit change not the right way to describe an economic relationship?</w:t>
      </w:r>
    </w:p>
    <w:p>
      <w:pPr>
        <w:pStyle w:val="Heading2"/>
      </w:pPr>
      <w:r>
        <w:t>20.6 Interpretation</w:t>
      </w:r>
    </w:p>
    <w:p>
      <w:r>
        <w:t>Interpret results in the units of the variables. Report sign, magnitude, uncertainty, and the population or time period to which the estimate applies. If a variable is logged, categorical, interacted, standardized, or transformed, translate the coefficient accordingly rather than reading it as a raw one-unit effect.</w:t>
      </w:r>
    </w:p>
    <w:p>
      <w:r>
        <w:t>Then separate statistical significance from economic significance. A precise estimate may be too small to matter economically; an economically important estimate may be imprecise. Both dimensions belong in the conclusion.</w:t>
      </w:r>
    </w:p>
    <w:p>
      <w:pPr>
        <w:pStyle w:val="Heading2"/>
      </w:pPr>
      <w:r>
        <w:t>20.7 Assumptions, diagnostics, and threats to validity</w:t>
      </w:r>
    </w:p>
    <w:p>
      <w:pPr>
        <w:pStyle w:val="ListBullet"/>
      </w:pPr>
      <w:r>
        <w:t>Is the unit of observation appropriate for the question?</w:t>
      </w:r>
    </w:p>
    <w:p>
      <w:pPr>
        <w:pStyle w:val="ListBullet"/>
      </w:pPr>
      <w:r>
        <w:t>Are timing and information sets respected?</w:t>
      </w:r>
    </w:p>
    <w:p>
      <w:pPr>
        <w:pStyle w:val="ListBullet"/>
      </w:pPr>
      <w:r>
        <w:t>Could selection, confounding, measurement error, or reverse causality matter?</w:t>
      </w:r>
    </w:p>
    <w:p>
      <w:pPr>
        <w:pStyle w:val="ListBullet"/>
      </w:pPr>
      <w:r>
        <w:t>Does the uncertainty estimator match the sampling or dependence structure?</w:t>
      </w:r>
    </w:p>
    <w:p>
      <w:pPr>
        <w:pStyle w:val="ListBullet"/>
      </w:pPr>
      <w:r>
        <w:t>Would the result survive reasonable alternative specifications?</w:t>
      </w:r>
    </w:p>
    <w:p>
      <w:pPr>
        <w:pStyle w:val="ListBullet"/>
      </w:pPr>
      <w:r>
        <w:t>Is the task predictive, descriptive, or causal?</w:t>
      </w:r>
    </w:p>
    <w:tbl>
      <w:tblPr>
        <w:tblW w:type="auto" w:w="0"/>
        <w:jc w:val="center"/>
        <w:tblLook w:firstColumn="1" w:firstRow="1" w:lastColumn="0" w:lastRow="0" w:noHBand="0" w:noVBand="1" w:val="04A0"/>
      </w:tblPr>
      <w:tblGrid>
        <w:gridCol w:w="10080"/>
      </w:tblGrid>
      <w:tr>
        <w:tc>
          <w:tcPr>
            <w:tcW w:type="dxa" w:w="10080"/>
          </w:tcPr>
          <w:p>
            <w:r/>
            <w:r>
              <w:rPr>
                <w:b/>
              </w:rPr>
              <w:t xml:space="preserve">Causal caution: </w:t>
            </w:r>
            <w:r>
              <w:t>High predictive accuracy, feature importance, or a small p-value does not by itself identify a causal effect. Causal language requires a defensible identification strategy.</w:t>
            </w:r>
          </w:p>
        </w:tc>
        <w:trPr>
          <w:tblHeader/>
        </w:trPr>
      </w:tr>
    </w:tbl>
    <w:tbl>
      <w:tblPr>
        <w:tblW w:type="auto" w:w="0"/>
        <w:jc w:val="center"/>
        <w:tblLook w:firstColumn="1" w:firstRow="1" w:lastColumn="0" w:lastRow="0" w:noHBand="0" w:noVBand="1" w:val="04A0"/>
      </w:tblPr>
      <w:tblGrid>
        <w:gridCol w:w="10080"/>
      </w:tblGrid>
      <w:tr>
        <w:tc>
          <w:tcPr>
            <w:tcW w:type="dxa" w:w="10080"/>
          </w:tcPr>
          <w:p>
            <w:r/>
            <w:r>
              <w:rPr>
                <w:b/>
              </w:rPr>
              <w:t xml:space="preserve">Ceteris LAB Tip: </w:t>
            </w:r>
            <w:r>
              <w:t>Write the research question and estimand in words before opening Python. If you cannot state what quantity you want to learn, adding packages will not rescue the analysis.</w:t>
            </w:r>
          </w:p>
        </w:tc>
        <w:trPr>
          <w:tblHeader/>
        </w:trPr>
      </w:tr>
    </w:tbl>
    <w:tbl>
      <w:tblPr>
        <w:tblW w:type="auto" w:w="0"/>
        <w:jc w:val="center"/>
        <w:tblLook w:firstColumn="1" w:firstRow="1" w:lastColumn="0" w:lastRow="0" w:noHBand="0" w:noVBand="1" w:val="04A0"/>
      </w:tblPr>
      <w:tblGrid>
        <w:gridCol w:w="10080"/>
      </w:tblGrid>
      <w:tr>
        <w:tc>
          <w:tcPr>
            <w:tcW w:type="dxa" w:w="10080"/>
          </w:tcPr>
          <w:p>
            <w:r/>
            <w:r>
              <w:rPr>
                <w:b/>
              </w:rPr>
              <w:t xml:space="preserve">Common mistake: </w:t>
            </w:r>
            <w:r>
              <w:t>Treating a software default as an econometric assumption. Defaults are conveniences; assumptions must be chosen and defended.</w:t>
            </w:r>
          </w:p>
        </w:tc>
        <w:trPr>
          <w:tblHeader/>
        </w:trPr>
      </w:tr>
    </w:tbl>
    <w:p>
      <w:pPr>
        <w:pStyle w:val="Heading2"/>
      </w:pPr>
      <w:r>
        <w:t>20.8 Guided practice</w:t>
      </w:r>
    </w:p>
    <w:p>
      <w:r>
        <w:t>Modify the notebook so that one assumption is deliberately violated. Re-estimate the model, compare the result, and explain why the estimate changed. This turns diagnostics from a checklist into an experiment.</w:t>
      </w:r>
    </w:p>
    <w:p>
      <w:pPr>
        <w:pStyle w:val="Heading2"/>
      </w:pPr>
      <w:r>
        <w:t>20.9 Exercises</w:t>
      </w:r>
    </w:p>
    <w:p>
      <w:pPr>
        <w:pStyle w:val="ListNumber"/>
      </w:pPr>
      <w:r>
        <w:t>Concept: In one paragraph, distinguish association, prediction, and causation for the chapter topic.</w:t>
      </w:r>
    </w:p>
    <w:p>
      <w:pPr>
        <w:pStyle w:val="ListNumber"/>
      </w:pPr>
      <w:r>
        <w:t>Python: Reproduce the demonstration with a different documented random seed and verify that the qualitative conclusion is stable.</w:t>
      </w:r>
    </w:p>
    <w:p>
      <w:pPr>
        <w:pStyle w:val="ListNumber"/>
      </w:pPr>
      <w:r>
        <w:t>Applied econometrics: Replace the simulated outcome with a legally shareable economic variable and document its units, source, and sample.</w:t>
      </w:r>
    </w:p>
    <w:p>
      <w:pPr>
        <w:pStyle w:val="ListNumber"/>
      </w:pPr>
      <w:r>
        <w:t>Interpretation: Write a 150-word results paragraph that reports magnitude and uncertainty without exaggerating the evidence.</w:t>
      </w:r>
    </w:p>
    <w:p>
      <w:pPr>
        <w:pStyle w:val="ListNumber"/>
      </w:pPr>
      <w:r>
        <w:t>Research challenge: Propose one alternative design or robustness check that would address the most important threat to validity.</w:t>
      </w:r>
    </w:p>
    <w:p>
      <w:pPr>
        <w:pStyle w:val="Heading2"/>
      </w:pPr>
      <w:r>
        <w:t>20.10 Chapter summary</w:t>
      </w:r>
    </w:p>
    <w:p>
      <w:r>
        <w:t>Functional Forms, Dummy Variables, and Interactions is most useful when the economic question, statistical target, assumptions, code, and interpretation point in the same direction. Python makes the workflow reproducible; econometric reasoning determines what the output can mean.</w:t>
      </w:r>
    </w:p>
    <w:p>
      <w:pPr>
        <w:pStyle w:val="Heading2"/>
      </w:pPr>
      <w:r>
        <w:t>20.11 Key Python tools</w:t>
      </w:r>
    </w:p>
    <w:p>
      <w:r>
        <w:t>Core tools used across these chapters include NumPy for simulation, pandas for data structures, statsmodels for statistical inference, scikit-learn for predictive modeling, and Matplotlib for transparent visual diagnostics. Use the simplest maintained tool that answers the question.</w:t>
      </w:r>
    </w:p>
    <w:p>
      <w:r>
        <w:br w:type="page"/>
      </w:r>
    </w:p>
    <w:p>
      <w:pPr>
        <w:pStyle w:val="Heading1"/>
      </w:pPr>
      <w:r>
        <w:t>21</w:t>
        <w:tab/>
        <w:t>Inference, Robust Standard Errors, and Diagnostics</w:t>
      </w:r>
    </w:p>
    <w:p>
      <w:pPr>
        <w:pStyle w:val="Subtitle"/>
      </w:pPr>
      <w:r>
        <w:t>How certain should we be about an estimated coefficient?</w:t>
      </w:r>
    </w:p>
    <w:p>
      <w:pPr>
        <w:pStyle w:val="Heading2"/>
      </w:pPr>
      <w:r>
        <w:t>21.1 Learning objectives</w:t>
      </w:r>
    </w:p>
    <w:p>
      <w:pPr>
        <w:pStyle w:val="ListBullet"/>
      </w:pPr>
      <w:r>
        <w:t>Explain and apply sampling uncertainty.</w:t>
      </w:r>
    </w:p>
    <w:p>
      <w:pPr>
        <w:pStyle w:val="ListBullet"/>
      </w:pPr>
      <w:r>
        <w:t>Explain and apply standard errors.</w:t>
      </w:r>
    </w:p>
    <w:p>
      <w:pPr>
        <w:pStyle w:val="ListBullet"/>
      </w:pPr>
      <w:r>
        <w:t>Explain and apply t tests and confidence intervals.</w:t>
      </w:r>
    </w:p>
    <w:p>
      <w:pPr>
        <w:pStyle w:val="ListBullet"/>
      </w:pPr>
      <w:r>
        <w:t>Explain and apply joint F tests.</w:t>
      </w:r>
    </w:p>
    <w:p>
      <w:pPr>
        <w:pStyle w:val="ListBullet"/>
      </w:pPr>
      <w:r>
        <w:t>Explain and apply heteroskedasticity.</w:t>
      </w:r>
    </w:p>
    <w:p>
      <w:pPr>
        <w:pStyle w:val="ListBullet"/>
      </w:pPr>
      <w:r>
        <w:t>Explain and apply HC robust standard errors.</w:t>
      </w:r>
    </w:p>
    <w:p>
      <w:pPr>
        <w:pStyle w:val="ListBullet"/>
      </w:pPr>
      <w:r>
        <w:t>Explain and apply clustered standard errors.</w:t>
      </w:r>
    </w:p>
    <w:p>
      <w:pPr>
        <w:pStyle w:val="ListBullet"/>
      </w:pPr>
      <w:r>
        <w:t>Explain and apply leverage and influence.</w:t>
      </w:r>
    </w:p>
    <w:p>
      <w:pPr>
        <w:pStyle w:val="ListBullet"/>
      </w:pPr>
      <w:r>
        <w:t>Explain and apply multicollinearity.</w:t>
      </w:r>
    </w:p>
    <w:tbl>
      <w:tblPr>
        <w:tblW w:type="auto" w:w="0"/>
        <w:jc w:val="center"/>
        <w:tblLook w:firstColumn="1" w:firstRow="1" w:lastColumn="0" w:lastRow="0" w:noHBand="0" w:noVBand="1" w:val="04A0"/>
      </w:tblPr>
      <w:tblGrid>
        <w:gridCol w:w="10080"/>
      </w:tblGrid>
      <w:tr>
        <w:tc>
          <w:tcPr>
            <w:tcW w:type="dxa" w:w="10080"/>
          </w:tcPr>
          <w:p>
            <w:r/>
            <w:r>
              <w:rPr>
                <w:b/>
              </w:rPr>
              <w:t xml:space="preserve">Concept in one sentence: </w:t>
            </w:r>
            <w:r>
              <w:t>A coefficient estimate without a defensible uncertainty estimate is only half an empirical result.</w:t>
            </w:r>
          </w:p>
        </w:tc>
        <w:trPr>
          <w:tblHeader/>
        </w:trPr>
      </w:tr>
    </w:tbl>
    <w:p>
      <w:pPr>
        <w:pStyle w:val="Heading2"/>
      </w:pPr>
      <w:r>
        <w:t>21.2 Economic intuition</w:t>
      </w:r>
    </w:p>
    <w:p>
      <w:r>
        <w:t>This chapter begins from the economic question rather than from software syntax. The goal is to understand what information the data can legitimately provide about inference, robust standard errors, and diagnostics. Python is used as a transparent laboratory: we state the question, define the target, inspect the data, estimate the model, and then challenge the result.</w:t>
      </w:r>
    </w:p>
    <w:p>
      <w:r>
        <w:t>A recurring distinction in econometrics is the difference between describing a pattern, predicting an outcome, and estimating a causal effect. These goals can use similar equations but require different assumptions. A model may forecast well while offering little causal interpretation, and a credible causal design may deliberately use a simple estimator because identification comes from the research design rather than algorithmic complexity.</w:t>
      </w:r>
    </w:p>
    <w:p>
      <w:r>
        <w:t>Throughout the chapter, pay attention to units, timing, sample construction, and the information set available to the analyst. Economic data are produced by institutions, markets, households, and firms. They are not abstract arrays. A good empirical workflow therefore combines statistical discipline with substantive economic reasoning.</w:t>
      </w:r>
    </w:p>
    <w:p>
      <w:pPr>
        <w:pStyle w:val="Heading2"/>
      </w:pPr>
      <w:r>
        <w:t>21.3 A small numerical example</w:t>
      </w:r>
    </w:p>
    <w:p>
      <w:r>
        <w:t>Start with a tiny hypothetical sample that can be checked by hand. Write the unit of observation, outcome, explanatory variable or treatment, and the comparison being made. Before estimating anything, ask what would make the comparison informative and what could make it misleading.</w:t>
      </w:r>
    </w:p>
    <w:tbl>
      <w:tblPr>
        <w:tblStyle w:val="TableGrid"/>
        <w:tblW w:type="auto" w:w="0"/>
        <w:jc w:val="center"/>
        <w:tblLook w:firstColumn="1" w:firstRow="1" w:lastColumn="0" w:lastRow="0" w:noHBand="0" w:noVBand="1" w:val="04A0"/>
      </w:tblPr>
      <w:tblGrid>
        <w:gridCol w:w="2520"/>
        <w:gridCol w:w="2520"/>
        <w:gridCol w:w="2520"/>
        <w:gridCol w:w="2520"/>
      </w:tblGrid>
      <w:tr>
        <w:tc>
          <w:tcPr>
            <w:tcW w:type="dxa" w:w="2520"/>
          </w:tcPr>
          <w:p>
            <w:r>
              <w:t>Observation</w:t>
            </w:r>
          </w:p>
        </w:tc>
        <w:tc>
          <w:tcPr>
            <w:tcW w:type="dxa" w:w="2520"/>
          </w:tcPr>
          <w:p>
            <w:r>
              <w:t>X / Treatment</w:t>
            </w:r>
          </w:p>
        </w:tc>
        <w:tc>
          <w:tcPr>
            <w:tcW w:type="dxa" w:w="2520"/>
          </w:tcPr>
          <w:p>
            <w:r>
              <w:t>Outcome Y</w:t>
            </w:r>
          </w:p>
        </w:tc>
        <w:tc>
          <w:tcPr>
            <w:tcW w:type="dxa" w:w="2520"/>
          </w:tcPr>
          <w:p>
            <w:r>
              <w:t>Interpretive note</w:t>
            </w:r>
          </w:p>
        </w:tc>
        <w:trPr>
          <w:tblHeader/>
        </w:trPr>
      </w:tr>
      <w:tr>
        <w:tc>
          <w:tcPr>
            <w:tcW w:type="dxa" w:w="2520"/>
          </w:tcPr>
          <w:p>
            <w:r>
              <w:t>1</w:t>
            </w:r>
          </w:p>
        </w:tc>
        <w:tc>
          <w:tcPr>
            <w:tcW w:type="dxa" w:w="2520"/>
          </w:tcPr>
          <w:p>
            <w:r>
              <w:t>0</w:t>
            </w:r>
          </w:p>
        </w:tc>
        <w:tc>
          <w:tcPr>
            <w:tcW w:type="dxa" w:w="2520"/>
          </w:tcPr>
          <w:p>
            <w:r>
              <w:t>10</w:t>
            </w:r>
          </w:p>
        </w:tc>
        <w:tc>
          <w:tcPr>
            <w:tcW w:type="dxa" w:w="2520"/>
          </w:tcPr>
          <w:p>
            <w:r>
              <w:t>baseline</w:t>
            </w:r>
          </w:p>
        </w:tc>
      </w:tr>
      <w:tr>
        <w:tc>
          <w:tcPr>
            <w:tcW w:type="dxa" w:w="2520"/>
          </w:tcPr>
          <w:p>
            <w:r>
              <w:t>2</w:t>
            </w:r>
          </w:p>
        </w:tc>
        <w:tc>
          <w:tcPr>
            <w:tcW w:type="dxa" w:w="2520"/>
          </w:tcPr>
          <w:p>
            <w:r>
              <w:t>0</w:t>
            </w:r>
          </w:p>
        </w:tc>
        <w:tc>
          <w:tcPr>
            <w:tcW w:type="dxa" w:w="2520"/>
          </w:tcPr>
          <w:p>
            <w:r>
              <w:t>12</w:t>
            </w:r>
          </w:p>
        </w:tc>
        <w:tc>
          <w:tcPr>
            <w:tcW w:type="dxa" w:w="2520"/>
          </w:tcPr>
          <w:p>
            <w:r>
              <w:t>comparison</w:t>
            </w:r>
          </w:p>
        </w:tc>
      </w:tr>
      <w:tr>
        <w:tc>
          <w:tcPr>
            <w:tcW w:type="dxa" w:w="2520"/>
          </w:tcPr>
          <w:p>
            <w:r>
              <w:t>3</w:t>
            </w:r>
          </w:p>
        </w:tc>
        <w:tc>
          <w:tcPr>
            <w:tcW w:type="dxa" w:w="2520"/>
          </w:tcPr>
          <w:p>
            <w:r>
              <w:t>1</w:t>
            </w:r>
          </w:p>
        </w:tc>
        <w:tc>
          <w:tcPr>
            <w:tcW w:type="dxa" w:w="2520"/>
          </w:tcPr>
          <w:p>
            <w:r>
              <w:t>15</w:t>
            </w:r>
          </w:p>
        </w:tc>
        <w:tc>
          <w:tcPr>
            <w:tcW w:type="dxa" w:w="2520"/>
          </w:tcPr>
          <w:p>
            <w:r>
              <w:t>exposed</w:t>
            </w:r>
          </w:p>
        </w:tc>
      </w:tr>
      <w:tr>
        <w:tc>
          <w:tcPr>
            <w:tcW w:type="dxa" w:w="2520"/>
          </w:tcPr>
          <w:p>
            <w:r>
              <w:t>4</w:t>
            </w:r>
          </w:p>
        </w:tc>
        <w:tc>
          <w:tcPr>
            <w:tcW w:type="dxa" w:w="2520"/>
          </w:tcPr>
          <w:p>
            <w:r>
              <w:t>1</w:t>
            </w:r>
          </w:p>
        </w:tc>
        <w:tc>
          <w:tcPr>
            <w:tcW w:type="dxa" w:w="2520"/>
          </w:tcPr>
          <w:p>
            <w:r>
              <w:t>17</w:t>
            </w:r>
          </w:p>
        </w:tc>
        <w:tc>
          <w:tcPr>
            <w:tcW w:type="dxa" w:w="2520"/>
          </w:tcPr>
          <w:p>
            <w:r>
              <w:t>exposed</w:t>
            </w:r>
          </w:p>
        </w:tc>
      </w:tr>
    </w:tbl>
    <w:p>
      <w:r>
        <w:t>The difference in group averages is easy to compute, but whether it is a causal effect depends on how exposure was assigned and whether the groups are otherwise comparable. This distinction is the heartbeat of modern applied econometrics.</w:t>
      </w:r>
    </w:p>
    <w:p>
      <w:pPr>
        <w:pStyle w:val="Heading2"/>
      </w:pPr>
      <w:r>
        <w:t>21.4 Formal framework</w:t>
      </w:r>
    </w:p>
    <w:p>
      <w:r>
        <w:t>Write the empirical model in a form that makes the target explicit. A generic conditional-mean representation is</w:t>
      </w:r>
    </w:p>
    <w:p>
      <w:pPr>
        <w:jc w:val="center"/>
      </w:pPr>
      <w:r>
        <w:t>E[Y | X] = m(X),     or in a linear approximation,     Y_i = β₀ + β₁X_i + u_i.</w:t>
      </w:r>
    </w:p>
    <w:p>
      <w:r>
        <w:t>Here Y is the outcome, X denotes observed information, β parameters summarize the chosen model, and u collects other determinants of the outcome. The crucial question is not only whether β can be estimated, but what β means under the design and assumptions.</w:t>
      </w:r>
    </w:p>
    <w:p>
      <w:pPr>
        <w:pStyle w:val="Heading2"/>
      </w:pPr>
      <w:r>
        <w:t>21.5 Python demonstration</w:t>
      </w:r>
    </w:p>
    <w:p>
      <w:pPr>
        <w:spacing w:after="0"/>
        <w:ind w:left="360"/>
      </w:pPr>
      <w:r>
        <w:rPr>
          <w:rFonts w:ascii="Liberation Mono" w:hAnsi="Liberation Mono"/>
          <w:sz w:val="17"/>
        </w:rPr>
        <w:t>import numpy as np, statsmodels.api as sm</w:t>
      </w:r>
    </w:p>
    <w:p>
      <w:pPr>
        <w:spacing w:after="0"/>
        <w:ind w:left="360"/>
      </w:pPr>
      <w:r>
        <w:rPr>
          <w:rFonts w:ascii="Liberation Mono" w:hAnsi="Liberation Mono"/>
          <w:sz w:val="17"/>
        </w:rPr>
        <w:t>rng=np.random.default_rng(21)</w:t>
      </w:r>
    </w:p>
    <w:p>
      <w:pPr>
        <w:spacing w:after="0"/>
        <w:ind w:left="360"/>
      </w:pPr>
      <w:r>
        <w:rPr>
          <w:rFonts w:ascii="Liberation Mono" w:hAnsi="Liberation Mono"/>
          <w:sz w:val="17"/>
        </w:rPr>
        <w:t>x=np.linspace(0,10,300)</w:t>
      </w:r>
    </w:p>
    <w:p>
      <w:pPr>
        <w:spacing w:after="0"/>
        <w:ind w:left="360"/>
      </w:pPr>
      <w:r>
        <w:rPr>
          <w:rFonts w:ascii="Liberation Mono" w:hAnsi="Liberation Mono"/>
          <w:sz w:val="17"/>
        </w:rPr>
        <w:t>y=2+.8*x+rng.normal(0,.3+.35*x,300)</w:t>
      </w:r>
    </w:p>
    <w:p>
      <w:pPr>
        <w:spacing w:after="0"/>
        <w:ind w:left="360"/>
      </w:pPr>
      <w:r>
        <w:rPr>
          <w:rFonts w:ascii="Liberation Mono" w:hAnsi="Liberation Mono"/>
          <w:sz w:val="17"/>
        </w:rPr>
        <w:t>ols=sm.OLS(y,sm.add_constant(x)).fit()</w:t>
      </w:r>
    </w:p>
    <w:p>
      <w:pPr>
        <w:spacing w:after="0"/>
        <w:ind w:left="360"/>
      </w:pPr>
      <w:r>
        <w:rPr>
          <w:rFonts w:ascii="Liberation Mono" w:hAnsi="Liberation Mono"/>
          <w:sz w:val="17"/>
        </w:rPr>
        <w:t>robust=ols.get_robustcov_results(cov_type='HC3')</w:t>
      </w:r>
    </w:p>
    <w:p>
      <w:pPr>
        <w:spacing w:after="0"/>
        <w:ind w:left="360"/>
      </w:pPr>
      <w:r>
        <w:rPr>
          <w:rFonts w:ascii="Liberation Mono" w:hAnsi="Liberation Mono"/>
          <w:sz w:val="17"/>
        </w:rPr>
        <w:t>print('classical SE',ols.bse[1],'HC3 SE',robust.bse[1])</w:t>
      </w:r>
    </w:p>
    <w:p>
      <w:r>
        <w:t>Run the code in a clean notebook and inspect both the numerical output and the data-generating assumptions. The associated notebook in the student package reproduces the example with a fixed random seed.</w:t>
      </w:r>
    </w:p>
    <w:p>
      <w:r>
        <w:drawing>
          <wp:inline>
            <wp:extent cx="5669280" cy="3186684"/>
            <wp:docPr id="5" name="Picture 5" descr="Image: image6.png"/>
            <wp:cNvGraphicFramePr>
              <a:graphicFrameLocks noChangeAspect="1"/>
            </wp:cNvGraphicFramePr>
            <a:graphic>
              <a:graphicData uri="http://schemas.openxmlformats.org/drawingml/2006/picture">
                <pic:pic>
                  <pic:nvPicPr>
                    <pic:cNvPr id="0" name="ch21_robust_se.png"/>
                    <pic:cNvPicPr/>
                  </pic:nvPicPr>
                  <pic:blipFill>
                    <a:blip r:embed="rId21"/>
                    <a:stretch>
                      <a:fillRect/>
                    </a:stretch>
                  </pic:blipFill>
                  <pic:spPr>
                    <a:xfrm>
                      <a:off x="0" y="0"/>
                      <a:ext cx="5669280" cy="3186684"/>
                    </a:xfrm>
                    <a:prstGeom prst="rect"/>
                  </pic:spPr>
                </pic:pic>
              </a:graphicData>
            </a:graphic>
          </wp:inline>
        </w:drawing>
      </w:r>
    </w:p>
    <w:p>
      <w:pPr>
        <w:jc w:val="center"/>
      </w:pPr>
      <w:r>
        <w:t>Figure 21.1. How certain should we be about an estimated coefficient?</w:t>
      </w:r>
    </w:p>
    <w:p>
      <w:pPr>
        <w:pStyle w:val="Heading2"/>
      </w:pPr>
      <w:r>
        <w:t>21.6 Interpretation</w:t>
      </w:r>
    </w:p>
    <w:p>
      <w:r>
        <w:t>Interpret results in the units of the variables. Report sign, magnitude, uncertainty, and the population or time period to which the estimate applies. If a variable is logged, categorical, interacted, standardized, or transformed, translate the coefficient accordingly rather than reading it as a raw one-unit effect.</w:t>
      </w:r>
    </w:p>
    <w:p>
      <w:r>
        <w:t>Then separate statistical significance from economic significance. A precise estimate may be too small to matter economically; an economically important estimate may be imprecise. Both dimensions belong in the conclusion.</w:t>
      </w:r>
    </w:p>
    <w:p>
      <w:pPr>
        <w:pStyle w:val="Heading2"/>
      </w:pPr>
      <w:r>
        <w:t>21.7 Assumptions, diagnostics, and threats to validity</w:t>
      </w:r>
    </w:p>
    <w:p>
      <w:pPr>
        <w:pStyle w:val="ListBullet"/>
      </w:pPr>
      <w:r>
        <w:t>Is the unit of observation appropriate for the question?</w:t>
      </w:r>
    </w:p>
    <w:p>
      <w:pPr>
        <w:pStyle w:val="ListBullet"/>
      </w:pPr>
      <w:r>
        <w:t>Are timing and information sets respected?</w:t>
      </w:r>
    </w:p>
    <w:p>
      <w:pPr>
        <w:pStyle w:val="ListBullet"/>
      </w:pPr>
      <w:r>
        <w:t>Could selection, confounding, measurement error, or reverse causality matter?</w:t>
      </w:r>
    </w:p>
    <w:p>
      <w:pPr>
        <w:pStyle w:val="ListBullet"/>
      </w:pPr>
      <w:r>
        <w:t>Does the uncertainty estimator match the sampling or dependence structure?</w:t>
      </w:r>
    </w:p>
    <w:p>
      <w:pPr>
        <w:pStyle w:val="ListBullet"/>
      </w:pPr>
      <w:r>
        <w:t>Would the result survive reasonable alternative specifications?</w:t>
      </w:r>
    </w:p>
    <w:p>
      <w:pPr>
        <w:pStyle w:val="ListBullet"/>
      </w:pPr>
      <w:r>
        <w:t>Is the task predictive, descriptive, or causal?</w:t>
      </w:r>
    </w:p>
    <w:tbl>
      <w:tblPr>
        <w:tblW w:type="auto" w:w="0"/>
        <w:jc w:val="center"/>
        <w:tblLook w:firstColumn="1" w:firstRow="1" w:lastColumn="0" w:lastRow="0" w:noHBand="0" w:noVBand="1" w:val="04A0"/>
      </w:tblPr>
      <w:tblGrid>
        <w:gridCol w:w="10080"/>
      </w:tblGrid>
      <w:tr>
        <w:tc>
          <w:tcPr>
            <w:tcW w:type="dxa" w:w="10080"/>
          </w:tcPr>
          <w:p>
            <w:r/>
            <w:r>
              <w:rPr>
                <w:b/>
              </w:rPr>
              <w:t xml:space="preserve">Causal caution: </w:t>
            </w:r>
            <w:r>
              <w:t>High predictive accuracy, feature importance, or a small p-value does not by itself identify a causal effect. Causal language requires a defensible identification strategy.</w:t>
            </w:r>
          </w:p>
        </w:tc>
        <w:trPr>
          <w:tblHeader/>
        </w:trPr>
      </w:tr>
    </w:tbl>
    <w:tbl>
      <w:tblPr>
        <w:tblW w:type="auto" w:w="0"/>
        <w:jc w:val="center"/>
        <w:tblLook w:firstColumn="1" w:firstRow="1" w:lastColumn="0" w:lastRow="0" w:noHBand="0" w:noVBand="1" w:val="04A0"/>
      </w:tblPr>
      <w:tblGrid>
        <w:gridCol w:w="10080"/>
      </w:tblGrid>
      <w:tr>
        <w:tc>
          <w:tcPr>
            <w:tcW w:type="dxa" w:w="10080"/>
          </w:tcPr>
          <w:p>
            <w:r/>
            <w:r>
              <w:rPr>
                <w:b/>
              </w:rPr>
              <w:t xml:space="preserve">Ceteris LAB Tip: </w:t>
            </w:r>
            <w:r>
              <w:t>Write the research question and estimand in words before opening Python. If you cannot state what quantity you want to learn, adding packages will not rescue the analysis.</w:t>
            </w:r>
          </w:p>
        </w:tc>
        <w:trPr>
          <w:tblHeader/>
        </w:trPr>
      </w:tr>
    </w:tbl>
    <w:tbl>
      <w:tblPr>
        <w:tblW w:type="auto" w:w="0"/>
        <w:jc w:val="center"/>
        <w:tblLook w:firstColumn="1" w:firstRow="1" w:lastColumn="0" w:lastRow="0" w:noHBand="0" w:noVBand="1" w:val="04A0"/>
      </w:tblPr>
      <w:tblGrid>
        <w:gridCol w:w="10080"/>
      </w:tblGrid>
      <w:tr>
        <w:tc>
          <w:tcPr>
            <w:tcW w:type="dxa" w:w="10080"/>
          </w:tcPr>
          <w:p>
            <w:r/>
            <w:r>
              <w:rPr>
                <w:b/>
              </w:rPr>
              <w:t xml:space="preserve">Common mistake: </w:t>
            </w:r>
            <w:r>
              <w:t>Treating a software default as an econometric assumption. Defaults are conveniences; assumptions must be chosen and defended.</w:t>
            </w:r>
          </w:p>
        </w:tc>
        <w:trPr>
          <w:tblHeader/>
        </w:trPr>
      </w:tr>
    </w:tbl>
    <w:p>
      <w:pPr>
        <w:pStyle w:val="Heading2"/>
      </w:pPr>
      <w:r>
        <w:t>21.8 Guided practice</w:t>
      </w:r>
    </w:p>
    <w:p>
      <w:r>
        <w:t>Modify the notebook so that one assumption is deliberately violated. Re-estimate the model, compare the result, and explain why the estimate changed. This turns diagnostics from a checklist into an experiment.</w:t>
      </w:r>
    </w:p>
    <w:p>
      <w:pPr>
        <w:pStyle w:val="Heading2"/>
      </w:pPr>
      <w:r>
        <w:t>21.9 Exercises</w:t>
      </w:r>
    </w:p>
    <w:p>
      <w:pPr>
        <w:pStyle w:val="ListNumber"/>
      </w:pPr>
      <w:r>
        <w:t>Concept: In one paragraph, distinguish association, prediction, and causation for the chapter topic.</w:t>
      </w:r>
    </w:p>
    <w:p>
      <w:pPr>
        <w:pStyle w:val="ListNumber"/>
      </w:pPr>
      <w:r>
        <w:t>Python: Reproduce the demonstration with a different documented random seed and verify that the qualitative conclusion is stable.</w:t>
      </w:r>
    </w:p>
    <w:p>
      <w:pPr>
        <w:pStyle w:val="ListNumber"/>
      </w:pPr>
      <w:r>
        <w:t>Applied econometrics: Replace the simulated outcome with a legally shareable economic variable and document its units, source, and sample.</w:t>
      </w:r>
    </w:p>
    <w:p>
      <w:pPr>
        <w:pStyle w:val="ListNumber"/>
      </w:pPr>
      <w:r>
        <w:t>Interpretation: Write a 150-word results paragraph that reports magnitude and uncertainty without exaggerating the evidence.</w:t>
      </w:r>
    </w:p>
    <w:p>
      <w:pPr>
        <w:pStyle w:val="ListNumber"/>
      </w:pPr>
      <w:r>
        <w:t>Research challenge: Propose one alternative design or robustness check that would address the most important threat to validity.</w:t>
      </w:r>
    </w:p>
    <w:p>
      <w:pPr>
        <w:pStyle w:val="Heading2"/>
      </w:pPr>
      <w:r>
        <w:t>21.10 Chapter summary</w:t>
      </w:r>
    </w:p>
    <w:p>
      <w:r>
        <w:t>Inference, Robust Standard Errors, and Diagnostics is most useful when the economic question, statistical target, assumptions, code, and interpretation point in the same direction. Python makes the workflow reproducible; econometric reasoning determines what the output can mean.</w:t>
      </w:r>
    </w:p>
    <w:p>
      <w:pPr>
        <w:pStyle w:val="Heading2"/>
      </w:pPr>
      <w:r>
        <w:t>21.11 Key Python tools</w:t>
      </w:r>
    </w:p>
    <w:p>
      <w:r>
        <w:t>Core tools used across these chapters include NumPy for simulation, pandas for data structures, statsmodels for statistical inference, scikit-learn for predictive modeling, and Matplotlib for transparent visual diagnostics. Use the simplest maintained tool that answers the question.</w:t>
      </w:r>
    </w:p>
    <w:p>
      <w:r>
        <w:br w:type="page"/>
      </w:r>
    </w:p>
    <w:p>
      <w:pPr>
        <w:pStyle w:val="Heading1"/>
      </w:pPr>
      <w:r>
        <w:t>22</w:t>
        <w:tab/>
        <w:t>Omitted Variables, Measurement Error, Simultaneity, and Endogeneity</w:t>
      </w:r>
    </w:p>
    <w:p>
      <w:pPr>
        <w:pStyle w:val="Subtitle"/>
      </w:pPr>
      <w:r>
        <w:t>Why can a beautifully estimated regression still answer the wrong question?</w:t>
      </w:r>
    </w:p>
    <w:p>
      <w:pPr>
        <w:pStyle w:val="Heading2"/>
      </w:pPr>
      <w:r>
        <w:t>22.1 Learning objectives</w:t>
      </w:r>
    </w:p>
    <w:p>
      <w:pPr>
        <w:pStyle w:val="ListBullet"/>
      </w:pPr>
      <w:r>
        <w:t>Explain and apply omitted-variable bias.</w:t>
      </w:r>
    </w:p>
    <w:p>
      <w:pPr>
        <w:pStyle w:val="ListBullet"/>
      </w:pPr>
      <w:r>
        <w:t>Explain and apply bad controls.</w:t>
      </w:r>
    </w:p>
    <w:p>
      <w:pPr>
        <w:pStyle w:val="ListBullet"/>
      </w:pPr>
      <w:r>
        <w:t>Explain and apply measurement error.</w:t>
      </w:r>
    </w:p>
    <w:p>
      <w:pPr>
        <w:pStyle w:val="ListBullet"/>
      </w:pPr>
      <w:r>
        <w:t>Explain and apply reverse causality.</w:t>
      </w:r>
    </w:p>
    <w:p>
      <w:pPr>
        <w:pStyle w:val="ListBullet"/>
      </w:pPr>
      <w:r>
        <w:t>Explain and apply simultaneity.</w:t>
      </w:r>
    </w:p>
    <w:p>
      <w:pPr>
        <w:pStyle w:val="ListBullet"/>
      </w:pPr>
      <w:r>
        <w:t>Explain and apply selection.</w:t>
      </w:r>
    </w:p>
    <w:p>
      <w:pPr>
        <w:pStyle w:val="ListBullet"/>
      </w:pPr>
      <w:r>
        <w:t>Explain and apply endogeneity.</w:t>
      </w:r>
    </w:p>
    <w:p>
      <w:pPr>
        <w:pStyle w:val="ListBullet"/>
      </w:pPr>
      <w:r>
        <w:t>Explain and apply why adding more controls is not a universal cure.</w:t>
      </w:r>
    </w:p>
    <w:tbl>
      <w:tblPr>
        <w:tblW w:type="auto" w:w="0"/>
        <w:jc w:val="center"/>
        <w:tblLook w:firstColumn="1" w:firstRow="1" w:lastColumn="0" w:lastRow="0" w:noHBand="0" w:noVBand="1" w:val="04A0"/>
      </w:tblPr>
      <w:tblGrid>
        <w:gridCol w:w="10080"/>
      </w:tblGrid>
      <w:tr>
        <w:tc>
          <w:tcPr>
            <w:tcW w:type="dxa" w:w="10080"/>
          </w:tcPr>
          <w:p>
            <w:r/>
            <w:r>
              <w:rPr>
                <w:b/>
              </w:rPr>
              <w:t xml:space="preserve">Concept in one sentence: </w:t>
            </w:r>
            <w:r>
              <w:t>Endogeneity means the regressor is statistically connected to the structural error, threatening causal interpretation.</w:t>
            </w:r>
          </w:p>
        </w:tc>
        <w:trPr>
          <w:tblHeader/>
        </w:trPr>
      </w:tr>
    </w:tbl>
    <w:p>
      <w:pPr>
        <w:pStyle w:val="Heading2"/>
      </w:pPr>
      <w:r>
        <w:t>22.2 Economic intuition</w:t>
      </w:r>
    </w:p>
    <w:p>
      <w:r>
        <w:t>This chapter begins from the economic question rather than from software syntax. The goal is to understand what information the data can legitimately provide about omitted variables, measurement error, simultaneity, and endogeneity. Python is used as a transparent laboratory: we state the question, define the target, inspect the data, estimate the model, and then challenge the result.</w:t>
      </w:r>
    </w:p>
    <w:p>
      <w:r>
        <w:t>A recurring distinction in econometrics is the difference between describing a pattern, predicting an outcome, and estimating a causal effect. These goals can use similar equations but require different assumptions. A model may forecast well while offering little causal interpretation, and a credible causal design may deliberately use a simple estimator because identification comes from the research design rather than algorithmic complexity.</w:t>
      </w:r>
    </w:p>
    <w:p>
      <w:r>
        <w:t>Throughout the chapter, pay attention to units, timing, sample construction, and the information set available to the analyst. Economic data are produced by institutions, markets, households, and firms. They are not abstract arrays. A good empirical workflow therefore combines statistical discipline with substantive economic reasoning.</w:t>
      </w:r>
    </w:p>
    <w:p>
      <w:pPr>
        <w:pStyle w:val="Heading2"/>
      </w:pPr>
      <w:r>
        <w:t>22.3 A small numerical example</w:t>
      </w:r>
    </w:p>
    <w:p>
      <w:r>
        <w:t>Start with a tiny hypothetical sample that can be checked by hand. Write the unit of observation, outcome, explanatory variable or treatment, and the comparison being made. Before estimating anything, ask what would make the comparison informative and what could make it misleading.</w:t>
      </w:r>
    </w:p>
    <w:tbl>
      <w:tblPr>
        <w:tblStyle w:val="TableGrid"/>
        <w:tblW w:type="auto" w:w="0"/>
        <w:jc w:val="center"/>
        <w:tblLook w:firstColumn="1" w:firstRow="1" w:lastColumn="0" w:lastRow="0" w:noHBand="0" w:noVBand="1" w:val="04A0"/>
      </w:tblPr>
      <w:tblGrid>
        <w:gridCol w:w="2520"/>
        <w:gridCol w:w="2520"/>
        <w:gridCol w:w="2520"/>
        <w:gridCol w:w="2520"/>
      </w:tblGrid>
      <w:tr>
        <w:tc>
          <w:tcPr>
            <w:tcW w:type="dxa" w:w="2520"/>
          </w:tcPr>
          <w:p>
            <w:r>
              <w:t>Observation</w:t>
            </w:r>
          </w:p>
        </w:tc>
        <w:tc>
          <w:tcPr>
            <w:tcW w:type="dxa" w:w="2520"/>
          </w:tcPr>
          <w:p>
            <w:r>
              <w:t>X / Treatment</w:t>
            </w:r>
          </w:p>
        </w:tc>
        <w:tc>
          <w:tcPr>
            <w:tcW w:type="dxa" w:w="2520"/>
          </w:tcPr>
          <w:p>
            <w:r>
              <w:t>Outcome Y</w:t>
            </w:r>
          </w:p>
        </w:tc>
        <w:tc>
          <w:tcPr>
            <w:tcW w:type="dxa" w:w="2520"/>
          </w:tcPr>
          <w:p>
            <w:r>
              <w:t>Interpretive note</w:t>
            </w:r>
          </w:p>
        </w:tc>
        <w:trPr>
          <w:tblHeader/>
        </w:trPr>
      </w:tr>
      <w:tr>
        <w:tc>
          <w:tcPr>
            <w:tcW w:type="dxa" w:w="2520"/>
          </w:tcPr>
          <w:p>
            <w:r>
              <w:t>1</w:t>
            </w:r>
          </w:p>
        </w:tc>
        <w:tc>
          <w:tcPr>
            <w:tcW w:type="dxa" w:w="2520"/>
          </w:tcPr>
          <w:p>
            <w:r>
              <w:t>0</w:t>
            </w:r>
          </w:p>
        </w:tc>
        <w:tc>
          <w:tcPr>
            <w:tcW w:type="dxa" w:w="2520"/>
          </w:tcPr>
          <w:p>
            <w:r>
              <w:t>10</w:t>
            </w:r>
          </w:p>
        </w:tc>
        <w:tc>
          <w:tcPr>
            <w:tcW w:type="dxa" w:w="2520"/>
          </w:tcPr>
          <w:p>
            <w:r>
              <w:t>baseline</w:t>
            </w:r>
          </w:p>
        </w:tc>
      </w:tr>
      <w:tr>
        <w:tc>
          <w:tcPr>
            <w:tcW w:type="dxa" w:w="2520"/>
          </w:tcPr>
          <w:p>
            <w:r>
              <w:t>2</w:t>
            </w:r>
          </w:p>
        </w:tc>
        <w:tc>
          <w:tcPr>
            <w:tcW w:type="dxa" w:w="2520"/>
          </w:tcPr>
          <w:p>
            <w:r>
              <w:t>0</w:t>
            </w:r>
          </w:p>
        </w:tc>
        <w:tc>
          <w:tcPr>
            <w:tcW w:type="dxa" w:w="2520"/>
          </w:tcPr>
          <w:p>
            <w:r>
              <w:t>12</w:t>
            </w:r>
          </w:p>
        </w:tc>
        <w:tc>
          <w:tcPr>
            <w:tcW w:type="dxa" w:w="2520"/>
          </w:tcPr>
          <w:p>
            <w:r>
              <w:t>comparison</w:t>
            </w:r>
          </w:p>
        </w:tc>
      </w:tr>
      <w:tr>
        <w:tc>
          <w:tcPr>
            <w:tcW w:type="dxa" w:w="2520"/>
          </w:tcPr>
          <w:p>
            <w:r>
              <w:t>3</w:t>
            </w:r>
          </w:p>
        </w:tc>
        <w:tc>
          <w:tcPr>
            <w:tcW w:type="dxa" w:w="2520"/>
          </w:tcPr>
          <w:p>
            <w:r>
              <w:t>1</w:t>
            </w:r>
          </w:p>
        </w:tc>
        <w:tc>
          <w:tcPr>
            <w:tcW w:type="dxa" w:w="2520"/>
          </w:tcPr>
          <w:p>
            <w:r>
              <w:t>15</w:t>
            </w:r>
          </w:p>
        </w:tc>
        <w:tc>
          <w:tcPr>
            <w:tcW w:type="dxa" w:w="2520"/>
          </w:tcPr>
          <w:p>
            <w:r>
              <w:t>exposed</w:t>
            </w:r>
          </w:p>
        </w:tc>
      </w:tr>
      <w:tr>
        <w:tc>
          <w:tcPr>
            <w:tcW w:type="dxa" w:w="2520"/>
          </w:tcPr>
          <w:p>
            <w:r>
              <w:t>4</w:t>
            </w:r>
          </w:p>
        </w:tc>
        <w:tc>
          <w:tcPr>
            <w:tcW w:type="dxa" w:w="2520"/>
          </w:tcPr>
          <w:p>
            <w:r>
              <w:t>1</w:t>
            </w:r>
          </w:p>
        </w:tc>
        <w:tc>
          <w:tcPr>
            <w:tcW w:type="dxa" w:w="2520"/>
          </w:tcPr>
          <w:p>
            <w:r>
              <w:t>17</w:t>
            </w:r>
          </w:p>
        </w:tc>
        <w:tc>
          <w:tcPr>
            <w:tcW w:type="dxa" w:w="2520"/>
          </w:tcPr>
          <w:p>
            <w:r>
              <w:t>exposed</w:t>
            </w:r>
          </w:p>
        </w:tc>
      </w:tr>
    </w:tbl>
    <w:p>
      <w:r>
        <w:t>The difference in group averages is easy to compute, but whether it is a causal effect depends on how exposure was assigned and whether the groups are otherwise comparable. This distinction is the heartbeat of modern applied econometrics.</w:t>
      </w:r>
    </w:p>
    <w:p>
      <w:pPr>
        <w:pStyle w:val="Heading2"/>
      </w:pPr>
      <w:r>
        <w:t>22.4 Formal framework</w:t>
      </w:r>
    </w:p>
    <w:p>
      <w:r>
        <w:t>Write the empirical model in a form that makes the target explicit. A generic conditional-mean representation is</w:t>
      </w:r>
    </w:p>
    <w:p>
      <w:pPr>
        <w:jc w:val="center"/>
      </w:pPr>
      <w:r>
        <w:t>E[Y | X] = m(X),     or in a linear approximation,     Y_i = β₀ + β₁X_i + u_i.</w:t>
      </w:r>
    </w:p>
    <w:p>
      <w:r>
        <w:t>Here Y is the outcome, X denotes observed information, β parameters summarize the chosen model, and u collects other determinants of the outcome. The crucial question is not only whether β can be estimated, but what β means under the design and assumptions.</w:t>
      </w:r>
    </w:p>
    <w:p>
      <w:pPr>
        <w:pStyle w:val="Heading2"/>
      </w:pPr>
      <w:r>
        <w:t>22.5 Python demonstration</w:t>
      </w:r>
    </w:p>
    <w:p>
      <w:pPr>
        <w:spacing w:after="0"/>
        <w:ind w:left="360"/>
      </w:pPr>
      <w:r>
        <w:rPr>
          <w:rFonts w:ascii="Liberation Mono" w:hAnsi="Liberation Mono"/>
          <w:sz w:val="17"/>
        </w:rPr>
        <w:t>import numpy as np, statsmodels.api as sm</w:t>
      </w:r>
    </w:p>
    <w:p>
      <w:pPr>
        <w:spacing w:after="0"/>
        <w:ind w:left="360"/>
      </w:pPr>
      <w:r>
        <w:rPr>
          <w:rFonts w:ascii="Liberation Mono" w:hAnsi="Liberation Mono"/>
          <w:sz w:val="17"/>
        </w:rPr>
        <w:t>rng=np.random.default_rng(22)</w:t>
      </w:r>
    </w:p>
    <w:p>
      <w:pPr>
        <w:spacing w:after="0"/>
        <w:ind w:left="360"/>
      </w:pPr>
      <w:r>
        <w:rPr>
          <w:rFonts w:ascii="Liberation Mono" w:hAnsi="Liberation Mono"/>
          <w:sz w:val="17"/>
        </w:rPr>
        <w:t>z=rng.normal(size=400); v=rng.normal(size=400)</w:t>
      </w:r>
    </w:p>
    <w:p>
      <w:pPr>
        <w:spacing w:after="0"/>
        <w:ind w:left="360"/>
      </w:pPr>
      <w:r>
        <w:rPr>
          <w:rFonts w:ascii="Liberation Mono" w:hAnsi="Liberation Mono"/>
          <w:sz w:val="17"/>
        </w:rPr>
        <w:t>x=.8*z+v; e=.7*v+rng.normal(size=400); y=1+1.5*x+e</w:t>
      </w:r>
    </w:p>
    <w:p>
      <w:pPr>
        <w:spacing w:after="0"/>
        <w:ind w:left="360"/>
      </w:pPr>
      <w:r>
        <w:rPr>
          <w:rFonts w:ascii="Liberation Mono" w:hAnsi="Liberation Mono"/>
          <w:sz w:val="17"/>
        </w:rPr>
        <w:t>print(sm.OLS(y,sm.add_constant(x)).fit().params)</w:t>
      </w:r>
    </w:p>
    <w:p>
      <w:r>
        <w:t>Run the code in a clean notebook and inspect both the numerical output and the data-generating assumptions. The associated notebook in the student package reproduces the example with a fixed random seed.</w:t>
      </w:r>
    </w:p>
    <w:p>
      <w:r>
        <w:drawing>
          <wp:inline>
            <wp:extent cx="5669280" cy="3186684"/>
            <wp:docPr id="6" name="Picture 6" descr="Image: image7.png"/>
            <wp:cNvGraphicFramePr>
              <a:graphicFrameLocks noChangeAspect="1"/>
            </wp:cNvGraphicFramePr>
            <a:graphic>
              <a:graphicData uri="http://schemas.openxmlformats.org/drawingml/2006/picture">
                <pic:pic>
                  <pic:nvPicPr>
                    <pic:cNvPr id="0" name="ch22_endogeneity.png"/>
                    <pic:cNvPicPr/>
                  </pic:nvPicPr>
                  <pic:blipFill>
                    <a:blip r:embed="rId22"/>
                    <a:stretch>
                      <a:fillRect/>
                    </a:stretch>
                  </pic:blipFill>
                  <pic:spPr>
                    <a:xfrm>
                      <a:off x="0" y="0"/>
                      <a:ext cx="5669280" cy="3186684"/>
                    </a:xfrm>
                    <a:prstGeom prst="rect"/>
                  </pic:spPr>
                </pic:pic>
              </a:graphicData>
            </a:graphic>
          </wp:inline>
        </w:drawing>
      </w:r>
    </w:p>
    <w:p>
      <w:pPr>
        <w:jc w:val="center"/>
      </w:pPr>
      <w:r>
        <w:t>Figure 22.1. Why can a beautifully estimated regression still answer the wrong question?</w:t>
      </w:r>
    </w:p>
    <w:p>
      <w:pPr>
        <w:pStyle w:val="Heading2"/>
      </w:pPr>
      <w:r>
        <w:t>22.6 Interpretation</w:t>
      </w:r>
    </w:p>
    <w:p>
      <w:r>
        <w:t>Interpret results in the units of the variables. Report sign, magnitude, uncertainty, and the population or time period to which the estimate applies. If a variable is logged, categorical, interacted, standardized, or transformed, translate the coefficient accordingly rather than reading it as a raw one-unit effect.</w:t>
      </w:r>
    </w:p>
    <w:p>
      <w:r>
        <w:t>Then separate statistical significance from economic significance. A precise estimate may be too small to matter economically; an economically important estimate may be imprecise. Both dimensions belong in the conclusion.</w:t>
      </w:r>
    </w:p>
    <w:p>
      <w:pPr>
        <w:pStyle w:val="Heading2"/>
      </w:pPr>
      <w:r>
        <w:t>22.7 Assumptions, diagnostics, and threats to validity</w:t>
      </w:r>
    </w:p>
    <w:p>
      <w:pPr>
        <w:pStyle w:val="ListBullet"/>
      </w:pPr>
      <w:r>
        <w:t>Is the unit of observation appropriate for the question?</w:t>
      </w:r>
    </w:p>
    <w:p>
      <w:pPr>
        <w:pStyle w:val="ListBullet"/>
      </w:pPr>
      <w:r>
        <w:t>Are timing and information sets respected?</w:t>
      </w:r>
    </w:p>
    <w:p>
      <w:pPr>
        <w:pStyle w:val="ListBullet"/>
      </w:pPr>
      <w:r>
        <w:t>Could selection, confounding, measurement error, or reverse causality matter?</w:t>
      </w:r>
    </w:p>
    <w:p>
      <w:pPr>
        <w:pStyle w:val="ListBullet"/>
      </w:pPr>
      <w:r>
        <w:t>Does the uncertainty estimator match the sampling or dependence structure?</w:t>
      </w:r>
    </w:p>
    <w:p>
      <w:pPr>
        <w:pStyle w:val="ListBullet"/>
      </w:pPr>
      <w:r>
        <w:t>Would the result survive reasonable alternative specifications?</w:t>
      </w:r>
    </w:p>
    <w:p>
      <w:pPr>
        <w:pStyle w:val="ListBullet"/>
      </w:pPr>
      <w:r>
        <w:t>Is the task predictive, descriptive, or causal?</w:t>
      </w:r>
    </w:p>
    <w:tbl>
      <w:tblPr>
        <w:tblW w:type="auto" w:w="0"/>
        <w:jc w:val="center"/>
        <w:tblLook w:firstColumn="1" w:firstRow="1" w:lastColumn="0" w:lastRow="0" w:noHBand="0" w:noVBand="1" w:val="04A0"/>
      </w:tblPr>
      <w:tblGrid>
        <w:gridCol w:w="10080"/>
      </w:tblGrid>
      <w:tr>
        <w:tc>
          <w:tcPr>
            <w:tcW w:type="dxa" w:w="10080"/>
          </w:tcPr>
          <w:p>
            <w:r/>
            <w:r>
              <w:rPr>
                <w:b/>
              </w:rPr>
              <w:t xml:space="preserve">Causal caution: </w:t>
            </w:r>
            <w:r>
              <w:t>High predictive accuracy, feature importance, or a small p-value does not by itself identify a causal effect. Causal language requires a defensible identification strategy.</w:t>
            </w:r>
          </w:p>
        </w:tc>
        <w:trPr>
          <w:tblHeader/>
        </w:trPr>
      </w:tr>
    </w:tbl>
    <w:tbl>
      <w:tblPr>
        <w:tblW w:type="auto" w:w="0"/>
        <w:jc w:val="center"/>
        <w:tblLook w:firstColumn="1" w:firstRow="1" w:lastColumn="0" w:lastRow="0" w:noHBand="0" w:noVBand="1" w:val="04A0"/>
      </w:tblPr>
      <w:tblGrid>
        <w:gridCol w:w="10080"/>
      </w:tblGrid>
      <w:tr>
        <w:tc>
          <w:tcPr>
            <w:tcW w:type="dxa" w:w="10080"/>
          </w:tcPr>
          <w:p>
            <w:r/>
            <w:r>
              <w:rPr>
                <w:b/>
              </w:rPr>
              <w:t xml:space="preserve">Ceteris LAB Tip: </w:t>
            </w:r>
            <w:r>
              <w:t>Write the research question and estimand in words before opening Python. If you cannot state what quantity you want to learn, adding packages will not rescue the analysis.</w:t>
            </w:r>
          </w:p>
        </w:tc>
        <w:trPr>
          <w:tblHeader/>
        </w:trPr>
      </w:tr>
    </w:tbl>
    <w:tbl>
      <w:tblPr>
        <w:tblW w:type="auto" w:w="0"/>
        <w:jc w:val="center"/>
        <w:tblLook w:firstColumn="1" w:firstRow="1" w:lastColumn="0" w:lastRow="0" w:noHBand="0" w:noVBand="1" w:val="04A0"/>
      </w:tblPr>
      <w:tblGrid>
        <w:gridCol w:w="10080"/>
      </w:tblGrid>
      <w:tr>
        <w:tc>
          <w:tcPr>
            <w:tcW w:type="dxa" w:w="10080"/>
          </w:tcPr>
          <w:p>
            <w:r/>
            <w:r>
              <w:rPr>
                <w:b/>
              </w:rPr>
              <w:t xml:space="preserve">Common mistake: </w:t>
            </w:r>
            <w:r>
              <w:t>Treating a software default as an econometric assumption. Defaults are conveniences; assumptions must be chosen and defended.</w:t>
            </w:r>
          </w:p>
        </w:tc>
        <w:trPr>
          <w:tblHeader/>
        </w:trPr>
      </w:tr>
    </w:tbl>
    <w:p>
      <w:pPr>
        <w:pStyle w:val="Heading2"/>
      </w:pPr>
      <w:r>
        <w:t>22.8 Guided practice</w:t>
      </w:r>
    </w:p>
    <w:p>
      <w:r>
        <w:t>Modify the notebook so that one assumption is deliberately violated. Re-estimate the model, compare the result, and explain why the estimate changed. This turns diagnostics from a checklist into an experiment.</w:t>
      </w:r>
    </w:p>
    <w:p>
      <w:pPr>
        <w:pStyle w:val="Heading2"/>
      </w:pPr>
      <w:r>
        <w:t>22.9 Exercises</w:t>
      </w:r>
    </w:p>
    <w:p>
      <w:pPr>
        <w:pStyle w:val="ListNumber"/>
      </w:pPr>
      <w:r>
        <w:t>Concept: In one paragraph, distinguish association, prediction, and causation for the chapter topic.</w:t>
      </w:r>
    </w:p>
    <w:p>
      <w:pPr>
        <w:pStyle w:val="ListNumber"/>
      </w:pPr>
      <w:r>
        <w:t>Python: Reproduce the demonstration with a different documented random seed and verify that the qualitative conclusion is stable.</w:t>
      </w:r>
    </w:p>
    <w:p>
      <w:pPr>
        <w:pStyle w:val="ListNumber"/>
      </w:pPr>
      <w:r>
        <w:t>Applied econometrics: Replace the simulated outcome with a legally shareable economic variable and document its units, source, and sample.</w:t>
      </w:r>
    </w:p>
    <w:p>
      <w:pPr>
        <w:pStyle w:val="ListNumber"/>
      </w:pPr>
      <w:r>
        <w:t>Interpretation: Write a 150-word results paragraph that reports magnitude and uncertainty without exaggerating the evidence.</w:t>
      </w:r>
    </w:p>
    <w:p>
      <w:pPr>
        <w:pStyle w:val="ListNumber"/>
      </w:pPr>
      <w:r>
        <w:t>Research challenge: Propose one alternative design or robustness check that would address the most important threat to validity.</w:t>
      </w:r>
    </w:p>
    <w:p>
      <w:pPr>
        <w:pStyle w:val="Heading2"/>
      </w:pPr>
      <w:r>
        <w:t>22.10 Chapter summary</w:t>
      </w:r>
    </w:p>
    <w:p>
      <w:r>
        <w:t>Omitted Variables, Measurement Error, Simultaneity, and Endogeneity is most useful when the economic question, statistical target, assumptions, code, and interpretation point in the same direction. Python makes the workflow reproducible; econometric reasoning determines what the output can mean.</w:t>
      </w:r>
    </w:p>
    <w:p>
      <w:pPr>
        <w:pStyle w:val="Heading2"/>
      </w:pPr>
      <w:r>
        <w:t>22.11 Key Python tools</w:t>
      </w:r>
    </w:p>
    <w:p>
      <w:r>
        <w:t>Core tools used across these chapters include NumPy for simulation, pandas for data structures, statsmodels for statistical inference, scikit-learn for predictive modeling, and Matplotlib for transparent visual diagnostics. Use the simplest maintained tool that answers the question.</w:t>
      </w:r>
    </w:p>
    <w:p>
      <w:r>
        <w:br w:type="page"/>
      </w:r>
    </w:p>
    <w:p>
      <w:pPr>
        <w:pStyle w:val="Heading1"/>
      </w:pPr>
      <w:r>
        <w:t>23</w:t>
        <w:tab/>
        <w:t>Instrumental Variables and Two-Stage Least Squares</w:t>
      </w:r>
    </w:p>
    <w:p>
      <w:pPr>
        <w:pStyle w:val="Subtitle"/>
      </w:pPr>
      <w:r>
        <w:t>Can we isolate useful variation in an endogenous explanatory variable?</w:t>
      </w:r>
    </w:p>
    <w:p>
      <w:pPr>
        <w:pStyle w:val="Heading2"/>
      </w:pPr>
      <w:r>
        <w:t>23.1 Learning objectives</w:t>
      </w:r>
    </w:p>
    <w:p>
      <w:pPr>
        <w:pStyle w:val="ListBullet"/>
      </w:pPr>
      <w:r>
        <w:t>Explain and apply instrument relevance.</w:t>
      </w:r>
    </w:p>
    <w:p>
      <w:pPr>
        <w:pStyle w:val="ListBullet"/>
      </w:pPr>
      <w:r>
        <w:t>Explain and apply exclusion restriction.</w:t>
      </w:r>
    </w:p>
    <w:p>
      <w:pPr>
        <w:pStyle w:val="ListBullet"/>
      </w:pPr>
      <w:r>
        <w:t>Explain and apply first stage.</w:t>
      </w:r>
    </w:p>
    <w:p>
      <w:pPr>
        <w:pStyle w:val="ListBullet"/>
      </w:pPr>
      <w:r>
        <w:t>Explain and apply reduced form.</w:t>
      </w:r>
    </w:p>
    <w:p>
      <w:pPr>
        <w:pStyle w:val="ListBullet"/>
      </w:pPr>
      <w:r>
        <w:t>Explain and apply 2SLS.</w:t>
      </w:r>
    </w:p>
    <w:p>
      <w:pPr>
        <w:pStyle w:val="ListBullet"/>
      </w:pPr>
      <w:r>
        <w:t>Explain and apply weak instruments.</w:t>
      </w:r>
    </w:p>
    <w:p>
      <w:pPr>
        <w:pStyle w:val="ListBullet"/>
      </w:pPr>
      <w:r>
        <w:t>Explain and apply local average treatment effects.</w:t>
      </w:r>
    </w:p>
    <w:p>
      <w:pPr>
        <w:pStyle w:val="ListBullet"/>
      </w:pPr>
      <w:r>
        <w:t>Explain and apply diagnostics and interpretation.</w:t>
      </w:r>
    </w:p>
    <w:tbl>
      <w:tblPr>
        <w:tblW w:type="auto" w:w="0"/>
        <w:jc w:val="center"/>
        <w:tblLook w:firstColumn="1" w:firstRow="1" w:lastColumn="0" w:lastRow="0" w:noHBand="0" w:noVBand="1" w:val="04A0"/>
      </w:tblPr>
      <w:tblGrid>
        <w:gridCol w:w="10080"/>
      </w:tblGrid>
      <w:tr>
        <w:tc>
          <w:tcPr>
            <w:tcW w:type="dxa" w:w="10080"/>
          </w:tcPr>
          <w:p>
            <w:r/>
            <w:r>
              <w:rPr>
                <w:b/>
              </w:rPr>
              <w:t xml:space="preserve">Concept in one sentence: </w:t>
            </w:r>
            <w:r>
              <w:t>An instrument is useful only if it moves the endogenous variable and affects the outcome through the permitted channel.</w:t>
            </w:r>
          </w:p>
        </w:tc>
        <w:trPr>
          <w:tblHeader/>
        </w:trPr>
      </w:tr>
    </w:tbl>
    <w:p>
      <w:pPr>
        <w:pStyle w:val="Heading2"/>
      </w:pPr>
      <w:r>
        <w:t>23.2 Economic intuition</w:t>
      </w:r>
    </w:p>
    <w:p>
      <w:r>
        <w:t>This chapter begins from the economic question rather than from software syntax. The goal is to understand what information the data can legitimately provide about instrumental variables and two-stage least squares. Python is used as a transparent laboratory: we state the question, define the target, inspect the data, estimate the model, and then challenge the result.</w:t>
      </w:r>
    </w:p>
    <w:p>
      <w:r>
        <w:t>A recurring distinction in econometrics is the difference between describing a pattern, predicting an outcome, and estimating a causal effect. These goals can use similar equations but require different assumptions. A model may forecast well while offering little causal interpretation, and a credible causal design may deliberately use a simple estimator because identification comes from the research design rather than algorithmic complexity.</w:t>
      </w:r>
    </w:p>
    <w:p>
      <w:r>
        <w:t>Throughout the chapter, pay attention to units, timing, sample construction, and the information set available to the analyst. Economic data are produced by institutions, markets, households, and firms. They are not abstract arrays. A good empirical workflow therefore combines statistical discipline with substantive economic reasoning.</w:t>
      </w:r>
    </w:p>
    <w:p>
      <w:pPr>
        <w:pStyle w:val="Heading2"/>
      </w:pPr>
      <w:r>
        <w:t>23.3 A small numerical example</w:t>
      </w:r>
    </w:p>
    <w:p>
      <w:r>
        <w:t>Start with a tiny hypothetical sample that can be checked by hand. Write the unit of observation, outcome, explanatory variable or treatment, and the comparison being made. Before estimating anything, ask what would make the comparison informative and what could make it misleading.</w:t>
      </w:r>
    </w:p>
    <w:tbl>
      <w:tblPr>
        <w:tblStyle w:val="TableGrid"/>
        <w:tblW w:type="auto" w:w="0"/>
        <w:jc w:val="center"/>
        <w:tblLook w:firstColumn="1" w:firstRow="1" w:lastColumn="0" w:lastRow="0" w:noHBand="0" w:noVBand="1" w:val="04A0"/>
      </w:tblPr>
      <w:tblGrid>
        <w:gridCol w:w="2520"/>
        <w:gridCol w:w="2520"/>
        <w:gridCol w:w="2520"/>
        <w:gridCol w:w="2520"/>
      </w:tblGrid>
      <w:tr>
        <w:tc>
          <w:tcPr>
            <w:tcW w:type="dxa" w:w="2520"/>
          </w:tcPr>
          <w:p>
            <w:r>
              <w:t>Observation</w:t>
            </w:r>
          </w:p>
        </w:tc>
        <w:tc>
          <w:tcPr>
            <w:tcW w:type="dxa" w:w="2520"/>
          </w:tcPr>
          <w:p>
            <w:r>
              <w:t>X / Treatment</w:t>
            </w:r>
          </w:p>
        </w:tc>
        <w:tc>
          <w:tcPr>
            <w:tcW w:type="dxa" w:w="2520"/>
          </w:tcPr>
          <w:p>
            <w:r>
              <w:t>Outcome Y</w:t>
            </w:r>
          </w:p>
        </w:tc>
        <w:tc>
          <w:tcPr>
            <w:tcW w:type="dxa" w:w="2520"/>
          </w:tcPr>
          <w:p>
            <w:r>
              <w:t>Interpretive note</w:t>
            </w:r>
          </w:p>
        </w:tc>
        <w:trPr>
          <w:tblHeader/>
        </w:trPr>
      </w:tr>
      <w:tr>
        <w:tc>
          <w:tcPr>
            <w:tcW w:type="dxa" w:w="2520"/>
          </w:tcPr>
          <w:p>
            <w:r>
              <w:t>1</w:t>
            </w:r>
          </w:p>
        </w:tc>
        <w:tc>
          <w:tcPr>
            <w:tcW w:type="dxa" w:w="2520"/>
          </w:tcPr>
          <w:p>
            <w:r>
              <w:t>0</w:t>
            </w:r>
          </w:p>
        </w:tc>
        <w:tc>
          <w:tcPr>
            <w:tcW w:type="dxa" w:w="2520"/>
          </w:tcPr>
          <w:p>
            <w:r>
              <w:t>10</w:t>
            </w:r>
          </w:p>
        </w:tc>
        <w:tc>
          <w:tcPr>
            <w:tcW w:type="dxa" w:w="2520"/>
          </w:tcPr>
          <w:p>
            <w:r>
              <w:t>baseline</w:t>
            </w:r>
          </w:p>
        </w:tc>
      </w:tr>
      <w:tr>
        <w:tc>
          <w:tcPr>
            <w:tcW w:type="dxa" w:w="2520"/>
          </w:tcPr>
          <w:p>
            <w:r>
              <w:t>2</w:t>
            </w:r>
          </w:p>
        </w:tc>
        <w:tc>
          <w:tcPr>
            <w:tcW w:type="dxa" w:w="2520"/>
          </w:tcPr>
          <w:p>
            <w:r>
              <w:t>0</w:t>
            </w:r>
          </w:p>
        </w:tc>
        <w:tc>
          <w:tcPr>
            <w:tcW w:type="dxa" w:w="2520"/>
          </w:tcPr>
          <w:p>
            <w:r>
              <w:t>12</w:t>
            </w:r>
          </w:p>
        </w:tc>
        <w:tc>
          <w:tcPr>
            <w:tcW w:type="dxa" w:w="2520"/>
          </w:tcPr>
          <w:p>
            <w:r>
              <w:t>comparison</w:t>
            </w:r>
          </w:p>
        </w:tc>
      </w:tr>
      <w:tr>
        <w:tc>
          <w:tcPr>
            <w:tcW w:type="dxa" w:w="2520"/>
          </w:tcPr>
          <w:p>
            <w:r>
              <w:t>3</w:t>
            </w:r>
          </w:p>
        </w:tc>
        <w:tc>
          <w:tcPr>
            <w:tcW w:type="dxa" w:w="2520"/>
          </w:tcPr>
          <w:p>
            <w:r>
              <w:t>1</w:t>
            </w:r>
          </w:p>
        </w:tc>
        <w:tc>
          <w:tcPr>
            <w:tcW w:type="dxa" w:w="2520"/>
          </w:tcPr>
          <w:p>
            <w:r>
              <w:t>15</w:t>
            </w:r>
          </w:p>
        </w:tc>
        <w:tc>
          <w:tcPr>
            <w:tcW w:type="dxa" w:w="2520"/>
          </w:tcPr>
          <w:p>
            <w:r>
              <w:t>exposed</w:t>
            </w:r>
          </w:p>
        </w:tc>
      </w:tr>
      <w:tr>
        <w:tc>
          <w:tcPr>
            <w:tcW w:type="dxa" w:w="2520"/>
          </w:tcPr>
          <w:p>
            <w:r>
              <w:t>4</w:t>
            </w:r>
          </w:p>
        </w:tc>
        <w:tc>
          <w:tcPr>
            <w:tcW w:type="dxa" w:w="2520"/>
          </w:tcPr>
          <w:p>
            <w:r>
              <w:t>1</w:t>
            </w:r>
          </w:p>
        </w:tc>
        <w:tc>
          <w:tcPr>
            <w:tcW w:type="dxa" w:w="2520"/>
          </w:tcPr>
          <w:p>
            <w:r>
              <w:t>17</w:t>
            </w:r>
          </w:p>
        </w:tc>
        <w:tc>
          <w:tcPr>
            <w:tcW w:type="dxa" w:w="2520"/>
          </w:tcPr>
          <w:p>
            <w:r>
              <w:t>exposed</w:t>
            </w:r>
          </w:p>
        </w:tc>
      </w:tr>
    </w:tbl>
    <w:p>
      <w:r>
        <w:t>The difference in group averages is easy to compute, but whether it is a causal effect depends on how exposure was assigned and whether the groups are otherwise comparable. This distinction is the heartbeat of modern applied econometrics.</w:t>
      </w:r>
    </w:p>
    <w:p>
      <w:pPr>
        <w:pStyle w:val="Heading2"/>
      </w:pPr>
      <w:r>
        <w:t>23.4 Formal framework</w:t>
      </w:r>
    </w:p>
    <w:p>
      <w:r>
        <w:t>Write the empirical model in a form that makes the target explicit. A generic conditional-mean representation is</w:t>
      </w:r>
    </w:p>
    <w:p>
      <w:pPr>
        <w:jc w:val="center"/>
      </w:pPr>
      <w:r>
        <w:t>E[Y | X] = m(X),     or in a linear approximation,     Y_i = β₀ + β₁X_i + u_i.</w:t>
      </w:r>
    </w:p>
    <w:p>
      <w:r>
        <w:t>Here Y is the outcome, X denotes observed information, β parameters summarize the chosen model, and u collects other determinants of the outcome. The crucial question is not only whether β can be estimated, but what β means under the design and assumptions.</w:t>
      </w:r>
    </w:p>
    <w:p>
      <w:pPr>
        <w:pStyle w:val="Heading2"/>
      </w:pPr>
      <w:r>
        <w:t>23.5 Python demonstration</w:t>
      </w:r>
    </w:p>
    <w:p>
      <w:pPr>
        <w:spacing w:after="0"/>
        <w:ind w:left="360"/>
      </w:pPr>
      <w:r>
        <w:rPr>
          <w:rFonts w:ascii="Liberation Mono" w:hAnsi="Liberation Mono"/>
          <w:sz w:val="17"/>
        </w:rPr>
        <w:t>import numpy as np, statsmodels.api as sm</w:t>
      </w:r>
    </w:p>
    <w:p>
      <w:pPr>
        <w:spacing w:after="0"/>
        <w:ind w:left="360"/>
      </w:pPr>
      <w:r>
        <w:rPr>
          <w:rFonts w:ascii="Liberation Mono" w:hAnsi="Liberation Mono"/>
          <w:sz w:val="17"/>
        </w:rPr>
        <w:t>rng=np.random.default_rng(23)</w:t>
      </w:r>
    </w:p>
    <w:p>
      <w:pPr>
        <w:spacing w:after="0"/>
        <w:ind w:left="360"/>
      </w:pPr>
      <w:r>
        <w:rPr>
          <w:rFonts w:ascii="Liberation Mono" w:hAnsi="Liberation Mono"/>
          <w:sz w:val="17"/>
        </w:rPr>
        <w:t>z=rng.normal(size=500); u=rng.normal(size=500); x=.9*z+u</w:t>
      </w:r>
    </w:p>
    <w:p>
      <w:pPr>
        <w:spacing w:after="0"/>
        <w:ind w:left="360"/>
      </w:pPr>
      <w:r>
        <w:rPr>
          <w:rFonts w:ascii="Liberation Mono" w:hAnsi="Liberation Mono"/>
          <w:sz w:val="17"/>
        </w:rPr>
        <w:t>e=.7*u+rng.normal(size=500); y=1+2*x+e</w:t>
      </w:r>
    </w:p>
    <w:p>
      <w:pPr>
        <w:spacing w:after="0"/>
        <w:ind w:left="360"/>
      </w:pPr>
      <w:r>
        <w:rPr>
          <w:rFonts w:ascii="Liberation Mono" w:hAnsi="Liberation Mono"/>
          <w:sz w:val="17"/>
        </w:rPr>
        <w:t>first=sm.OLS(x,sm.add_constant(z)).fit(); xhat=first.fittedvalues</w:t>
      </w:r>
    </w:p>
    <w:p>
      <w:pPr>
        <w:spacing w:after="0"/>
        <w:ind w:left="360"/>
      </w:pPr>
      <w:r>
        <w:rPr>
          <w:rFonts w:ascii="Liberation Mono" w:hAnsi="Liberation Mono"/>
          <w:sz w:val="17"/>
        </w:rPr>
        <w:t>second=sm.OLS(y,sm.add_constant(xhat)).fit()</w:t>
      </w:r>
    </w:p>
    <w:p>
      <w:pPr>
        <w:spacing w:after="0"/>
        <w:ind w:left="360"/>
      </w:pPr>
      <w:r>
        <w:rPr>
          <w:rFonts w:ascii="Liberation Mono" w:hAnsi="Liberation Mono"/>
          <w:sz w:val="17"/>
        </w:rPr>
        <w:t>print('first-stage slope',first.params[1]); print('educational 2SLS slope',second.params[1])</w:t>
      </w:r>
    </w:p>
    <w:p>
      <w:r>
        <w:t>Run the code in a clean notebook and inspect both the numerical output and the data-generating assumptions. The associated notebook in the student package reproduces the example with a fixed random seed.</w:t>
      </w:r>
    </w:p>
    <w:p>
      <w:r>
        <w:drawing>
          <wp:inline>
            <wp:extent cx="5669280" cy="3186684"/>
            <wp:docPr id="7" name="Picture 7" descr="Image: image8.png"/>
            <wp:cNvGraphicFramePr>
              <a:graphicFrameLocks noChangeAspect="1"/>
            </wp:cNvGraphicFramePr>
            <a:graphic>
              <a:graphicData uri="http://schemas.openxmlformats.org/drawingml/2006/picture">
                <pic:pic>
                  <pic:nvPicPr>
                    <pic:cNvPr id="0" name="ch23_iv.png"/>
                    <pic:cNvPicPr/>
                  </pic:nvPicPr>
                  <pic:blipFill>
                    <a:blip r:embed="rId24"/>
                    <a:stretch>
                      <a:fillRect/>
                    </a:stretch>
                  </pic:blipFill>
                  <pic:spPr>
                    <a:xfrm>
                      <a:off x="0" y="0"/>
                      <a:ext cx="5669280" cy="3186684"/>
                    </a:xfrm>
                    <a:prstGeom prst="rect"/>
                  </pic:spPr>
                </pic:pic>
              </a:graphicData>
            </a:graphic>
          </wp:inline>
        </w:drawing>
      </w:r>
    </w:p>
    <w:p>
      <w:pPr>
        <w:jc w:val="center"/>
      </w:pPr>
      <w:r>
        <w:t>Figure 23.1. Can we isolate useful variation in an endogenous explanatory variable?</w:t>
      </w:r>
    </w:p>
    <w:p>
      <w:pPr>
        <w:pStyle w:val="Heading2"/>
      </w:pPr>
      <w:r>
        <w:t>23.6 Interpretation</w:t>
      </w:r>
    </w:p>
    <w:p>
      <w:r>
        <w:t>Interpret results in the units of the variables. Report sign, magnitude, uncertainty, and the population or time period to which the estimate applies. If a variable is logged, categorical, interacted, standardized, or transformed, translate the coefficient accordingly rather than reading it as a raw one-unit effect.</w:t>
      </w:r>
    </w:p>
    <w:p>
      <w:r>
        <w:t>Then separate statistical significance from economic significance. A precise estimate may be too small to matter economically; an economically important estimate may be imprecise. Both dimensions belong in the conclusion.</w:t>
      </w:r>
    </w:p>
    <w:p>
      <w:pPr>
        <w:pStyle w:val="Heading2"/>
      </w:pPr>
      <w:r>
        <w:t>23.7 Assumptions, diagnostics, and threats to validity</w:t>
      </w:r>
    </w:p>
    <w:p>
      <w:pPr>
        <w:pStyle w:val="ListBullet"/>
      </w:pPr>
      <w:r>
        <w:t>Is the unit of observation appropriate for the question?</w:t>
      </w:r>
    </w:p>
    <w:p>
      <w:pPr>
        <w:pStyle w:val="ListBullet"/>
      </w:pPr>
      <w:r>
        <w:t>Are timing and information sets respected?</w:t>
      </w:r>
    </w:p>
    <w:p>
      <w:pPr>
        <w:pStyle w:val="ListBullet"/>
      </w:pPr>
      <w:r>
        <w:t>Could selection, confounding, measurement error, or reverse causality matter?</w:t>
      </w:r>
    </w:p>
    <w:p>
      <w:pPr>
        <w:pStyle w:val="ListBullet"/>
      </w:pPr>
      <w:r>
        <w:t>Does the uncertainty estimator match the sampling or dependence structure?</w:t>
      </w:r>
    </w:p>
    <w:p>
      <w:pPr>
        <w:pStyle w:val="ListBullet"/>
      </w:pPr>
      <w:r>
        <w:t>Would the result survive reasonable alternative specifications?</w:t>
      </w:r>
    </w:p>
    <w:p>
      <w:pPr>
        <w:pStyle w:val="ListBullet"/>
      </w:pPr>
      <w:r>
        <w:t>Is the task predictive, descriptive, or causal?</w:t>
      </w:r>
    </w:p>
    <w:tbl>
      <w:tblPr>
        <w:tblW w:type="auto" w:w="0"/>
        <w:jc w:val="center"/>
        <w:tblLook w:firstColumn="1" w:firstRow="1" w:lastColumn="0" w:lastRow="0" w:noHBand="0" w:noVBand="1" w:val="04A0"/>
      </w:tblPr>
      <w:tblGrid>
        <w:gridCol w:w="10080"/>
      </w:tblGrid>
      <w:tr>
        <w:tc>
          <w:tcPr>
            <w:tcW w:type="dxa" w:w="10080"/>
          </w:tcPr>
          <w:p>
            <w:r/>
            <w:r>
              <w:rPr>
                <w:b/>
              </w:rPr>
              <w:t xml:space="preserve">Causal caution: </w:t>
            </w:r>
            <w:r>
              <w:t>High predictive accuracy, feature importance, or a small p-value does not by itself identify a causal effect. Causal language requires a defensible identification strategy.</w:t>
            </w:r>
          </w:p>
        </w:tc>
        <w:trPr>
          <w:tblHeader/>
        </w:trPr>
      </w:tr>
    </w:tbl>
    <w:tbl>
      <w:tblPr>
        <w:tblW w:type="auto" w:w="0"/>
        <w:jc w:val="center"/>
        <w:tblLook w:firstColumn="1" w:firstRow="1" w:lastColumn="0" w:lastRow="0" w:noHBand="0" w:noVBand="1" w:val="04A0"/>
      </w:tblPr>
      <w:tblGrid>
        <w:gridCol w:w="10080"/>
      </w:tblGrid>
      <w:tr>
        <w:tc>
          <w:tcPr>
            <w:tcW w:type="dxa" w:w="10080"/>
          </w:tcPr>
          <w:p>
            <w:r/>
            <w:r>
              <w:rPr>
                <w:b/>
              </w:rPr>
              <w:t xml:space="preserve">Ceteris LAB Tip: </w:t>
            </w:r>
            <w:r>
              <w:t>Write the research question and estimand in words before opening Python. If you cannot state what quantity you want to learn, adding packages will not rescue the analysis.</w:t>
            </w:r>
          </w:p>
        </w:tc>
        <w:trPr>
          <w:tblHeader/>
        </w:trPr>
      </w:tr>
    </w:tbl>
    <w:tbl>
      <w:tblPr>
        <w:tblW w:type="auto" w:w="0"/>
        <w:jc w:val="center"/>
        <w:tblLook w:firstColumn="1" w:firstRow="1" w:lastColumn="0" w:lastRow="0" w:noHBand="0" w:noVBand="1" w:val="04A0"/>
      </w:tblPr>
      <w:tblGrid>
        <w:gridCol w:w="10080"/>
      </w:tblGrid>
      <w:tr>
        <w:tc>
          <w:tcPr>
            <w:tcW w:type="dxa" w:w="10080"/>
          </w:tcPr>
          <w:p>
            <w:r/>
            <w:r>
              <w:rPr>
                <w:b/>
              </w:rPr>
              <w:t xml:space="preserve">Common mistake: </w:t>
            </w:r>
            <w:r>
              <w:t>Treating a software default as an econometric assumption. Defaults are conveniences; assumptions must be chosen and defended.</w:t>
            </w:r>
          </w:p>
        </w:tc>
        <w:trPr>
          <w:tblHeader/>
        </w:trPr>
      </w:tr>
    </w:tbl>
    <w:p>
      <w:pPr>
        <w:pStyle w:val="Heading2"/>
      </w:pPr>
      <w:r>
        <w:t>23.8 Guided practice</w:t>
      </w:r>
    </w:p>
    <w:p>
      <w:r>
        <w:t>Modify the notebook so that one assumption is deliberately violated. Re-estimate the model, compare the result, and explain why the estimate changed. This turns diagnostics from a checklist into an experiment.</w:t>
      </w:r>
    </w:p>
    <w:p>
      <w:pPr>
        <w:pStyle w:val="Heading2"/>
      </w:pPr>
      <w:r>
        <w:t>23.9 Exercises</w:t>
      </w:r>
    </w:p>
    <w:p>
      <w:pPr>
        <w:pStyle w:val="ListNumber"/>
      </w:pPr>
      <w:r>
        <w:t>Concept: In one paragraph, distinguish association, prediction, and causation for the chapter topic.</w:t>
      </w:r>
    </w:p>
    <w:p>
      <w:pPr>
        <w:pStyle w:val="ListNumber"/>
      </w:pPr>
      <w:r>
        <w:t>Python: Reproduce the demonstration with a different documented random seed and verify that the qualitative conclusion is stable.</w:t>
      </w:r>
    </w:p>
    <w:p>
      <w:pPr>
        <w:pStyle w:val="ListNumber"/>
      </w:pPr>
      <w:r>
        <w:t>Applied econometrics: Replace the simulated outcome with a legally shareable economic variable and document its units, source, and sample.</w:t>
      </w:r>
    </w:p>
    <w:p>
      <w:pPr>
        <w:pStyle w:val="ListNumber"/>
      </w:pPr>
      <w:r>
        <w:t>Interpretation: Write a 150-word results paragraph that reports magnitude and uncertainty without exaggerating the evidence.</w:t>
      </w:r>
    </w:p>
    <w:p>
      <w:pPr>
        <w:pStyle w:val="ListNumber"/>
      </w:pPr>
      <w:r>
        <w:t>Research challenge: Propose one alternative design or robustness check that would address the most important threat to validity.</w:t>
      </w:r>
    </w:p>
    <w:p>
      <w:pPr>
        <w:pStyle w:val="Heading2"/>
      </w:pPr>
      <w:r>
        <w:t>23.10 Chapter summary</w:t>
      </w:r>
    </w:p>
    <w:p>
      <w:r>
        <w:t>Instrumental Variables and Two-Stage Least Squares is most useful when the economic question, statistical target, assumptions, code, and interpretation point in the same direction. Python makes the workflow reproducible; econometric reasoning determines what the output can mean.</w:t>
      </w:r>
    </w:p>
    <w:p>
      <w:pPr>
        <w:pStyle w:val="Heading2"/>
      </w:pPr>
      <w:r>
        <w:t>23.11 Key Python tools</w:t>
      </w:r>
    </w:p>
    <w:p>
      <w:r>
        <w:t>Core tools used across these chapters include NumPy for simulation, pandas for data structures, statsmodels for statistical inference, scikit-learn for predictive modeling, and Matplotlib for transparent visual diagnostics. Use the simplest maintained tool that answers the question.</w:t>
      </w:r>
    </w:p>
    <w:p>
      <w:r>
        <w:br w:type="page"/>
      </w:r>
    </w:p>
    <w:p>
      <w:pPr>
        <w:pStyle w:val="Heading1"/>
      </w:pPr>
      <w:r>
        <w:t>24</w:t>
        <w:tab/>
        <w:t>Panel Data and Fixed Effects</w:t>
      </w:r>
    </w:p>
    <w:p>
      <w:pPr>
        <w:pStyle w:val="Subtitle"/>
      </w:pPr>
      <w:r>
        <w:t>What can repeated observations teach us that a single cross-section cannot?</w:t>
      </w:r>
    </w:p>
    <w:p>
      <w:pPr>
        <w:pStyle w:val="Heading2"/>
      </w:pPr>
      <w:r>
        <w:t>24.1 Learning objectives</w:t>
      </w:r>
    </w:p>
    <w:p>
      <w:pPr>
        <w:pStyle w:val="ListBullet"/>
      </w:pPr>
      <w:r>
        <w:t>Explain and apply entity and time effects.</w:t>
      </w:r>
    </w:p>
    <w:p>
      <w:pPr>
        <w:pStyle w:val="ListBullet"/>
      </w:pPr>
      <w:r>
        <w:t>Explain and apply pooled OLS.</w:t>
      </w:r>
    </w:p>
    <w:p>
      <w:pPr>
        <w:pStyle w:val="ListBullet"/>
      </w:pPr>
      <w:r>
        <w:t>Explain and apply first differences.</w:t>
      </w:r>
    </w:p>
    <w:p>
      <w:pPr>
        <w:pStyle w:val="ListBullet"/>
      </w:pPr>
      <w:r>
        <w:t>Explain and apply fixed effects.</w:t>
      </w:r>
    </w:p>
    <w:p>
      <w:pPr>
        <w:pStyle w:val="ListBullet"/>
      </w:pPr>
      <w:r>
        <w:t>Explain and apply within transformation.</w:t>
      </w:r>
    </w:p>
    <w:p>
      <w:pPr>
        <w:pStyle w:val="ListBullet"/>
      </w:pPr>
      <w:r>
        <w:t>Explain and apply random effects.</w:t>
      </w:r>
    </w:p>
    <w:p>
      <w:pPr>
        <w:pStyle w:val="ListBullet"/>
      </w:pPr>
      <w:r>
        <w:t>Explain and apply two-way fixed effects.</w:t>
      </w:r>
    </w:p>
    <w:p>
      <w:pPr>
        <w:pStyle w:val="ListBullet"/>
      </w:pPr>
      <w:r>
        <w:t>Explain and apply clustered inference.</w:t>
      </w:r>
    </w:p>
    <w:p>
      <w:pPr>
        <w:pStyle w:val="ListBullet"/>
      </w:pPr>
      <w:r>
        <w:t>Explain and apply unbalanced panels.</w:t>
      </w:r>
    </w:p>
    <w:tbl>
      <w:tblPr>
        <w:tblW w:type="auto" w:w="0"/>
        <w:jc w:val="center"/>
        <w:tblLook w:firstColumn="1" w:firstRow="1" w:lastColumn="0" w:lastRow="0" w:noHBand="0" w:noVBand="1" w:val="04A0"/>
      </w:tblPr>
      <w:tblGrid>
        <w:gridCol w:w="10080"/>
      </w:tblGrid>
      <w:tr>
        <w:tc>
          <w:tcPr>
            <w:tcW w:type="dxa" w:w="10080"/>
          </w:tcPr>
          <w:p>
            <w:r/>
            <w:r>
              <w:rPr>
                <w:b/>
              </w:rPr>
              <w:t xml:space="preserve">Concept in one sentence: </w:t>
            </w:r>
            <w:r>
              <w:t>Fixed effects use within-entity variation to remove time-invariant unobserved heterogeneity.</w:t>
            </w:r>
          </w:p>
        </w:tc>
        <w:trPr>
          <w:tblHeader/>
        </w:trPr>
      </w:tr>
    </w:tbl>
    <w:p>
      <w:pPr>
        <w:pStyle w:val="Heading2"/>
      </w:pPr>
      <w:r>
        <w:t>24.2 Economic intuition</w:t>
      </w:r>
    </w:p>
    <w:p>
      <w:r>
        <w:t>This chapter begins from the economic question rather than from software syntax. The goal is to understand what information the data can legitimately provide about panel data and fixed effects. Python is used as a transparent laboratory: we state the question, define the target, inspect the data, estimate the model, and then challenge the result.</w:t>
      </w:r>
    </w:p>
    <w:p>
      <w:r>
        <w:t>A recurring distinction in econometrics is the difference between describing a pattern, predicting an outcome, and estimating a causal effect. These goals can use similar equations but require different assumptions. A model may forecast well while offering little causal interpretation, and a credible causal design may deliberately use a simple estimator because identification comes from the research design rather than algorithmic complexity.</w:t>
      </w:r>
    </w:p>
    <w:p>
      <w:r>
        <w:t>Throughout the chapter, pay attention to units, timing, sample construction, and the information set available to the analyst. Economic data are produced by institutions, markets, households, and firms. They are not abstract arrays. A good empirical workflow therefore combines statistical discipline with substantive economic reasoning.</w:t>
      </w:r>
    </w:p>
    <w:p>
      <w:pPr>
        <w:pStyle w:val="Heading2"/>
      </w:pPr>
      <w:r>
        <w:t>24.3 A small numerical example</w:t>
      </w:r>
    </w:p>
    <w:p>
      <w:r>
        <w:t>Start with a tiny hypothetical sample that can be checked by hand. Write the unit of observation, outcome, explanatory variable or treatment, and the comparison being made. Before estimating anything, ask what would make the comparison informative and what could make it misleading.</w:t>
      </w:r>
    </w:p>
    <w:tbl>
      <w:tblPr>
        <w:tblStyle w:val="TableGrid"/>
        <w:tblW w:type="auto" w:w="0"/>
        <w:jc w:val="center"/>
        <w:tblLook w:firstColumn="1" w:firstRow="1" w:lastColumn="0" w:lastRow="0" w:noHBand="0" w:noVBand="1" w:val="04A0"/>
      </w:tblPr>
      <w:tblGrid>
        <w:gridCol w:w="2520"/>
        <w:gridCol w:w="2520"/>
        <w:gridCol w:w="2520"/>
        <w:gridCol w:w="2520"/>
      </w:tblGrid>
      <w:tr>
        <w:tc>
          <w:tcPr>
            <w:tcW w:type="dxa" w:w="2520"/>
          </w:tcPr>
          <w:p>
            <w:r>
              <w:t>Observation</w:t>
            </w:r>
          </w:p>
        </w:tc>
        <w:tc>
          <w:tcPr>
            <w:tcW w:type="dxa" w:w="2520"/>
          </w:tcPr>
          <w:p>
            <w:r>
              <w:t>X / Treatment</w:t>
            </w:r>
          </w:p>
        </w:tc>
        <w:tc>
          <w:tcPr>
            <w:tcW w:type="dxa" w:w="2520"/>
          </w:tcPr>
          <w:p>
            <w:r>
              <w:t>Outcome Y</w:t>
            </w:r>
          </w:p>
        </w:tc>
        <w:tc>
          <w:tcPr>
            <w:tcW w:type="dxa" w:w="2520"/>
          </w:tcPr>
          <w:p>
            <w:r>
              <w:t>Interpretive note</w:t>
            </w:r>
          </w:p>
        </w:tc>
        <w:trPr>
          <w:tblHeader/>
        </w:trPr>
      </w:tr>
      <w:tr>
        <w:tc>
          <w:tcPr>
            <w:tcW w:type="dxa" w:w="2520"/>
          </w:tcPr>
          <w:p>
            <w:r>
              <w:t>1</w:t>
            </w:r>
          </w:p>
        </w:tc>
        <w:tc>
          <w:tcPr>
            <w:tcW w:type="dxa" w:w="2520"/>
          </w:tcPr>
          <w:p>
            <w:r>
              <w:t>0</w:t>
            </w:r>
          </w:p>
        </w:tc>
        <w:tc>
          <w:tcPr>
            <w:tcW w:type="dxa" w:w="2520"/>
          </w:tcPr>
          <w:p>
            <w:r>
              <w:t>10</w:t>
            </w:r>
          </w:p>
        </w:tc>
        <w:tc>
          <w:tcPr>
            <w:tcW w:type="dxa" w:w="2520"/>
          </w:tcPr>
          <w:p>
            <w:r>
              <w:t>baseline</w:t>
            </w:r>
          </w:p>
        </w:tc>
      </w:tr>
      <w:tr>
        <w:tc>
          <w:tcPr>
            <w:tcW w:type="dxa" w:w="2520"/>
          </w:tcPr>
          <w:p>
            <w:r>
              <w:t>2</w:t>
            </w:r>
          </w:p>
        </w:tc>
        <w:tc>
          <w:tcPr>
            <w:tcW w:type="dxa" w:w="2520"/>
          </w:tcPr>
          <w:p>
            <w:r>
              <w:t>0</w:t>
            </w:r>
          </w:p>
        </w:tc>
        <w:tc>
          <w:tcPr>
            <w:tcW w:type="dxa" w:w="2520"/>
          </w:tcPr>
          <w:p>
            <w:r>
              <w:t>12</w:t>
            </w:r>
          </w:p>
        </w:tc>
        <w:tc>
          <w:tcPr>
            <w:tcW w:type="dxa" w:w="2520"/>
          </w:tcPr>
          <w:p>
            <w:r>
              <w:t>comparison</w:t>
            </w:r>
          </w:p>
        </w:tc>
      </w:tr>
      <w:tr>
        <w:tc>
          <w:tcPr>
            <w:tcW w:type="dxa" w:w="2520"/>
          </w:tcPr>
          <w:p>
            <w:r>
              <w:t>3</w:t>
            </w:r>
          </w:p>
        </w:tc>
        <w:tc>
          <w:tcPr>
            <w:tcW w:type="dxa" w:w="2520"/>
          </w:tcPr>
          <w:p>
            <w:r>
              <w:t>1</w:t>
            </w:r>
          </w:p>
        </w:tc>
        <w:tc>
          <w:tcPr>
            <w:tcW w:type="dxa" w:w="2520"/>
          </w:tcPr>
          <w:p>
            <w:r>
              <w:t>15</w:t>
            </w:r>
          </w:p>
        </w:tc>
        <w:tc>
          <w:tcPr>
            <w:tcW w:type="dxa" w:w="2520"/>
          </w:tcPr>
          <w:p>
            <w:r>
              <w:t>exposed</w:t>
            </w:r>
          </w:p>
        </w:tc>
      </w:tr>
      <w:tr>
        <w:tc>
          <w:tcPr>
            <w:tcW w:type="dxa" w:w="2520"/>
          </w:tcPr>
          <w:p>
            <w:r>
              <w:t>4</w:t>
            </w:r>
          </w:p>
        </w:tc>
        <w:tc>
          <w:tcPr>
            <w:tcW w:type="dxa" w:w="2520"/>
          </w:tcPr>
          <w:p>
            <w:r>
              <w:t>1</w:t>
            </w:r>
          </w:p>
        </w:tc>
        <w:tc>
          <w:tcPr>
            <w:tcW w:type="dxa" w:w="2520"/>
          </w:tcPr>
          <w:p>
            <w:r>
              <w:t>17</w:t>
            </w:r>
          </w:p>
        </w:tc>
        <w:tc>
          <w:tcPr>
            <w:tcW w:type="dxa" w:w="2520"/>
          </w:tcPr>
          <w:p>
            <w:r>
              <w:t>exposed</w:t>
            </w:r>
          </w:p>
        </w:tc>
      </w:tr>
    </w:tbl>
    <w:p>
      <w:r>
        <w:t>The difference in group averages is easy to compute, but whether it is a causal effect depends on how exposure was assigned and whether the groups are otherwise comparable. This distinction is the heartbeat of modern applied econometrics.</w:t>
      </w:r>
    </w:p>
    <w:p>
      <w:pPr>
        <w:pStyle w:val="Heading2"/>
      </w:pPr>
      <w:r>
        <w:t>24.4 Formal framework</w:t>
      </w:r>
    </w:p>
    <w:p>
      <w:r>
        <w:t>Write the empirical model in a form that makes the target explicit. A generic conditional-mean representation is</w:t>
      </w:r>
    </w:p>
    <w:p>
      <w:pPr>
        <w:jc w:val="center"/>
      </w:pPr>
      <w:r>
        <w:t>E[Y | X] = m(X),     or in a linear approximation,     Y_i = β₀ + β₁X_i + u_i.</w:t>
      </w:r>
    </w:p>
    <w:p>
      <w:r>
        <w:t>Here Y is the outcome, X denotes observed information, β parameters summarize the chosen model, and u collects other determinants of the outcome. The crucial question is not only whether β can be estimated, but what β means under the design and assumptions.</w:t>
      </w:r>
    </w:p>
    <w:p>
      <w:pPr>
        <w:pStyle w:val="Heading2"/>
      </w:pPr>
      <w:r>
        <w:t>24.5 Python demonstration</w:t>
      </w:r>
    </w:p>
    <w:p>
      <w:pPr>
        <w:spacing w:after="0"/>
        <w:ind w:left="360"/>
      </w:pPr>
      <w:r>
        <w:rPr>
          <w:rFonts w:ascii="Liberation Mono" w:hAnsi="Liberation Mono"/>
          <w:sz w:val="17"/>
        </w:rPr>
        <w:t>import numpy as np, pandas as pd, statsmodels.formula.api as smf</w:t>
      </w:r>
    </w:p>
    <w:p>
      <w:pPr>
        <w:spacing w:after="0"/>
        <w:ind w:left="360"/>
      </w:pPr>
      <w:r>
        <w:rPr>
          <w:rFonts w:ascii="Liberation Mono" w:hAnsi="Liberation Mono"/>
          <w:sz w:val="17"/>
        </w:rPr>
        <w:t>rng=np.random.default_rng(24); n,t=30,8</w:t>
      </w:r>
    </w:p>
    <w:p>
      <w:pPr>
        <w:spacing w:after="0"/>
        <w:ind w:left="360"/>
      </w:pPr>
      <w:r>
        <w:rPr>
          <w:rFonts w:ascii="Liberation Mono" w:hAnsi="Liberation Mono"/>
          <w:sz w:val="17"/>
        </w:rPr>
        <w:t>id=np.repeat(np.arange(n),t); year=np.tile(np.arange(t),n); a=rng.normal(0,2,n)</w:t>
      </w:r>
    </w:p>
    <w:p>
      <w:pPr>
        <w:spacing w:after="0"/>
        <w:ind w:left="360"/>
      </w:pPr>
      <w:r>
        <w:rPr>
          <w:rFonts w:ascii="Liberation Mono" w:hAnsi="Liberation Mono"/>
          <w:sz w:val="17"/>
        </w:rPr>
        <w:t>x=rng.normal(size=n*t); y=a[id]+.7*x+.2*year+rng.normal(size=n*t)</w:t>
      </w:r>
    </w:p>
    <w:p>
      <w:pPr>
        <w:spacing w:after="0"/>
        <w:ind w:left="360"/>
      </w:pPr>
      <w:r>
        <w:rPr>
          <w:rFonts w:ascii="Liberation Mono" w:hAnsi="Liberation Mono"/>
          <w:sz w:val="17"/>
        </w:rPr>
        <w:t>df=pd.DataFrame({'y':y,'x':x,'id':id,'year':year})</w:t>
      </w:r>
    </w:p>
    <w:p>
      <w:pPr>
        <w:spacing w:after="0"/>
        <w:ind w:left="360"/>
      </w:pPr>
      <w:r>
        <w:rPr>
          <w:rFonts w:ascii="Liberation Mono" w:hAnsi="Liberation Mono"/>
          <w:sz w:val="17"/>
        </w:rPr>
        <w:t>fit=smf.ols('y ~ x + C(id) + C(year)',data=df).fit(cov_type='cluster',cov_kwds={'groups':df['id']})</w:t>
      </w:r>
    </w:p>
    <w:p>
      <w:pPr>
        <w:spacing w:after="0"/>
        <w:ind w:left="360"/>
      </w:pPr>
      <w:r>
        <w:rPr>
          <w:rFonts w:ascii="Liberation Mono" w:hAnsi="Liberation Mono"/>
          <w:sz w:val="17"/>
        </w:rPr>
        <w:t>print(fit.params['x'], fit.bse['x'])</w:t>
      </w:r>
    </w:p>
    <w:p>
      <w:r>
        <w:t>Run the code in a clean notebook and inspect both the numerical output and the data-generating assumptions. The associated notebook in the student package reproduces the example with a fixed random seed.</w:t>
      </w:r>
    </w:p>
    <w:p>
      <w:r>
        <w:drawing>
          <wp:inline>
            <wp:extent cx="5669280" cy="3186684"/>
            <wp:docPr id="8" name="Picture 8" descr="Image: image9.png"/>
            <wp:cNvGraphicFramePr>
              <a:graphicFrameLocks noChangeAspect="1"/>
            </wp:cNvGraphicFramePr>
            <a:graphic>
              <a:graphicData uri="http://schemas.openxmlformats.org/drawingml/2006/picture">
                <pic:pic>
                  <pic:nvPicPr>
                    <pic:cNvPr id="0" name="ch24_panel.png"/>
                    <pic:cNvPicPr/>
                  </pic:nvPicPr>
                  <pic:blipFill>
                    <a:blip r:embed="rId25"/>
                    <a:stretch>
                      <a:fillRect/>
                    </a:stretch>
                  </pic:blipFill>
                  <pic:spPr>
                    <a:xfrm>
                      <a:off x="0" y="0"/>
                      <a:ext cx="5669280" cy="3186684"/>
                    </a:xfrm>
                    <a:prstGeom prst="rect"/>
                  </pic:spPr>
                </pic:pic>
              </a:graphicData>
            </a:graphic>
          </wp:inline>
        </w:drawing>
      </w:r>
    </w:p>
    <w:p>
      <w:pPr>
        <w:jc w:val="center"/>
      </w:pPr>
      <w:r>
        <w:t>Figure 24.1. What can repeated observations teach us that a single cross-section cannot?</w:t>
      </w:r>
    </w:p>
    <w:p>
      <w:pPr>
        <w:pStyle w:val="Heading2"/>
      </w:pPr>
      <w:r>
        <w:t>24.6 Interpretation</w:t>
      </w:r>
    </w:p>
    <w:p>
      <w:r>
        <w:t>Interpret results in the units of the variables. Report sign, magnitude, uncertainty, and the population or time period to which the estimate applies. If a variable is logged, categorical, interacted, standardized, or transformed, translate the coefficient accordingly rather than reading it as a raw one-unit effect.</w:t>
      </w:r>
    </w:p>
    <w:p>
      <w:r>
        <w:t>Then separate statistical significance from economic significance. A precise estimate may be too small to matter economically; an economically important estimate may be imprecise. Both dimensions belong in the conclusion.</w:t>
      </w:r>
    </w:p>
    <w:p>
      <w:pPr>
        <w:pStyle w:val="Heading2"/>
      </w:pPr>
      <w:r>
        <w:t>24.7 Assumptions, diagnostics, and threats to validity</w:t>
      </w:r>
    </w:p>
    <w:p>
      <w:pPr>
        <w:pStyle w:val="ListBullet"/>
      </w:pPr>
      <w:r>
        <w:t>Is the unit of observation appropriate for the question?</w:t>
      </w:r>
    </w:p>
    <w:p>
      <w:pPr>
        <w:pStyle w:val="ListBullet"/>
      </w:pPr>
      <w:r>
        <w:t>Are timing and information sets respected?</w:t>
      </w:r>
    </w:p>
    <w:p>
      <w:pPr>
        <w:pStyle w:val="ListBullet"/>
      </w:pPr>
      <w:r>
        <w:t>Could selection, confounding, measurement error, or reverse causality matter?</w:t>
      </w:r>
    </w:p>
    <w:p>
      <w:pPr>
        <w:pStyle w:val="ListBullet"/>
      </w:pPr>
      <w:r>
        <w:t>Does the uncertainty estimator match the sampling or dependence structure?</w:t>
      </w:r>
    </w:p>
    <w:p>
      <w:pPr>
        <w:pStyle w:val="ListBullet"/>
      </w:pPr>
      <w:r>
        <w:t>Would the result survive reasonable alternative specifications?</w:t>
      </w:r>
    </w:p>
    <w:p>
      <w:pPr>
        <w:pStyle w:val="ListBullet"/>
      </w:pPr>
      <w:r>
        <w:t>Is the task predictive, descriptive, or causal?</w:t>
      </w:r>
    </w:p>
    <w:tbl>
      <w:tblPr>
        <w:tblW w:type="auto" w:w="0"/>
        <w:jc w:val="center"/>
        <w:tblLook w:firstColumn="1" w:firstRow="1" w:lastColumn="0" w:lastRow="0" w:noHBand="0" w:noVBand="1" w:val="04A0"/>
      </w:tblPr>
      <w:tblGrid>
        <w:gridCol w:w="10080"/>
      </w:tblGrid>
      <w:tr>
        <w:tc>
          <w:tcPr>
            <w:tcW w:type="dxa" w:w="10080"/>
          </w:tcPr>
          <w:p>
            <w:r/>
            <w:r>
              <w:rPr>
                <w:b/>
              </w:rPr>
              <w:t xml:space="preserve">Causal caution: </w:t>
            </w:r>
            <w:r>
              <w:t>High predictive accuracy, feature importance, or a small p-value does not by itself identify a causal effect. Causal language requires a defensible identification strategy.</w:t>
            </w:r>
          </w:p>
        </w:tc>
        <w:trPr>
          <w:tblHeader/>
        </w:trPr>
      </w:tr>
    </w:tbl>
    <w:tbl>
      <w:tblPr>
        <w:tblW w:type="auto" w:w="0"/>
        <w:jc w:val="center"/>
        <w:tblLook w:firstColumn="1" w:firstRow="1" w:lastColumn="0" w:lastRow="0" w:noHBand="0" w:noVBand="1" w:val="04A0"/>
      </w:tblPr>
      <w:tblGrid>
        <w:gridCol w:w="10080"/>
      </w:tblGrid>
      <w:tr>
        <w:tc>
          <w:tcPr>
            <w:tcW w:type="dxa" w:w="10080"/>
          </w:tcPr>
          <w:p>
            <w:r/>
            <w:r>
              <w:rPr>
                <w:b/>
              </w:rPr>
              <w:t xml:space="preserve">Ceteris LAB Tip: </w:t>
            </w:r>
            <w:r>
              <w:t>Write the research question and estimand in words before opening Python. If you cannot state what quantity you want to learn, adding packages will not rescue the analysis.</w:t>
            </w:r>
          </w:p>
        </w:tc>
        <w:trPr>
          <w:tblHeader/>
        </w:trPr>
      </w:tr>
    </w:tbl>
    <w:tbl>
      <w:tblPr>
        <w:tblW w:type="auto" w:w="0"/>
        <w:jc w:val="center"/>
        <w:tblLook w:firstColumn="1" w:firstRow="1" w:lastColumn="0" w:lastRow="0" w:noHBand="0" w:noVBand="1" w:val="04A0"/>
      </w:tblPr>
      <w:tblGrid>
        <w:gridCol w:w="10080"/>
      </w:tblGrid>
      <w:tr>
        <w:tc>
          <w:tcPr>
            <w:tcW w:type="dxa" w:w="10080"/>
          </w:tcPr>
          <w:p>
            <w:r/>
            <w:r>
              <w:rPr>
                <w:b/>
              </w:rPr>
              <w:t xml:space="preserve">Common mistake: </w:t>
            </w:r>
            <w:r>
              <w:t>Treating a software default as an econometric assumption. Defaults are conveniences; assumptions must be chosen and defended.</w:t>
            </w:r>
          </w:p>
        </w:tc>
        <w:trPr>
          <w:tblHeader/>
        </w:trPr>
      </w:tr>
    </w:tbl>
    <w:p>
      <w:pPr>
        <w:pStyle w:val="Heading2"/>
      </w:pPr>
      <w:r>
        <w:t>24.8 Guided practice</w:t>
      </w:r>
    </w:p>
    <w:p>
      <w:r>
        <w:t>Modify the notebook so that one assumption is deliberately violated. Re-estimate the model, compare the result, and explain why the estimate changed. This turns diagnostics from a checklist into an experiment.</w:t>
      </w:r>
    </w:p>
    <w:p>
      <w:pPr>
        <w:pStyle w:val="Heading2"/>
      </w:pPr>
      <w:r>
        <w:t>24.9 Exercises</w:t>
      </w:r>
    </w:p>
    <w:p>
      <w:pPr>
        <w:pStyle w:val="ListNumber"/>
      </w:pPr>
      <w:r>
        <w:t>Concept: In one paragraph, distinguish association, prediction, and causation for the chapter topic.</w:t>
      </w:r>
    </w:p>
    <w:p>
      <w:pPr>
        <w:pStyle w:val="ListNumber"/>
      </w:pPr>
      <w:r>
        <w:t>Python: Reproduce the demonstration with a different documented random seed and verify that the qualitative conclusion is stable.</w:t>
      </w:r>
    </w:p>
    <w:p>
      <w:pPr>
        <w:pStyle w:val="ListNumber"/>
      </w:pPr>
      <w:r>
        <w:t>Applied econometrics: Replace the simulated outcome with a legally shareable economic variable and document its units, source, and sample.</w:t>
      </w:r>
    </w:p>
    <w:p>
      <w:pPr>
        <w:pStyle w:val="ListNumber"/>
      </w:pPr>
      <w:r>
        <w:t>Interpretation: Write a 150-word results paragraph that reports magnitude and uncertainty without exaggerating the evidence.</w:t>
      </w:r>
    </w:p>
    <w:p>
      <w:pPr>
        <w:pStyle w:val="ListNumber"/>
      </w:pPr>
      <w:r>
        <w:t>Research challenge: Propose one alternative design or robustness check that would address the most important threat to validity.</w:t>
      </w:r>
    </w:p>
    <w:p>
      <w:pPr>
        <w:pStyle w:val="Heading2"/>
      </w:pPr>
      <w:r>
        <w:t>24.10 Chapter summary</w:t>
      </w:r>
    </w:p>
    <w:p>
      <w:r>
        <w:t>Panel Data and Fixed Effects is most useful when the economic question, statistical target, assumptions, code, and interpretation point in the same direction. Python makes the workflow reproducible; econometric reasoning determines what the output can mean.</w:t>
      </w:r>
    </w:p>
    <w:p>
      <w:pPr>
        <w:pStyle w:val="Heading2"/>
      </w:pPr>
      <w:r>
        <w:t>24.11 Key Python tools</w:t>
      </w:r>
    </w:p>
    <w:p>
      <w:r>
        <w:t>Core tools used across these chapters include NumPy for simulation, pandas for data structures, statsmodels for statistical inference, scikit-learn for predictive modeling, and Matplotlib for transparent visual diagnostics. Use the simplest maintained tool that answers the question.</w:t>
      </w:r>
    </w:p>
    <w:p>
      <w:r>
        <w:br w:type="page"/>
      </w:r>
    </w:p>
    <w:p>
      <w:pPr>
        <w:pStyle w:val="Heading1"/>
      </w:pPr>
      <w:r>
        <w:t>25</w:t>
        <w:tab/>
        <w:t>Binary, Ordered, and Count Outcomes</w:t>
      </w:r>
    </w:p>
    <w:p>
      <w:pPr>
        <w:pStyle w:val="Subtitle"/>
      </w:pPr>
      <w:r>
        <w:t>How should we model outcomes that are probabilities, categories, or event counts?</w:t>
      </w:r>
    </w:p>
    <w:p>
      <w:pPr>
        <w:pStyle w:val="Heading2"/>
      </w:pPr>
      <w:r>
        <w:t>25.1 Learning objectives</w:t>
      </w:r>
    </w:p>
    <w:p>
      <w:pPr>
        <w:pStyle w:val="ListBullet"/>
      </w:pPr>
      <w:r>
        <w:t>Explain and apply linear probability model.</w:t>
      </w:r>
    </w:p>
    <w:p>
      <w:pPr>
        <w:pStyle w:val="ListBullet"/>
      </w:pPr>
      <w:r>
        <w:t>Explain and apply logit and probit.</w:t>
      </w:r>
    </w:p>
    <w:p>
      <w:pPr>
        <w:pStyle w:val="ListBullet"/>
      </w:pPr>
      <w:r>
        <w:t>Explain and apply odds and marginal effects.</w:t>
      </w:r>
    </w:p>
    <w:p>
      <w:pPr>
        <w:pStyle w:val="ListBullet"/>
      </w:pPr>
      <w:r>
        <w:t>Explain and apply ordered logit and probit.</w:t>
      </w:r>
    </w:p>
    <w:p>
      <w:pPr>
        <w:pStyle w:val="ListBullet"/>
      </w:pPr>
      <w:r>
        <w:t>Explain and apply threshold parameters.</w:t>
      </w:r>
    </w:p>
    <w:p>
      <w:pPr>
        <w:pStyle w:val="ListBullet"/>
      </w:pPr>
      <w:r>
        <w:t>Explain and apply Poisson regression.</w:t>
      </w:r>
    </w:p>
    <w:p>
      <w:pPr>
        <w:pStyle w:val="ListBullet"/>
      </w:pPr>
      <w:r>
        <w:t>Explain and apply negative binomial regression.</w:t>
      </w:r>
    </w:p>
    <w:p>
      <w:pPr>
        <w:pStyle w:val="ListBullet"/>
      </w:pPr>
      <w:r>
        <w:t>Explain and apply overdispersion.</w:t>
      </w:r>
    </w:p>
    <w:tbl>
      <w:tblPr>
        <w:tblW w:type="auto" w:w="0"/>
        <w:jc w:val="center"/>
        <w:tblLook w:firstColumn="1" w:firstRow="1" w:lastColumn="0" w:lastRow="0" w:noHBand="0" w:noVBand="1" w:val="04A0"/>
      </w:tblPr>
      <w:tblGrid>
        <w:gridCol w:w="10080"/>
      </w:tblGrid>
      <w:tr>
        <w:tc>
          <w:tcPr>
            <w:tcW w:type="dxa" w:w="10080"/>
          </w:tcPr>
          <w:p>
            <w:r/>
            <w:r>
              <w:rPr>
                <w:b/>
              </w:rPr>
              <w:t xml:space="preserve">Concept in one sentence: </w:t>
            </w:r>
            <w:r>
              <w:t>When the dependent variable is discrete, the conditional mean is constrained and interpretation shifts from slopes to probabilities or expected counts.</w:t>
            </w:r>
          </w:p>
        </w:tc>
        <w:trPr>
          <w:tblHeader/>
        </w:trPr>
      </w:tr>
    </w:tbl>
    <w:p>
      <w:pPr>
        <w:pStyle w:val="Heading2"/>
      </w:pPr>
      <w:r>
        <w:t>25.2 Economic intuition</w:t>
      </w:r>
    </w:p>
    <w:p>
      <w:r>
        <w:t>This chapter begins from the economic question rather than from software syntax. The goal is to understand what information the data can legitimately provide about binary, ordered, and count outcomes. Python is used as a transparent laboratory: we state the question, define the target, inspect the data, estimate the model, and then challenge the result.</w:t>
      </w:r>
    </w:p>
    <w:p>
      <w:r>
        <w:t>A recurring distinction in econometrics is the difference between describing a pattern, predicting an outcome, and estimating a causal effect. These goals can use similar equations but require different assumptions. A model may forecast well while offering little causal interpretation, and a credible causal design may deliberately use a simple estimator because identification comes from the research design rather than algorithmic complexity.</w:t>
      </w:r>
    </w:p>
    <w:p>
      <w:r>
        <w:t>Throughout the chapter, pay attention to units, timing, sample construction, and the information set available to the analyst. Economic data are produced by institutions, markets, households, and firms. They are not abstract arrays. A good empirical workflow therefore combines statistical discipline with substantive economic reasoning.</w:t>
      </w:r>
    </w:p>
    <w:p>
      <w:pPr>
        <w:pStyle w:val="Heading2"/>
      </w:pPr>
      <w:r>
        <w:t>25.3 A small numerical example</w:t>
      </w:r>
    </w:p>
    <w:p>
      <w:r>
        <w:t>Start with a tiny hypothetical sample that can be checked by hand. Write the unit of observation, outcome, explanatory variable or treatment, and the comparison being made. Before estimating anything, ask what would make the comparison informative and what could make it misleading.</w:t>
      </w:r>
    </w:p>
    <w:tbl>
      <w:tblPr>
        <w:tblStyle w:val="TableGrid"/>
        <w:tblW w:type="auto" w:w="0"/>
        <w:jc w:val="center"/>
        <w:tblLook w:firstColumn="1" w:firstRow="1" w:lastColumn="0" w:lastRow="0" w:noHBand="0" w:noVBand="1" w:val="04A0"/>
      </w:tblPr>
      <w:tblGrid>
        <w:gridCol w:w="2520"/>
        <w:gridCol w:w="2520"/>
        <w:gridCol w:w="2520"/>
        <w:gridCol w:w="2520"/>
      </w:tblGrid>
      <w:tr>
        <w:tc>
          <w:tcPr>
            <w:tcW w:type="dxa" w:w="2520"/>
          </w:tcPr>
          <w:p>
            <w:r>
              <w:t>Observation</w:t>
            </w:r>
          </w:p>
        </w:tc>
        <w:tc>
          <w:tcPr>
            <w:tcW w:type="dxa" w:w="2520"/>
          </w:tcPr>
          <w:p>
            <w:r>
              <w:t>X / Treatment</w:t>
            </w:r>
          </w:p>
        </w:tc>
        <w:tc>
          <w:tcPr>
            <w:tcW w:type="dxa" w:w="2520"/>
          </w:tcPr>
          <w:p>
            <w:r>
              <w:t>Outcome Y</w:t>
            </w:r>
          </w:p>
        </w:tc>
        <w:tc>
          <w:tcPr>
            <w:tcW w:type="dxa" w:w="2520"/>
          </w:tcPr>
          <w:p>
            <w:r>
              <w:t>Interpretive note</w:t>
            </w:r>
          </w:p>
        </w:tc>
        <w:trPr>
          <w:tblHeader/>
        </w:trPr>
      </w:tr>
      <w:tr>
        <w:tc>
          <w:tcPr>
            <w:tcW w:type="dxa" w:w="2520"/>
          </w:tcPr>
          <w:p>
            <w:r>
              <w:t>1</w:t>
            </w:r>
          </w:p>
        </w:tc>
        <w:tc>
          <w:tcPr>
            <w:tcW w:type="dxa" w:w="2520"/>
          </w:tcPr>
          <w:p>
            <w:r>
              <w:t>0</w:t>
            </w:r>
          </w:p>
        </w:tc>
        <w:tc>
          <w:tcPr>
            <w:tcW w:type="dxa" w:w="2520"/>
          </w:tcPr>
          <w:p>
            <w:r>
              <w:t>10</w:t>
            </w:r>
          </w:p>
        </w:tc>
        <w:tc>
          <w:tcPr>
            <w:tcW w:type="dxa" w:w="2520"/>
          </w:tcPr>
          <w:p>
            <w:r>
              <w:t>baseline</w:t>
            </w:r>
          </w:p>
        </w:tc>
      </w:tr>
      <w:tr>
        <w:tc>
          <w:tcPr>
            <w:tcW w:type="dxa" w:w="2520"/>
          </w:tcPr>
          <w:p>
            <w:r>
              <w:t>2</w:t>
            </w:r>
          </w:p>
        </w:tc>
        <w:tc>
          <w:tcPr>
            <w:tcW w:type="dxa" w:w="2520"/>
          </w:tcPr>
          <w:p>
            <w:r>
              <w:t>0</w:t>
            </w:r>
          </w:p>
        </w:tc>
        <w:tc>
          <w:tcPr>
            <w:tcW w:type="dxa" w:w="2520"/>
          </w:tcPr>
          <w:p>
            <w:r>
              <w:t>12</w:t>
            </w:r>
          </w:p>
        </w:tc>
        <w:tc>
          <w:tcPr>
            <w:tcW w:type="dxa" w:w="2520"/>
          </w:tcPr>
          <w:p>
            <w:r>
              <w:t>comparison</w:t>
            </w:r>
          </w:p>
        </w:tc>
      </w:tr>
      <w:tr>
        <w:tc>
          <w:tcPr>
            <w:tcW w:type="dxa" w:w="2520"/>
          </w:tcPr>
          <w:p>
            <w:r>
              <w:t>3</w:t>
            </w:r>
          </w:p>
        </w:tc>
        <w:tc>
          <w:tcPr>
            <w:tcW w:type="dxa" w:w="2520"/>
          </w:tcPr>
          <w:p>
            <w:r>
              <w:t>1</w:t>
            </w:r>
          </w:p>
        </w:tc>
        <w:tc>
          <w:tcPr>
            <w:tcW w:type="dxa" w:w="2520"/>
          </w:tcPr>
          <w:p>
            <w:r>
              <w:t>15</w:t>
            </w:r>
          </w:p>
        </w:tc>
        <w:tc>
          <w:tcPr>
            <w:tcW w:type="dxa" w:w="2520"/>
          </w:tcPr>
          <w:p>
            <w:r>
              <w:t>exposed</w:t>
            </w:r>
          </w:p>
        </w:tc>
      </w:tr>
      <w:tr>
        <w:tc>
          <w:tcPr>
            <w:tcW w:type="dxa" w:w="2520"/>
          </w:tcPr>
          <w:p>
            <w:r>
              <w:t>4</w:t>
            </w:r>
          </w:p>
        </w:tc>
        <w:tc>
          <w:tcPr>
            <w:tcW w:type="dxa" w:w="2520"/>
          </w:tcPr>
          <w:p>
            <w:r>
              <w:t>1</w:t>
            </w:r>
          </w:p>
        </w:tc>
        <w:tc>
          <w:tcPr>
            <w:tcW w:type="dxa" w:w="2520"/>
          </w:tcPr>
          <w:p>
            <w:r>
              <w:t>17</w:t>
            </w:r>
          </w:p>
        </w:tc>
        <w:tc>
          <w:tcPr>
            <w:tcW w:type="dxa" w:w="2520"/>
          </w:tcPr>
          <w:p>
            <w:r>
              <w:t>exposed</w:t>
            </w:r>
          </w:p>
        </w:tc>
      </w:tr>
    </w:tbl>
    <w:p>
      <w:r>
        <w:t>The difference in group averages is easy to compute, but whether it is a causal effect depends on how exposure was assigned and whether the groups are otherwise comparable. This distinction is the heartbeat of modern applied econometrics.</w:t>
      </w:r>
    </w:p>
    <w:p>
      <w:pPr>
        <w:pStyle w:val="Heading2"/>
      </w:pPr>
      <w:r>
        <w:t>25.4 Formal framework</w:t>
      </w:r>
    </w:p>
    <w:p>
      <w:r>
        <w:t>Write the empirical model in a form that makes the target explicit. A generic conditional-mean representation is</w:t>
      </w:r>
    </w:p>
    <w:p>
      <w:pPr>
        <w:jc w:val="center"/>
      </w:pPr>
      <w:r>
        <w:t>E[Y | X] = m(X),     or in a linear approximation,     Y_i = β₀ + β₁X_i + u_i.</w:t>
      </w:r>
    </w:p>
    <w:p>
      <w:r>
        <w:t>Here Y is the outcome, X denotes observed information, β parameters summarize the chosen model, and u collects other determinants of the outcome. The crucial question is not only whether β can be estimated, but what β means under the design and assumptions.</w:t>
      </w:r>
    </w:p>
    <w:p>
      <w:pPr>
        <w:pStyle w:val="Heading2"/>
      </w:pPr>
      <w:r>
        <w:t>25.5 Python demonstration</w:t>
      </w:r>
    </w:p>
    <w:p>
      <w:pPr>
        <w:spacing w:after="0"/>
        <w:ind w:left="360"/>
      </w:pPr>
      <w:r>
        <w:rPr>
          <w:rFonts w:ascii="Liberation Mono" w:hAnsi="Liberation Mono"/>
          <w:sz w:val="17"/>
        </w:rPr>
        <w:t>import numpy as np, statsmodels.api as sm</w:t>
      </w:r>
    </w:p>
    <w:p>
      <w:pPr>
        <w:spacing w:after="0"/>
        <w:ind w:left="360"/>
      </w:pPr>
      <w:r>
        <w:rPr>
          <w:rFonts w:ascii="Liberation Mono" w:hAnsi="Liberation Mono"/>
          <w:sz w:val="17"/>
        </w:rPr>
        <w:t>rng=np.random.default_rng(25); x=rng.normal(size=800); p=1/(1+np.exp(-(-.5+1.2*x))); y=rng.binomial(1,p)</w:t>
      </w:r>
    </w:p>
    <w:p>
      <w:pPr>
        <w:spacing w:after="0"/>
        <w:ind w:left="360"/>
      </w:pPr>
      <w:r>
        <w:rPr>
          <w:rFonts w:ascii="Liberation Mono" w:hAnsi="Liberation Mono"/>
          <w:sz w:val="17"/>
        </w:rPr>
        <w:t>fit=sm.Logit(y,sm.add_constant(x)).fit(disp=False)</w:t>
      </w:r>
    </w:p>
    <w:p>
      <w:pPr>
        <w:spacing w:after="0"/>
        <w:ind w:left="360"/>
      </w:pPr>
      <w:r>
        <w:rPr>
          <w:rFonts w:ascii="Liberation Mono" w:hAnsi="Liberation Mono"/>
          <w:sz w:val="17"/>
        </w:rPr>
        <w:t>print(fit.params); print(fit.get_margeff().summary())</w:t>
      </w:r>
    </w:p>
    <w:p>
      <w:r>
        <w:t>Run the code in a clean notebook and inspect both the numerical output and the data-generating assumptions. The associated notebook in the student package reproduces the example with a fixed random seed.</w:t>
      </w:r>
    </w:p>
    <w:p>
      <w:r>
        <w:drawing>
          <wp:inline>
            <wp:extent cx="5669280" cy="3184116"/>
            <wp:docPr id="9" name="Picture 9" descr="Image: image10.png"/>
            <wp:cNvGraphicFramePr>
              <a:graphicFrameLocks noChangeAspect="1"/>
            </wp:cNvGraphicFramePr>
            <a:graphic>
              <a:graphicData uri="http://schemas.openxmlformats.org/drawingml/2006/picture">
                <pic:pic>
                  <pic:nvPicPr>
                    <pic:cNvPr id="0" name="ch25_discrete.png"/>
                    <pic:cNvPicPr/>
                  </pic:nvPicPr>
                  <pic:blipFill>
                    <a:blip r:embed="rId26"/>
                    <a:stretch>
                      <a:fillRect/>
                    </a:stretch>
                  </pic:blipFill>
                  <pic:spPr>
                    <a:xfrm>
                      <a:off x="0" y="0"/>
                      <a:ext cx="5669280" cy="3184116"/>
                    </a:xfrm>
                    <a:prstGeom prst="rect"/>
                  </pic:spPr>
                </pic:pic>
              </a:graphicData>
            </a:graphic>
          </wp:inline>
        </w:drawing>
      </w:r>
    </w:p>
    <w:p>
      <w:pPr>
        <w:jc w:val="center"/>
      </w:pPr>
      <w:r>
        <w:t>Figure 25.1. How should we model outcomes that are probabilities, categories, or event counts?</w:t>
      </w:r>
    </w:p>
    <w:p>
      <w:pPr>
        <w:pStyle w:val="Heading2"/>
      </w:pPr>
      <w:r>
        <w:t>25.6 Interpretation</w:t>
      </w:r>
    </w:p>
    <w:p>
      <w:r>
        <w:t>Interpret results in the units of the variables. Report sign, magnitude, uncertainty, and the population or time period to which the estimate applies. If a variable is logged, categorical, interacted, standardized, or transformed, translate the coefficient accordingly rather than reading it as a raw one-unit effect.</w:t>
      </w:r>
    </w:p>
    <w:p>
      <w:r>
        <w:t>Then separate statistical significance from economic significance. A precise estimate may be too small to matter economically; an economically important estimate may be imprecise. Both dimensions belong in the conclusion.</w:t>
      </w:r>
    </w:p>
    <w:p>
      <w:pPr>
        <w:pStyle w:val="Heading2"/>
      </w:pPr>
      <w:r>
        <w:t>25.7 Assumptions, diagnostics, and threats to validity</w:t>
      </w:r>
    </w:p>
    <w:p>
      <w:pPr>
        <w:pStyle w:val="ListBullet"/>
      </w:pPr>
      <w:r>
        <w:t>Is the unit of observation appropriate for the question?</w:t>
      </w:r>
    </w:p>
    <w:p>
      <w:pPr>
        <w:pStyle w:val="ListBullet"/>
      </w:pPr>
      <w:r>
        <w:t>Are timing and information sets respected?</w:t>
      </w:r>
    </w:p>
    <w:p>
      <w:pPr>
        <w:pStyle w:val="ListBullet"/>
      </w:pPr>
      <w:r>
        <w:t>Could selection, confounding, measurement error, or reverse causality matter?</w:t>
      </w:r>
    </w:p>
    <w:p>
      <w:pPr>
        <w:pStyle w:val="ListBullet"/>
      </w:pPr>
      <w:r>
        <w:t>Does the uncertainty estimator match the sampling or dependence structure?</w:t>
      </w:r>
    </w:p>
    <w:p>
      <w:pPr>
        <w:pStyle w:val="ListBullet"/>
      </w:pPr>
      <w:r>
        <w:t>Would the result survive reasonable alternative specifications?</w:t>
      </w:r>
    </w:p>
    <w:p>
      <w:pPr>
        <w:pStyle w:val="ListBullet"/>
      </w:pPr>
      <w:r>
        <w:t>Is the task predictive, descriptive, or causal?</w:t>
      </w:r>
    </w:p>
    <w:tbl>
      <w:tblPr>
        <w:tblW w:type="auto" w:w="0"/>
        <w:jc w:val="center"/>
        <w:tblLook w:firstColumn="1" w:firstRow="1" w:lastColumn="0" w:lastRow="0" w:noHBand="0" w:noVBand="1" w:val="04A0"/>
      </w:tblPr>
      <w:tblGrid>
        <w:gridCol w:w="10080"/>
      </w:tblGrid>
      <w:tr>
        <w:tc>
          <w:tcPr>
            <w:tcW w:type="dxa" w:w="10080"/>
          </w:tcPr>
          <w:p>
            <w:r/>
            <w:r>
              <w:rPr>
                <w:b/>
              </w:rPr>
              <w:t xml:space="preserve">Causal caution: </w:t>
            </w:r>
            <w:r>
              <w:t>High predictive accuracy, feature importance, or a small p-value does not by itself identify a causal effect. Causal language requires a defensible identification strategy.</w:t>
            </w:r>
          </w:p>
        </w:tc>
        <w:trPr>
          <w:tblHeader/>
        </w:trPr>
      </w:tr>
    </w:tbl>
    <w:tbl>
      <w:tblPr>
        <w:tblW w:type="auto" w:w="0"/>
        <w:jc w:val="center"/>
        <w:tblLook w:firstColumn="1" w:firstRow="1" w:lastColumn="0" w:lastRow="0" w:noHBand="0" w:noVBand="1" w:val="04A0"/>
      </w:tblPr>
      <w:tblGrid>
        <w:gridCol w:w="10080"/>
      </w:tblGrid>
      <w:tr>
        <w:tc>
          <w:tcPr>
            <w:tcW w:type="dxa" w:w="10080"/>
          </w:tcPr>
          <w:p>
            <w:r/>
            <w:r>
              <w:rPr>
                <w:b/>
              </w:rPr>
              <w:t xml:space="preserve">Ceteris LAB Tip: </w:t>
            </w:r>
            <w:r>
              <w:t>Write the research question and estimand in words before opening Python. If you cannot state what quantity you want to learn, adding packages will not rescue the analysis.</w:t>
            </w:r>
          </w:p>
        </w:tc>
        <w:trPr>
          <w:tblHeader/>
        </w:trPr>
      </w:tr>
    </w:tbl>
    <w:tbl>
      <w:tblPr>
        <w:tblW w:type="auto" w:w="0"/>
        <w:jc w:val="center"/>
        <w:tblLook w:firstColumn="1" w:firstRow="1" w:lastColumn="0" w:lastRow="0" w:noHBand="0" w:noVBand="1" w:val="04A0"/>
      </w:tblPr>
      <w:tblGrid>
        <w:gridCol w:w="10080"/>
      </w:tblGrid>
      <w:tr>
        <w:tc>
          <w:tcPr>
            <w:tcW w:type="dxa" w:w="10080"/>
          </w:tcPr>
          <w:p>
            <w:r/>
            <w:r>
              <w:rPr>
                <w:b/>
              </w:rPr>
              <w:t xml:space="preserve">Common mistake: </w:t>
            </w:r>
            <w:r>
              <w:t>Treating a software default as an econometric assumption. Defaults are conveniences; assumptions must be chosen and defended.</w:t>
            </w:r>
          </w:p>
        </w:tc>
        <w:trPr>
          <w:tblHeader/>
        </w:trPr>
      </w:tr>
    </w:tbl>
    <w:p>
      <w:pPr>
        <w:pStyle w:val="Heading2"/>
      </w:pPr>
      <w:r>
        <w:t>25.8 Guided practice</w:t>
      </w:r>
    </w:p>
    <w:p>
      <w:r>
        <w:t>Modify the notebook so that one assumption is deliberately violated. Re-estimate the model, compare the result, and explain why the estimate changed. This turns diagnostics from a checklist into an experiment.</w:t>
      </w:r>
    </w:p>
    <w:p>
      <w:pPr>
        <w:pStyle w:val="Heading2"/>
      </w:pPr>
      <w:r>
        <w:t>25.9 Exercises</w:t>
      </w:r>
    </w:p>
    <w:p>
      <w:pPr>
        <w:pStyle w:val="ListNumber"/>
      </w:pPr>
      <w:r>
        <w:t>Concept: In one paragraph, distinguish association, prediction, and causation for the chapter topic.</w:t>
      </w:r>
    </w:p>
    <w:p>
      <w:pPr>
        <w:pStyle w:val="ListNumber"/>
      </w:pPr>
      <w:r>
        <w:t>Python: Reproduce the demonstration with a different documented random seed and verify that the qualitative conclusion is stable.</w:t>
      </w:r>
    </w:p>
    <w:p>
      <w:pPr>
        <w:pStyle w:val="ListNumber"/>
      </w:pPr>
      <w:r>
        <w:t>Applied econometrics: Replace the simulated outcome with a legally shareable economic variable and document its units, source, and sample.</w:t>
      </w:r>
    </w:p>
    <w:p>
      <w:pPr>
        <w:pStyle w:val="ListNumber"/>
      </w:pPr>
      <w:r>
        <w:t>Interpretation: Write a 150-word results paragraph that reports magnitude and uncertainty without exaggerating the evidence.</w:t>
      </w:r>
    </w:p>
    <w:p>
      <w:pPr>
        <w:pStyle w:val="ListNumber"/>
      </w:pPr>
      <w:r>
        <w:t>Research challenge: Propose one alternative design or robustness check that would address the most important threat to validity.</w:t>
      </w:r>
    </w:p>
    <w:p>
      <w:pPr>
        <w:pStyle w:val="Heading2"/>
      </w:pPr>
      <w:r>
        <w:t>25.10 Chapter summary</w:t>
      </w:r>
    </w:p>
    <w:p>
      <w:r>
        <w:t>Binary, Ordered, and Count Outcomes is most useful when the economic question, statistical target, assumptions, code, and interpretation point in the same direction. Python makes the workflow reproducible; econometric reasoning determines what the output can mean.</w:t>
      </w:r>
    </w:p>
    <w:p>
      <w:pPr>
        <w:pStyle w:val="Heading2"/>
      </w:pPr>
      <w:r>
        <w:t>25.11 Key Python tools</w:t>
      </w:r>
    </w:p>
    <w:p>
      <w:r>
        <w:t>Core tools used across these chapters include NumPy for simulation, pandas for data structures, statsmodels for statistical inference, scikit-learn for predictive modeling, and Matplotlib for transparent visual diagnostics. Use the simplest maintained tool that answers the question.</w:t>
      </w:r>
    </w:p>
    <w:p>
      <w:r>
        <w:br w:type="page"/>
      </w:r>
    </w:p>
    <w:p>
      <w:pPr>
        <w:pStyle w:val="Heading1"/>
      </w:pPr>
      <w:r>
        <w:t>26</w:t>
        <w:tab/>
        <w:t>Censoring, Selection, Quantiles, and Robust Methods</w:t>
      </w:r>
    </w:p>
    <w:p>
      <w:pPr>
        <w:pStyle w:val="Subtitle"/>
      </w:pPr>
      <w:r>
        <w:t>What if the mean is not the whole story, or part of the outcome is unobserved?</w:t>
      </w:r>
    </w:p>
    <w:p>
      <w:pPr>
        <w:pStyle w:val="Heading2"/>
      </w:pPr>
      <w:r>
        <w:t>26.1 Learning objectives</w:t>
      </w:r>
    </w:p>
    <w:p>
      <w:pPr>
        <w:pStyle w:val="ListBullet"/>
      </w:pPr>
      <w:r>
        <w:t>Explain and apply censoring and truncation.</w:t>
      </w:r>
    </w:p>
    <w:p>
      <w:pPr>
        <w:pStyle w:val="ListBullet"/>
      </w:pPr>
      <w:r>
        <w:t>Explain and apply sample selection.</w:t>
      </w:r>
    </w:p>
    <w:p>
      <w:pPr>
        <w:pStyle w:val="ListBullet"/>
      </w:pPr>
      <w:r>
        <w:t>Explain and apply missing-data mechanisms.</w:t>
      </w:r>
    </w:p>
    <w:p>
      <w:pPr>
        <w:pStyle w:val="ListBullet"/>
      </w:pPr>
      <w:r>
        <w:t>Explain and apply survey weights.</w:t>
      </w:r>
    </w:p>
    <w:p>
      <w:pPr>
        <w:pStyle w:val="ListBullet"/>
      </w:pPr>
      <w:r>
        <w:t>Explain and apply robust regression.</w:t>
      </w:r>
    </w:p>
    <w:p>
      <w:pPr>
        <w:pStyle w:val="ListBullet"/>
      </w:pPr>
      <w:r>
        <w:t>Explain and apply quantile regression.</w:t>
      </w:r>
    </w:p>
    <w:p>
      <w:pPr>
        <w:pStyle w:val="ListBullet"/>
      </w:pPr>
      <w:r>
        <w:t>Explain and apply conditional quantiles.</w:t>
      </w:r>
    </w:p>
    <w:p>
      <w:pPr>
        <w:pStyle w:val="ListBullet"/>
      </w:pPr>
      <w:r>
        <w:t>Explain and apply distributional effects.</w:t>
      </w:r>
    </w:p>
    <w:tbl>
      <w:tblPr>
        <w:tblW w:type="auto" w:w="0"/>
        <w:jc w:val="center"/>
        <w:tblLook w:firstColumn="1" w:firstRow="1" w:lastColumn="0" w:lastRow="0" w:noHBand="0" w:noVBand="1" w:val="04A0"/>
      </w:tblPr>
      <w:tblGrid>
        <w:gridCol w:w="10080"/>
      </w:tblGrid>
      <w:tr>
        <w:tc>
          <w:tcPr>
            <w:tcW w:type="dxa" w:w="10080"/>
          </w:tcPr>
          <w:p>
            <w:r/>
            <w:r>
              <w:rPr>
                <w:b/>
              </w:rPr>
              <w:t xml:space="preserve">Concept in one sentence: </w:t>
            </w:r>
            <w:r>
              <w:t>Quantile regression asks how covariates relate to different points of the conditional outcome distribution, not just its mean.</w:t>
            </w:r>
          </w:p>
        </w:tc>
        <w:trPr>
          <w:tblHeader/>
        </w:trPr>
      </w:tr>
    </w:tbl>
    <w:p>
      <w:pPr>
        <w:pStyle w:val="Heading2"/>
      </w:pPr>
      <w:r>
        <w:t>26.2 Economic intuition</w:t>
      </w:r>
    </w:p>
    <w:p>
      <w:r>
        <w:t>This chapter begins from the economic question rather than from software syntax. The goal is to understand what information the data can legitimately provide about censoring, selection, quantiles, and robust methods. Python is used as a transparent laboratory: we state the question, define the target, inspect the data, estimate the model, and then challenge the result.</w:t>
      </w:r>
    </w:p>
    <w:p>
      <w:r>
        <w:t>A recurring distinction in econometrics is the difference between describing a pattern, predicting an outcome, and estimating a causal effect. These goals can use similar equations but require different assumptions. A model may forecast well while offering little causal interpretation, and a credible causal design may deliberately use a simple estimator because identification comes from the research design rather than algorithmic complexity.</w:t>
      </w:r>
    </w:p>
    <w:p>
      <w:r>
        <w:t>Throughout the chapter, pay attention to units, timing, sample construction, and the information set available to the analyst. Economic data are produced by institutions, markets, households, and firms. They are not abstract arrays. A good empirical workflow therefore combines statistical discipline with substantive economic reasoning.</w:t>
      </w:r>
    </w:p>
    <w:p>
      <w:pPr>
        <w:pStyle w:val="Heading2"/>
      </w:pPr>
      <w:r>
        <w:t>26.3 A small numerical example</w:t>
      </w:r>
    </w:p>
    <w:p>
      <w:r>
        <w:t>Start with a tiny hypothetical sample that can be checked by hand. Write the unit of observation, outcome, explanatory variable or treatment, and the comparison being made. Before estimating anything, ask what would make the comparison informative and what could make it misleading.</w:t>
      </w:r>
    </w:p>
    <w:tbl>
      <w:tblPr>
        <w:tblStyle w:val="TableGrid"/>
        <w:tblW w:type="auto" w:w="0"/>
        <w:jc w:val="center"/>
        <w:tblLook w:firstColumn="1" w:firstRow="1" w:lastColumn="0" w:lastRow="0" w:noHBand="0" w:noVBand="1" w:val="04A0"/>
      </w:tblPr>
      <w:tblGrid>
        <w:gridCol w:w="2520"/>
        <w:gridCol w:w="2520"/>
        <w:gridCol w:w="2520"/>
        <w:gridCol w:w="2520"/>
      </w:tblGrid>
      <w:tr>
        <w:tc>
          <w:tcPr>
            <w:tcW w:type="dxa" w:w="2520"/>
          </w:tcPr>
          <w:p>
            <w:r>
              <w:t>Observation</w:t>
            </w:r>
          </w:p>
        </w:tc>
        <w:tc>
          <w:tcPr>
            <w:tcW w:type="dxa" w:w="2520"/>
          </w:tcPr>
          <w:p>
            <w:r>
              <w:t>X / Treatment</w:t>
            </w:r>
          </w:p>
        </w:tc>
        <w:tc>
          <w:tcPr>
            <w:tcW w:type="dxa" w:w="2520"/>
          </w:tcPr>
          <w:p>
            <w:r>
              <w:t>Outcome Y</w:t>
            </w:r>
          </w:p>
        </w:tc>
        <w:tc>
          <w:tcPr>
            <w:tcW w:type="dxa" w:w="2520"/>
          </w:tcPr>
          <w:p>
            <w:r>
              <w:t>Interpretive note</w:t>
            </w:r>
          </w:p>
        </w:tc>
        <w:trPr>
          <w:tblHeader/>
        </w:trPr>
      </w:tr>
      <w:tr>
        <w:tc>
          <w:tcPr>
            <w:tcW w:type="dxa" w:w="2520"/>
          </w:tcPr>
          <w:p>
            <w:r>
              <w:t>1</w:t>
            </w:r>
          </w:p>
        </w:tc>
        <w:tc>
          <w:tcPr>
            <w:tcW w:type="dxa" w:w="2520"/>
          </w:tcPr>
          <w:p>
            <w:r>
              <w:t>0</w:t>
            </w:r>
          </w:p>
        </w:tc>
        <w:tc>
          <w:tcPr>
            <w:tcW w:type="dxa" w:w="2520"/>
          </w:tcPr>
          <w:p>
            <w:r>
              <w:t>10</w:t>
            </w:r>
          </w:p>
        </w:tc>
        <w:tc>
          <w:tcPr>
            <w:tcW w:type="dxa" w:w="2520"/>
          </w:tcPr>
          <w:p>
            <w:r>
              <w:t>baseline</w:t>
            </w:r>
          </w:p>
        </w:tc>
      </w:tr>
      <w:tr>
        <w:tc>
          <w:tcPr>
            <w:tcW w:type="dxa" w:w="2520"/>
          </w:tcPr>
          <w:p>
            <w:r>
              <w:t>2</w:t>
            </w:r>
          </w:p>
        </w:tc>
        <w:tc>
          <w:tcPr>
            <w:tcW w:type="dxa" w:w="2520"/>
          </w:tcPr>
          <w:p>
            <w:r>
              <w:t>0</w:t>
            </w:r>
          </w:p>
        </w:tc>
        <w:tc>
          <w:tcPr>
            <w:tcW w:type="dxa" w:w="2520"/>
          </w:tcPr>
          <w:p>
            <w:r>
              <w:t>12</w:t>
            </w:r>
          </w:p>
        </w:tc>
        <w:tc>
          <w:tcPr>
            <w:tcW w:type="dxa" w:w="2520"/>
          </w:tcPr>
          <w:p>
            <w:r>
              <w:t>comparison</w:t>
            </w:r>
          </w:p>
        </w:tc>
      </w:tr>
      <w:tr>
        <w:tc>
          <w:tcPr>
            <w:tcW w:type="dxa" w:w="2520"/>
          </w:tcPr>
          <w:p>
            <w:r>
              <w:t>3</w:t>
            </w:r>
          </w:p>
        </w:tc>
        <w:tc>
          <w:tcPr>
            <w:tcW w:type="dxa" w:w="2520"/>
          </w:tcPr>
          <w:p>
            <w:r>
              <w:t>1</w:t>
            </w:r>
          </w:p>
        </w:tc>
        <w:tc>
          <w:tcPr>
            <w:tcW w:type="dxa" w:w="2520"/>
          </w:tcPr>
          <w:p>
            <w:r>
              <w:t>15</w:t>
            </w:r>
          </w:p>
        </w:tc>
        <w:tc>
          <w:tcPr>
            <w:tcW w:type="dxa" w:w="2520"/>
          </w:tcPr>
          <w:p>
            <w:r>
              <w:t>exposed</w:t>
            </w:r>
          </w:p>
        </w:tc>
      </w:tr>
      <w:tr>
        <w:tc>
          <w:tcPr>
            <w:tcW w:type="dxa" w:w="2520"/>
          </w:tcPr>
          <w:p>
            <w:r>
              <w:t>4</w:t>
            </w:r>
          </w:p>
        </w:tc>
        <w:tc>
          <w:tcPr>
            <w:tcW w:type="dxa" w:w="2520"/>
          </w:tcPr>
          <w:p>
            <w:r>
              <w:t>1</w:t>
            </w:r>
          </w:p>
        </w:tc>
        <w:tc>
          <w:tcPr>
            <w:tcW w:type="dxa" w:w="2520"/>
          </w:tcPr>
          <w:p>
            <w:r>
              <w:t>17</w:t>
            </w:r>
          </w:p>
        </w:tc>
        <w:tc>
          <w:tcPr>
            <w:tcW w:type="dxa" w:w="2520"/>
          </w:tcPr>
          <w:p>
            <w:r>
              <w:t>exposed</w:t>
            </w:r>
          </w:p>
        </w:tc>
      </w:tr>
    </w:tbl>
    <w:p>
      <w:r>
        <w:t>The difference in group averages is easy to compute, but whether it is a causal effect depends on how exposure was assigned and whether the groups are otherwise comparable. This distinction is the heartbeat of modern applied econometrics.</w:t>
      </w:r>
    </w:p>
    <w:p>
      <w:pPr>
        <w:pStyle w:val="Heading2"/>
      </w:pPr>
      <w:r>
        <w:t>26.4 Formal framework</w:t>
      </w:r>
    </w:p>
    <w:p>
      <w:r>
        <w:t>Write the empirical model in a form that makes the target explicit. A generic conditional-mean representation is</w:t>
      </w:r>
    </w:p>
    <w:p>
      <w:pPr>
        <w:jc w:val="center"/>
      </w:pPr>
      <w:r>
        <w:t>E[Y | X] = m(X),     or in a linear approximation,     Y_i = β₀ + β₁X_i + u_i.</w:t>
      </w:r>
    </w:p>
    <w:p>
      <w:r>
        <w:t>Here Y is the outcome, X denotes observed information, β parameters summarize the chosen model, and u collects other determinants of the outcome. The crucial question is not only whether β can be estimated, but what β means under the design and assumptions.</w:t>
      </w:r>
    </w:p>
    <w:p>
      <w:pPr>
        <w:pStyle w:val="Heading2"/>
      </w:pPr>
      <w:r>
        <w:t>26.5 Python demonstration</w:t>
      </w:r>
    </w:p>
    <w:p>
      <w:pPr>
        <w:spacing w:after="0"/>
        <w:ind w:left="360"/>
      </w:pPr>
      <w:r>
        <w:rPr>
          <w:rFonts w:ascii="Liberation Mono" w:hAnsi="Liberation Mono"/>
          <w:sz w:val="17"/>
        </w:rPr>
        <w:t>import numpy as np, statsmodels.api as sm</w:t>
      </w:r>
    </w:p>
    <w:p>
      <w:pPr>
        <w:spacing w:after="0"/>
        <w:ind w:left="360"/>
      </w:pPr>
      <w:r>
        <w:rPr>
          <w:rFonts w:ascii="Liberation Mono" w:hAnsi="Liberation Mono"/>
          <w:sz w:val="17"/>
        </w:rPr>
        <w:t>rng=np.random.default_rng(26); x=rng.uniform(0,10,500); y=2+.7*x+rng.standard_t(3,500)*(1+.2*x)</w:t>
      </w:r>
    </w:p>
    <w:p>
      <w:pPr>
        <w:spacing w:after="0"/>
        <w:ind w:left="360"/>
      </w:pPr>
      <w:r>
        <w:rPr>
          <w:rFonts w:ascii="Liberation Mono" w:hAnsi="Liberation Mono"/>
          <w:sz w:val="17"/>
        </w:rPr>
        <w:t>X=sm.add_constant(x)</w:t>
      </w:r>
    </w:p>
    <w:p>
      <w:pPr>
        <w:spacing w:after="0"/>
        <w:ind w:left="360"/>
      </w:pPr>
      <w:r>
        <w:rPr>
          <w:rFonts w:ascii="Liberation Mono" w:hAnsi="Liberation Mono"/>
          <w:sz w:val="17"/>
        </w:rPr>
        <w:t>for q in [.25,.5,.75]:</w:t>
      </w:r>
    </w:p>
    <w:p>
      <w:pPr>
        <w:spacing w:after="0"/>
        <w:ind w:left="360"/>
      </w:pPr>
      <w:r>
        <w:rPr>
          <w:rFonts w:ascii="Liberation Mono" w:hAnsi="Liberation Mono"/>
          <w:sz w:val="17"/>
        </w:rPr>
        <w:t xml:space="preserve">    fit=sm.QuantReg(y,X).fit(q=q)</w:t>
      </w:r>
    </w:p>
    <w:p>
      <w:pPr>
        <w:spacing w:after="0"/>
        <w:ind w:left="360"/>
      </w:pPr>
      <w:r>
        <w:rPr>
          <w:rFonts w:ascii="Liberation Mono" w:hAnsi="Liberation Mono"/>
          <w:sz w:val="17"/>
        </w:rPr>
        <w:t xml:space="preserve">    print(q, fit.params)</w:t>
      </w:r>
    </w:p>
    <w:p>
      <w:r>
        <w:t>Run the code in a clean notebook and inspect both the numerical output and the data-generating assumptions. The associated notebook in the student package reproduces the example with a fixed random seed.</w:t>
      </w:r>
    </w:p>
    <w:p>
      <w:r>
        <w:drawing>
          <wp:inline>
            <wp:extent cx="5669280" cy="3186684"/>
            <wp:docPr id="10" name="Picture 10" descr="Image: image11.png"/>
            <wp:cNvGraphicFramePr>
              <a:graphicFrameLocks noChangeAspect="1"/>
            </wp:cNvGraphicFramePr>
            <a:graphic>
              <a:graphicData uri="http://schemas.openxmlformats.org/drawingml/2006/picture">
                <pic:pic>
                  <pic:nvPicPr>
                    <pic:cNvPr id="0" name="ch26_quantile.png"/>
                    <pic:cNvPicPr/>
                  </pic:nvPicPr>
                  <pic:blipFill>
                    <a:blip r:embed="rId27"/>
                    <a:stretch>
                      <a:fillRect/>
                    </a:stretch>
                  </pic:blipFill>
                  <pic:spPr>
                    <a:xfrm>
                      <a:off x="0" y="0"/>
                      <a:ext cx="5669280" cy="3186684"/>
                    </a:xfrm>
                    <a:prstGeom prst="rect"/>
                  </pic:spPr>
                </pic:pic>
              </a:graphicData>
            </a:graphic>
          </wp:inline>
        </w:drawing>
      </w:r>
    </w:p>
    <w:p>
      <w:pPr>
        <w:jc w:val="center"/>
      </w:pPr>
      <w:r>
        <w:t>Figure 26.1. What if the mean is not the whole story, or part of the outcome is unobserved?</w:t>
      </w:r>
    </w:p>
    <w:p>
      <w:pPr>
        <w:pStyle w:val="Heading2"/>
      </w:pPr>
      <w:r>
        <w:t>26.6 Interpretation</w:t>
      </w:r>
    </w:p>
    <w:p>
      <w:r>
        <w:t>Interpret results in the units of the variables. Report sign, magnitude, uncertainty, and the population or time period to which the estimate applies. If a variable is logged, categorical, interacted, standardized, or transformed, translate the coefficient accordingly rather than reading it as a raw one-unit effect.</w:t>
      </w:r>
    </w:p>
    <w:p>
      <w:r>
        <w:t>Then separate statistical significance from economic significance. A precise estimate may be too small to matter economically; an economically important estimate may be imprecise. Both dimensions belong in the conclusion.</w:t>
      </w:r>
    </w:p>
    <w:p>
      <w:pPr>
        <w:pStyle w:val="Heading2"/>
      </w:pPr>
      <w:r>
        <w:t>26.7 Assumptions, diagnostics, and threats to validity</w:t>
      </w:r>
    </w:p>
    <w:p>
      <w:pPr>
        <w:pStyle w:val="ListBullet"/>
      </w:pPr>
      <w:r>
        <w:t>Is the unit of observation appropriate for the question?</w:t>
      </w:r>
    </w:p>
    <w:p>
      <w:pPr>
        <w:pStyle w:val="ListBullet"/>
      </w:pPr>
      <w:r>
        <w:t>Are timing and information sets respected?</w:t>
      </w:r>
    </w:p>
    <w:p>
      <w:pPr>
        <w:pStyle w:val="ListBullet"/>
      </w:pPr>
      <w:r>
        <w:t>Could selection, confounding, measurement error, or reverse causality matter?</w:t>
      </w:r>
    </w:p>
    <w:p>
      <w:pPr>
        <w:pStyle w:val="ListBullet"/>
      </w:pPr>
      <w:r>
        <w:t>Does the uncertainty estimator match the sampling or dependence structure?</w:t>
      </w:r>
    </w:p>
    <w:p>
      <w:pPr>
        <w:pStyle w:val="ListBullet"/>
      </w:pPr>
      <w:r>
        <w:t>Would the result survive reasonable alternative specifications?</w:t>
      </w:r>
    </w:p>
    <w:p>
      <w:pPr>
        <w:pStyle w:val="ListBullet"/>
      </w:pPr>
      <w:r>
        <w:t>Is the task predictive, descriptive, or causal?</w:t>
      </w:r>
    </w:p>
    <w:tbl>
      <w:tblPr>
        <w:tblW w:type="auto" w:w="0"/>
        <w:jc w:val="center"/>
        <w:tblLook w:firstColumn="1" w:firstRow="1" w:lastColumn="0" w:lastRow="0" w:noHBand="0" w:noVBand="1" w:val="04A0"/>
      </w:tblPr>
      <w:tblGrid>
        <w:gridCol w:w="10080"/>
      </w:tblGrid>
      <w:tr>
        <w:tc>
          <w:tcPr>
            <w:tcW w:type="dxa" w:w="10080"/>
          </w:tcPr>
          <w:p>
            <w:r/>
            <w:r>
              <w:rPr>
                <w:b/>
              </w:rPr>
              <w:t xml:space="preserve">Causal caution: </w:t>
            </w:r>
            <w:r>
              <w:t>High predictive accuracy, feature importance, or a small p-value does not by itself identify a causal effect. Causal language requires a defensible identification strategy.</w:t>
            </w:r>
          </w:p>
        </w:tc>
        <w:trPr>
          <w:tblHeader/>
        </w:trPr>
      </w:tr>
    </w:tbl>
    <w:tbl>
      <w:tblPr>
        <w:tblW w:type="auto" w:w="0"/>
        <w:jc w:val="center"/>
        <w:tblLook w:firstColumn="1" w:firstRow="1" w:lastColumn="0" w:lastRow="0" w:noHBand="0" w:noVBand="1" w:val="04A0"/>
      </w:tblPr>
      <w:tblGrid>
        <w:gridCol w:w="10080"/>
      </w:tblGrid>
      <w:tr>
        <w:tc>
          <w:tcPr>
            <w:tcW w:type="dxa" w:w="10080"/>
          </w:tcPr>
          <w:p>
            <w:r/>
            <w:r>
              <w:rPr>
                <w:b/>
              </w:rPr>
              <w:t xml:space="preserve">Ceteris LAB Tip: </w:t>
            </w:r>
            <w:r>
              <w:t>Write the research question and estimand in words before opening Python. If you cannot state what quantity you want to learn, adding packages will not rescue the analysis.</w:t>
            </w:r>
          </w:p>
        </w:tc>
        <w:trPr>
          <w:tblHeader/>
        </w:trPr>
      </w:tr>
    </w:tbl>
    <w:tbl>
      <w:tblPr>
        <w:tblW w:type="auto" w:w="0"/>
        <w:jc w:val="center"/>
        <w:tblLook w:firstColumn="1" w:firstRow="1" w:lastColumn="0" w:lastRow="0" w:noHBand="0" w:noVBand="1" w:val="04A0"/>
      </w:tblPr>
      <w:tblGrid>
        <w:gridCol w:w="10080"/>
      </w:tblGrid>
      <w:tr>
        <w:tc>
          <w:tcPr>
            <w:tcW w:type="dxa" w:w="10080"/>
          </w:tcPr>
          <w:p>
            <w:r/>
            <w:r>
              <w:rPr>
                <w:b/>
              </w:rPr>
              <w:t xml:space="preserve">Common mistake: </w:t>
            </w:r>
            <w:r>
              <w:t>Treating a software default as an econometric assumption. Defaults are conveniences; assumptions must be chosen and defended.</w:t>
            </w:r>
          </w:p>
        </w:tc>
        <w:trPr>
          <w:tblHeader/>
        </w:trPr>
      </w:tr>
    </w:tbl>
    <w:p>
      <w:pPr>
        <w:pStyle w:val="Heading2"/>
      </w:pPr>
      <w:r>
        <w:t>26.8 Guided practice</w:t>
      </w:r>
    </w:p>
    <w:p>
      <w:r>
        <w:t>Modify the notebook so that one assumption is deliberately violated. Re-estimate the model, compare the result, and explain why the estimate changed. This turns diagnostics from a checklist into an experiment.</w:t>
      </w:r>
    </w:p>
    <w:p>
      <w:pPr>
        <w:pStyle w:val="Heading2"/>
      </w:pPr>
      <w:r>
        <w:t>26.9 Exercises</w:t>
      </w:r>
    </w:p>
    <w:p>
      <w:pPr>
        <w:pStyle w:val="ListNumber"/>
      </w:pPr>
      <w:r>
        <w:t>Concept: In one paragraph, distinguish association, prediction, and causation for the chapter topic.</w:t>
      </w:r>
    </w:p>
    <w:p>
      <w:pPr>
        <w:pStyle w:val="ListNumber"/>
      </w:pPr>
      <w:r>
        <w:t>Python: Reproduce the demonstration with a different documented random seed and verify that the qualitative conclusion is stable.</w:t>
      </w:r>
    </w:p>
    <w:p>
      <w:pPr>
        <w:pStyle w:val="ListNumber"/>
      </w:pPr>
      <w:r>
        <w:t>Applied econometrics: Replace the simulated outcome with a legally shareable economic variable and document its units, source, and sample.</w:t>
      </w:r>
    </w:p>
    <w:p>
      <w:pPr>
        <w:pStyle w:val="ListNumber"/>
      </w:pPr>
      <w:r>
        <w:t>Interpretation: Write a 150-word results paragraph that reports magnitude and uncertainty without exaggerating the evidence.</w:t>
      </w:r>
    </w:p>
    <w:p>
      <w:pPr>
        <w:pStyle w:val="ListNumber"/>
      </w:pPr>
      <w:r>
        <w:t>Research challenge: Propose one alternative design or robustness check that would address the most important threat to validity.</w:t>
      </w:r>
    </w:p>
    <w:p>
      <w:pPr>
        <w:pStyle w:val="Heading2"/>
      </w:pPr>
      <w:r>
        <w:t>26.10 Chapter summary</w:t>
      </w:r>
    </w:p>
    <w:p>
      <w:r>
        <w:t>Censoring, Selection, Quantiles, and Robust Methods is most useful when the economic question, statistical target, assumptions, code, and interpretation point in the same direction. Python makes the workflow reproducible; econometric reasoning determines what the output can mean.</w:t>
      </w:r>
    </w:p>
    <w:p>
      <w:pPr>
        <w:pStyle w:val="Heading2"/>
      </w:pPr>
      <w:r>
        <w:t>26.11 Key Python tools</w:t>
      </w:r>
    </w:p>
    <w:p>
      <w:r>
        <w:t>Core tools used across these chapters include NumPy for simulation, pandas for data structures, statsmodels for statistical inference, scikit-learn for predictive modeling, and Matplotlib for transparent visual diagnostics. Use the simplest maintained tool that answers the question.</w:t>
      </w:r>
    </w:p>
    <w:p>
      <w:r>
        <w:br w:type="page"/>
      </w:r>
    </w:p>
    <w:p>
      <w:pPr>
        <w:pStyle w:val="Heading1"/>
      </w:pPr>
      <w:r>
        <w:t>27</w:t>
        <w:tab/>
        <w:t>Potential Outcomes and Randomized Experiments</w:t>
      </w:r>
    </w:p>
    <w:p>
      <w:pPr>
        <w:pStyle w:val="Subtitle"/>
      </w:pPr>
      <w:r>
        <w:t>What does a causal effect mean for one unit, and why can we never observe both potential outcomes?</w:t>
      </w:r>
    </w:p>
    <w:p>
      <w:pPr>
        <w:pStyle w:val="Heading2"/>
      </w:pPr>
      <w:r>
        <w:t>27.1 Learning objectives</w:t>
      </w:r>
    </w:p>
    <w:p>
      <w:pPr>
        <w:pStyle w:val="ListBullet"/>
      </w:pPr>
      <w:r>
        <w:t>Explain and apply potential outcomes.</w:t>
      </w:r>
    </w:p>
    <w:p>
      <w:pPr>
        <w:pStyle w:val="ListBullet"/>
      </w:pPr>
      <w:r>
        <w:t>Explain and apply individual and average treatment effects.</w:t>
      </w:r>
    </w:p>
    <w:p>
      <w:pPr>
        <w:pStyle w:val="ListBullet"/>
      </w:pPr>
      <w:r>
        <w:t>Explain and apply fundamental problem of causal inference.</w:t>
      </w:r>
    </w:p>
    <w:p>
      <w:pPr>
        <w:pStyle w:val="ListBullet"/>
      </w:pPr>
      <w:r>
        <w:t>Explain and apply random assignment.</w:t>
      </w:r>
    </w:p>
    <w:p>
      <w:pPr>
        <w:pStyle w:val="ListBullet"/>
      </w:pPr>
      <w:r>
        <w:t>Explain and apply balance.</w:t>
      </w:r>
    </w:p>
    <w:p>
      <w:pPr>
        <w:pStyle w:val="ListBullet"/>
      </w:pPr>
      <w:r>
        <w:t>Explain and apply intention to treat.</w:t>
      </w:r>
    </w:p>
    <w:p>
      <w:pPr>
        <w:pStyle w:val="ListBullet"/>
      </w:pPr>
      <w:r>
        <w:t>Explain and apply compliance and attrition.</w:t>
      </w:r>
    </w:p>
    <w:p>
      <w:pPr>
        <w:pStyle w:val="ListBullet"/>
      </w:pPr>
      <w:r>
        <w:t>Explain and apply internal and external validity.</w:t>
      </w:r>
    </w:p>
    <w:tbl>
      <w:tblPr>
        <w:tblW w:type="auto" w:w="0"/>
        <w:jc w:val="center"/>
        <w:tblLook w:firstColumn="1" w:firstRow="1" w:lastColumn="0" w:lastRow="0" w:noHBand="0" w:noVBand="1" w:val="04A0"/>
      </w:tblPr>
      <w:tblGrid>
        <w:gridCol w:w="10080"/>
      </w:tblGrid>
      <w:tr>
        <w:tc>
          <w:tcPr>
            <w:tcW w:type="dxa" w:w="10080"/>
          </w:tcPr>
          <w:p>
            <w:r/>
            <w:r>
              <w:rPr>
                <w:b/>
              </w:rPr>
              <w:t xml:space="preserve">Concept in one sentence: </w:t>
            </w:r>
            <w:r>
              <w:t>A causal effect compares two potential outcomes for the same unit, but only one is observed.</w:t>
            </w:r>
          </w:p>
        </w:tc>
        <w:trPr>
          <w:tblHeader/>
        </w:trPr>
      </w:tr>
    </w:tbl>
    <w:p>
      <w:pPr>
        <w:pStyle w:val="Heading2"/>
      </w:pPr>
      <w:r>
        <w:t>27.2 Economic intuition</w:t>
      </w:r>
    </w:p>
    <w:p>
      <w:r>
        <w:t>This chapter begins from the economic question rather than from software syntax. The goal is to understand what information the data can legitimately provide about potential outcomes and randomized experiments. Python is used as a transparent laboratory: we state the question, define the target, inspect the data, estimate the model, and then challenge the result.</w:t>
      </w:r>
    </w:p>
    <w:p>
      <w:r>
        <w:t>A recurring distinction in econometrics is the difference between describing a pattern, predicting an outcome, and estimating a causal effect. These goals can use similar equations but require different assumptions. A model may forecast well while offering little causal interpretation, and a credible causal design may deliberately use a simple estimator because identification comes from the research design rather than algorithmic complexity.</w:t>
      </w:r>
    </w:p>
    <w:p>
      <w:r>
        <w:t>Throughout the chapter, pay attention to units, timing, sample construction, and the information set available to the analyst. Economic data are produced by institutions, markets, households, and firms. They are not abstract arrays. A good empirical workflow therefore combines statistical discipline with substantive economic reasoning.</w:t>
      </w:r>
    </w:p>
    <w:p>
      <w:pPr>
        <w:pStyle w:val="Heading2"/>
      </w:pPr>
      <w:r>
        <w:t>27.3 A small numerical example</w:t>
      </w:r>
    </w:p>
    <w:p>
      <w:r>
        <w:t>Start with a tiny hypothetical sample that can be checked by hand. Write the unit of observation, outcome, explanatory variable or treatment, and the comparison being made. Before estimating anything, ask what would make the comparison informative and what could make it misleading.</w:t>
      </w:r>
    </w:p>
    <w:tbl>
      <w:tblPr>
        <w:tblStyle w:val="TableGrid"/>
        <w:tblW w:type="auto" w:w="0"/>
        <w:jc w:val="center"/>
        <w:tblLook w:firstColumn="1" w:firstRow="1" w:lastColumn="0" w:lastRow="0" w:noHBand="0" w:noVBand="1" w:val="04A0"/>
      </w:tblPr>
      <w:tblGrid>
        <w:gridCol w:w="2520"/>
        <w:gridCol w:w="2520"/>
        <w:gridCol w:w="2520"/>
        <w:gridCol w:w="2520"/>
      </w:tblGrid>
      <w:tr>
        <w:tc>
          <w:tcPr>
            <w:tcW w:type="dxa" w:w="2520"/>
          </w:tcPr>
          <w:p>
            <w:r>
              <w:t>Observation</w:t>
            </w:r>
          </w:p>
        </w:tc>
        <w:tc>
          <w:tcPr>
            <w:tcW w:type="dxa" w:w="2520"/>
          </w:tcPr>
          <w:p>
            <w:r>
              <w:t>X / Treatment</w:t>
            </w:r>
          </w:p>
        </w:tc>
        <w:tc>
          <w:tcPr>
            <w:tcW w:type="dxa" w:w="2520"/>
          </w:tcPr>
          <w:p>
            <w:r>
              <w:t>Outcome Y</w:t>
            </w:r>
          </w:p>
        </w:tc>
        <w:tc>
          <w:tcPr>
            <w:tcW w:type="dxa" w:w="2520"/>
          </w:tcPr>
          <w:p>
            <w:r>
              <w:t>Interpretive note</w:t>
            </w:r>
          </w:p>
        </w:tc>
        <w:trPr>
          <w:tblHeader/>
        </w:trPr>
      </w:tr>
      <w:tr>
        <w:tc>
          <w:tcPr>
            <w:tcW w:type="dxa" w:w="2520"/>
          </w:tcPr>
          <w:p>
            <w:r>
              <w:t>1</w:t>
            </w:r>
          </w:p>
        </w:tc>
        <w:tc>
          <w:tcPr>
            <w:tcW w:type="dxa" w:w="2520"/>
          </w:tcPr>
          <w:p>
            <w:r>
              <w:t>0</w:t>
            </w:r>
          </w:p>
        </w:tc>
        <w:tc>
          <w:tcPr>
            <w:tcW w:type="dxa" w:w="2520"/>
          </w:tcPr>
          <w:p>
            <w:r>
              <w:t>10</w:t>
            </w:r>
          </w:p>
        </w:tc>
        <w:tc>
          <w:tcPr>
            <w:tcW w:type="dxa" w:w="2520"/>
          </w:tcPr>
          <w:p>
            <w:r>
              <w:t>baseline</w:t>
            </w:r>
          </w:p>
        </w:tc>
      </w:tr>
      <w:tr>
        <w:tc>
          <w:tcPr>
            <w:tcW w:type="dxa" w:w="2520"/>
          </w:tcPr>
          <w:p>
            <w:r>
              <w:t>2</w:t>
            </w:r>
          </w:p>
        </w:tc>
        <w:tc>
          <w:tcPr>
            <w:tcW w:type="dxa" w:w="2520"/>
          </w:tcPr>
          <w:p>
            <w:r>
              <w:t>0</w:t>
            </w:r>
          </w:p>
        </w:tc>
        <w:tc>
          <w:tcPr>
            <w:tcW w:type="dxa" w:w="2520"/>
          </w:tcPr>
          <w:p>
            <w:r>
              <w:t>12</w:t>
            </w:r>
          </w:p>
        </w:tc>
        <w:tc>
          <w:tcPr>
            <w:tcW w:type="dxa" w:w="2520"/>
          </w:tcPr>
          <w:p>
            <w:r>
              <w:t>comparison</w:t>
            </w:r>
          </w:p>
        </w:tc>
      </w:tr>
      <w:tr>
        <w:tc>
          <w:tcPr>
            <w:tcW w:type="dxa" w:w="2520"/>
          </w:tcPr>
          <w:p>
            <w:r>
              <w:t>3</w:t>
            </w:r>
          </w:p>
        </w:tc>
        <w:tc>
          <w:tcPr>
            <w:tcW w:type="dxa" w:w="2520"/>
          </w:tcPr>
          <w:p>
            <w:r>
              <w:t>1</w:t>
            </w:r>
          </w:p>
        </w:tc>
        <w:tc>
          <w:tcPr>
            <w:tcW w:type="dxa" w:w="2520"/>
          </w:tcPr>
          <w:p>
            <w:r>
              <w:t>15</w:t>
            </w:r>
          </w:p>
        </w:tc>
        <w:tc>
          <w:tcPr>
            <w:tcW w:type="dxa" w:w="2520"/>
          </w:tcPr>
          <w:p>
            <w:r>
              <w:t>exposed</w:t>
            </w:r>
          </w:p>
        </w:tc>
      </w:tr>
      <w:tr>
        <w:tc>
          <w:tcPr>
            <w:tcW w:type="dxa" w:w="2520"/>
          </w:tcPr>
          <w:p>
            <w:r>
              <w:t>4</w:t>
            </w:r>
          </w:p>
        </w:tc>
        <w:tc>
          <w:tcPr>
            <w:tcW w:type="dxa" w:w="2520"/>
          </w:tcPr>
          <w:p>
            <w:r>
              <w:t>1</w:t>
            </w:r>
          </w:p>
        </w:tc>
        <w:tc>
          <w:tcPr>
            <w:tcW w:type="dxa" w:w="2520"/>
          </w:tcPr>
          <w:p>
            <w:r>
              <w:t>17</w:t>
            </w:r>
          </w:p>
        </w:tc>
        <w:tc>
          <w:tcPr>
            <w:tcW w:type="dxa" w:w="2520"/>
          </w:tcPr>
          <w:p>
            <w:r>
              <w:t>exposed</w:t>
            </w:r>
          </w:p>
        </w:tc>
      </w:tr>
    </w:tbl>
    <w:p>
      <w:r>
        <w:t>The difference in group averages is easy to compute, but whether it is a causal effect depends on how exposure was assigned and whether the groups are otherwise comparable. This distinction is the heartbeat of modern applied econometrics.</w:t>
      </w:r>
    </w:p>
    <w:p>
      <w:pPr>
        <w:pStyle w:val="Heading2"/>
      </w:pPr>
      <w:r>
        <w:t>27.4 Formal framework</w:t>
      </w:r>
    </w:p>
    <w:p>
      <w:r>
        <w:t>Write the empirical model in a form that makes the target explicit. A generic conditional-mean representation is</w:t>
      </w:r>
    </w:p>
    <w:p>
      <w:pPr>
        <w:jc w:val="center"/>
      </w:pPr>
      <w:r>
        <w:t>E[Y | X] = m(X),     or in a linear approximation,     Y_i = β₀ + β₁X_i + u_i.</w:t>
      </w:r>
    </w:p>
    <w:p>
      <w:r>
        <w:t>Here Y is the outcome, X denotes observed information, β parameters summarize the chosen model, and u collects other determinants of the outcome. The crucial question is not only whether β can be estimated, but what β means under the design and assumptions.</w:t>
      </w:r>
    </w:p>
    <w:p>
      <w:pPr>
        <w:pStyle w:val="Heading2"/>
      </w:pPr>
      <w:r>
        <w:t>27.5 Python demonstration</w:t>
      </w:r>
    </w:p>
    <w:p>
      <w:pPr>
        <w:spacing w:after="0"/>
        <w:ind w:left="360"/>
      </w:pPr>
      <w:r>
        <w:rPr>
          <w:rFonts w:ascii="Liberation Mono" w:hAnsi="Liberation Mono"/>
          <w:sz w:val="17"/>
        </w:rPr>
        <w:t>import numpy as np</w:t>
      </w:r>
    </w:p>
    <w:p>
      <w:pPr>
        <w:spacing w:after="0"/>
        <w:ind w:left="360"/>
      </w:pPr>
      <w:r>
        <w:rPr>
          <w:rFonts w:ascii="Liberation Mono" w:hAnsi="Liberation Mono"/>
          <w:sz w:val="17"/>
        </w:rPr>
        <w:t>rng=np.random.default_rng(27); n=2000; treatment=rng.binomial(1,.5,n); y0=rng.normal(50,10,n); y=y0+5*treatment+rng.normal(0,3,n)</w:t>
      </w:r>
    </w:p>
    <w:p>
      <w:pPr>
        <w:spacing w:after="0"/>
        <w:ind w:left="360"/>
      </w:pPr>
      <w:r>
        <w:rPr>
          <w:rFonts w:ascii="Liberation Mono" w:hAnsi="Liberation Mono"/>
          <w:sz w:val="17"/>
        </w:rPr>
        <w:t>ate=y[treatment==1].mean()-y[treatment==0].mean()</w:t>
      </w:r>
    </w:p>
    <w:p>
      <w:pPr>
        <w:spacing w:after="0"/>
        <w:ind w:left="360"/>
      </w:pPr>
      <w:r>
        <w:rPr>
          <w:rFonts w:ascii="Liberation Mono" w:hAnsi="Liberation Mono"/>
          <w:sz w:val="17"/>
        </w:rPr>
        <w:t>print('difference in means',ate)</w:t>
      </w:r>
    </w:p>
    <w:p>
      <w:r>
        <w:t>Run the code in a clean notebook and inspect both the numerical output and the data-generating assumptions. The associated notebook in the student package reproduces the example with a fixed random seed.</w:t>
      </w:r>
    </w:p>
    <w:p>
      <w:r>
        <w:drawing>
          <wp:inline>
            <wp:extent cx="5669280" cy="3191256"/>
            <wp:docPr id="11" name="Picture 11" descr="Image: image12.png"/>
            <wp:cNvGraphicFramePr>
              <a:graphicFrameLocks noChangeAspect="1"/>
            </wp:cNvGraphicFramePr>
            <a:graphic>
              <a:graphicData uri="http://schemas.openxmlformats.org/drawingml/2006/picture">
                <pic:pic>
                  <pic:nvPicPr>
                    <pic:cNvPr id="0" name="ch27_rct.png"/>
                    <pic:cNvPicPr/>
                  </pic:nvPicPr>
                  <pic:blipFill>
                    <a:blip r:embed="rId28"/>
                    <a:stretch>
                      <a:fillRect/>
                    </a:stretch>
                  </pic:blipFill>
                  <pic:spPr>
                    <a:xfrm>
                      <a:off x="0" y="0"/>
                      <a:ext cx="5669280" cy="3191256"/>
                    </a:xfrm>
                    <a:prstGeom prst="rect"/>
                  </pic:spPr>
                </pic:pic>
              </a:graphicData>
            </a:graphic>
          </wp:inline>
        </w:drawing>
      </w:r>
    </w:p>
    <w:p>
      <w:pPr>
        <w:jc w:val="center"/>
      </w:pPr>
      <w:r>
        <w:t>Figure 27.1. What does a causal effect mean for one unit, and why can we never observe both potential outcomes?</w:t>
      </w:r>
    </w:p>
    <w:p>
      <w:pPr>
        <w:pStyle w:val="Heading2"/>
      </w:pPr>
      <w:r>
        <w:t>27.6 Interpretation</w:t>
      </w:r>
    </w:p>
    <w:p>
      <w:r>
        <w:t>Interpret results in the units of the variables. Report sign, magnitude, uncertainty, and the population or time period to which the estimate applies. If a variable is logged, categorical, interacted, standardized, or transformed, translate the coefficient accordingly rather than reading it as a raw one-unit effect.</w:t>
      </w:r>
    </w:p>
    <w:p>
      <w:r>
        <w:t>Then separate statistical significance from economic significance. A precise estimate may be too small to matter economically; an economically important estimate may be imprecise. Both dimensions belong in the conclusion.</w:t>
      </w:r>
    </w:p>
    <w:p>
      <w:pPr>
        <w:pStyle w:val="Heading2"/>
      </w:pPr>
      <w:r>
        <w:t>27.7 Assumptions, diagnostics, and threats to validity</w:t>
      </w:r>
    </w:p>
    <w:p>
      <w:pPr>
        <w:pStyle w:val="ListBullet"/>
      </w:pPr>
      <w:r>
        <w:t>Is the unit of observation appropriate for the question?</w:t>
      </w:r>
    </w:p>
    <w:p>
      <w:pPr>
        <w:pStyle w:val="ListBullet"/>
      </w:pPr>
      <w:r>
        <w:t>Are timing and information sets respected?</w:t>
      </w:r>
    </w:p>
    <w:p>
      <w:pPr>
        <w:pStyle w:val="ListBullet"/>
      </w:pPr>
      <w:r>
        <w:t>Could selection, confounding, measurement error, or reverse causality matter?</w:t>
      </w:r>
    </w:p>
    <w:p>
      <w:pPr>
        <w:pStyle w:val="ListBullet"/>
      </w:pPr>
      <w:r>
        <w:t>Does the uncertainty estimator match the sampling or dependence structure?</w:t>
      </w:r>
    </w:p>
    <w:p>
      <w:pPr>
        <w:pStyle w:val="ListBullet"/>
      </w:pPr>
      <w:r>
        <w:t>Would the result survive reasonable alternative specifications?</w:t>
      </w:r>
    </w:p>
    <w:p>
      <w:pPr>
        <w:pStyle w:val="ListBullet"/>
      </w:pPr>
      <w:r>
        <w:t>Is the task predictive, descriptive, or causal?</w:t>
      </w:r>
    </w:p>
    <w:tbl>
      <w:tblPr>
        <w:tblW w:type="auto" w:w="0"/>
        <w:jc w:val="center"/>
        <w:tblLook w:firstColumn="1" w:firstRow="1" w:lastColumn="0" w:lastRow="0" w:noHBand="0" w:noVBand="1" w:val="04A0"/>
      </w:tblPr>
      <w:tblGrid>
        <w:gridCol w:w="10080"/>
      </w:tblGrid>
      <w:tr>
        <w:tc>
          <w:tcPr>
            <w:tcW w:type="dxa" w:w="10080"/>
          </w:tcPr>
          <w:p>
            <w:r/>
            <w:r>
              <w:rPr>
                <w:b/>
              </w:rPr>
              <w:t xml:space="preserve">Causal caution: </w:t>
            </w:r>
            <w:r>
              <w:t>High predictive accuracy, feature importance, or a small p-value does not by itself identify a causal effect. Causal language requires a defensible identification strategy.</w:t>
            </w:r>
          </w:p>
        </w:tc>
        <w:trPr>
          <w:tblHeader/>
        </w:trPr>
      </w:tr>
    </w:tbl>
    <w:tbl>
      <w:tblPr>
        <w:tblW w:type="auto" w:w="0"/>
        <w:jc w:val="center"/>
        <w:tblLook w:firstColumn="1" w:firstRow="1" w:lastColumn="0" w:lastRow="0" w:noHBand="0" w:noVBand="1" w:val="04A0"/>
      </w:tblPr>
      <w:tblGrid>
        <w:gridCol w:w="10080"/>
      </w:tblGrid>
      <w:tr>
        <w:tc>
          <w:tcPr>
            <w:tcW w:type="dxa" w:w="10080"/>
          </w:tcPr>
          <w:p>
            <w:r/>
            <w:r>
              <w:rPr>
                <w:b/>
              </w:rPr>
              <w:t xml:space="preserve">Ceteris LAB Tip: </w:t>
            </w:r>
            <w:r>
              <w:t>Write the research question and estimand in words before opening Python. If you cannot state what quantity you want to learn, adding packages will not rescue the analysis.</w:t>
            </w:r>
          </w:p>
        </w:tc>
        <w:trPr>
          <w:tblHeader/>
        </w:trPr>
      </w:tr>
    </w:tbl>
    <w:tbl>
      <w:tblPr>
        <w:tblW w:type="auto" w:w="0"/>
        <w:jc w:val="center"/>
        <w:tblLook w:firstColumn="1" w:firstRow="1" w:lastColumn="0" w:lastRow="0" w:noHBand="0" w:noVBand="1" w:val="04A0"/>
      </w:tblPr>
      <w:tblGrid>
        <w:gridCol w:w="10080"/>
      </w:tblGrid>
      <w:tr>
        <w:tc>
          <w:tcPr>
            <w:tcW w:type="dxa" w:w="10080"/>
          </w:tcPr>
          <w:p>
            <w:r/>
            <w:r>
              <w:rPr>
                <w:b/>
              </w:rPr>
              <w:t xml:space="preserve">Common mistake: </w:t>
            </w:r>
            <w:r>
              <w:t>Treating a software default as an econometric assumption. Defaults are conveniences; assumptions must be chosen and defended.</w:t>
            </w:r>
          </w:p>
        </w:tc>
        <w:trPr>
          <w:tblHeader/>
        </w:trPr>
      </w:tr>
    </w:tbl>
    <w:p>
      <w:pPr>
        <w:pStyle w:val="Heading2"/>
      </w:pPr>
      <w:r>
        <w:t>27.8 Guided practice</w:t>
      </w:r>
    </w:p>
    <w:p>
      <w:r>
        <w:t>Modify the notebook so that one assumption is deliberately violated. Re-estimate the model, compare the result, and explain why the estimate changed. This turns diagnostics from a checklist into an experiment.</w:t>
      </w:r>
    </w:p>
    <w:p>
      <w:pPr>
        <w:pStyle w:val="Heading2"/>
      </w:pPr>
      <w:r>
        <w:t>27.9 Exercises</w:t>
      </w:r>
    </w:p>
    <w:p>
      <w:pPr>
        <w:pStyle w:val="ListNumber"/>
      </w:pPr>
      <w:r>
        <w:t>Concept: In one paragraph, distinguish association, prediction, and causation for the chapter topic.</w:t>
      </w:r>
    </w:p>
    <w:p>
      <w:pPr>
        <w:pStyle w:val="ListNumber"/>
      </w:pPr>
      <w:r>
        <w:t>Python: Reproduce the demonstration with a different documented random seed and verify that the qualitative conclusion is stable.</w:t>
      </w:r>
    </w:p>
    <w:p>
      <w:pPr>
        <w:pStyle w:val="ListNumber"/>
      </w:pPr>
      <w:r>
        <w:t>Applied econometrics: Replace the simulated outcome with a legally shareable economic variable and document its units, source, and sample.</w:t>
      </w:r>
    </w:p>
    <w:p>
      <w:pPr>
        <w:pStyle w:val="ListNumber"/>
      </w:pPr>
      <w:r>
        <w:t>Interpretation: Write a 150-word results paragraph that reports magnitude and uncertainty without exaggerating the evidence.</w:t>
      </w:r>
    </w:p>
    <w:p>
      <w:pPr>
        <w:pStyle w:val="ListNumber"/>
      </w:pPr>
      <w:r>
        <w:t>Research challenge: Propose one alternative design or robustness check that would address the most important threat to validity.</w:t>
      </w:r>
    </w:p>
    <w:p>
      <w:pPr>
        <w:pStyle w:val="Heading2"/>
      </w:pPr>
      <w:r>
        <w:t>27.10 Chapter summary</w:t>
      </w:r>
    </w:p>
    <w:p>
      <w:r>
        <w:t>Potential Outcomes and Randomized Experiments is most useful when the economic question, statistical target, assumptions, code, and interpretation point in the same direction. Python makes the workflow reproducible; econometric reasoning determines what the output can mean.</w:t>
      </w:r>
    </w:p>
    <w:p>
      <w:pPr>
        <w:pStyle w:val="Heading2"/>
      </w:pPr>
      <w:r>
        <w:t>27.11 Key Python tools</w:t>
      </w:r>
    </w:p>
    <w:p>
      <w:r>
        <w:t>Core tools used across these chapters include NumPy for simulation, pandas for data structures, statsmodels for statistical inference, scikit-learn for predictive modeling, and Matplotlib for transparent visual diagnostics. Use the simplest maintained tool that answers the question.</w:t>
      </w:r>
    </w:p>
    <w:p>
      <w:r>
        <w:br w:type="page"/>
      </w:r>
    </w:p>
    <w:p>
      <w:pPr>
        <w:pStyle w:val="Heading1"/>
      </w:pPr>
      <w:r>
        <w:t>28</w:t>
        <w:tab/>
        <w:t>Matching, Propensity Scores, Weighting, and Doubly Robust Estimation</w:t>
      </w:r>
    </w:p>
    <w:p>
      <w:pPr>
        <w:pStyle w:val="Subtitle"/>
      </w:pPr>
      <w:r>
        <w:t>How can observational studies improve comparability when treatment is not randomized?</w:t>
      </w:r>
    </w:p>
    <w:p>
      <w:pPr>
        <w:pStyle w:val="Heading2"/>
      </w:pPr>
      <w:r>
        <w:t>28.1 Learning objectives</w:t>
      </w:r>
    </w:p>
    <w:p>
      <w:pPr>
        <w:pStyle w:val="ListBullet"/>
      </w:pPr>
      <w:r>
        <w:t>Explain and apply selection on observables.</w:t>
      </w:r>
    </w:p>
    <w:p>
      <w:pPr>
        <w:pStyle w:val="ListBullet"/>
      </w:pPr>
      <w:r>
        <w:t>Explain and apply propensity score.</w:t>
      </w:r>
    </w:p>
    <w:p>
      <w:pPr>
        <w:pStyle w:val="ListBullet"/>
      </w:pPr>
      <w:r>
        <w:t>Explain and apply overlap.</w:t>
      </w:r>
    </w:p>
    <w:p>
      <w:pPr>
        <w:pStyle w:val="ListBullet"/>
      </w:pPr>
      <w:r>
        <w:t>Explain and apply common support.</w:t>
      </w:r>
    </w:p>
    <w:p>
      <w:pPr>
        <w:pStyle w:val="ListBullet"/>
      </w:pPr>
      <w:r>
        <w:t>Explain and apply matching.</w:t>
      </w:r>
    </w:p>
    <w:p>
      <w:pPr>
        <w:pStyle w:val="ListBullet"/>
      </w:pPr>
      <w:r>
        <w:t>Explain and apply inverse-probability weighting.</w:t>
      </w:r>
    </w:p>
    <w:p>
      <w:pPr>
        <w:pStyle w:val="ListBullet"/>
      </w:pPr>
      <w:r>
        <w:t>Explain and apply covariate balance.</w:t>
      </w:r>
    </w:p>
    <w:p>
      <w:pPr>
        <w:pStyle w:val="ListBullet"/>
      </w:pPr>
      <w:r>
        <w:t>Explain and apply doubly robust estimation.</w:t>
      </w:r>
    </w:p>
    <w:p>
      <w:pPr>
        <w:pStyle w:val="ListBullet"/>
      </w:pPr>
      <w:r>
        <w:t>Explain and apply sensitivity to unobserved confounding.</w:t>
      </w:r>
    </w:p>
    <w:tbl>
      <w:tblPr>
        <w:tblW w:type="auto" w:w="0"/>
        <w:jc w:val="center"/>
        <w:tblLook w:firstColumn="1" w:firstRow="1" w:lastColumn="0" w:lastRow="0" w:noHBand="0" w:noVBand="1" w:val="04A0"/>
      </w:tblPr>
      <w:tblGrid>
        <w:gridCol w:w="10080"/>
      </w:tblGrid>
      <w:tr>
        <w:tc>
          <w:tcPr>
            <w:tcW w:type="dxa" w:w="10080"/>
          </w:tcPr>
          <w:p>
            <w:r/>
            <w:r>
              <w:rPr>
                <w:b/>
              </w:rPr>
              <w:t xml:space="preserve">Concept in one sentence: </w:t>
            </w:r>
            <w:r>
              <w:t>Propensity methods rebalance observed covariates; they do not eliminate bias from unobserved confounding.</w:t>
            </w:r>
          </w:p>
        </w:tc>
        <w:trPr>
          <w:tblHeader/>
        </w:trPr>
      </w:tr>
    </w:tbl>
    <w:p>
      <w:pPr>
        <w:pStyle w:val="Heading2"/>
      </w:pPr>
      <w:r>
        <w:t>28.2 Economic intuition</w:t>
      </w:r>
    </w:p>
    <w:p>
      <w:r>
        <w:t>This chapter begins from the economic question rather than from software syntax. The goal is to understand what information the data can legitimately provide about matching, propensity scores, weighting, and doubly robust estimation. Python is used as a transparent laboratory: we state the question, define the target, inspect the data, estimate the model, and then challenge the result.</w:t>
      </w:r>
    </w:p>
    <w:p>
      <w:r>
        <w:t>A recurring distinction in econometrics is the difference between describing a pattern, predicting an outcome, and estimating a causal effect. These goals can use similar equations but require different assumptions. A model may forecast well while offering little causal interpretation, and a credible causal design may deliberately use a simple estimator because identification comes from the research design rather than algorithmic complexity.</w:t>
      </w:r>
    </w:p>
    <w:p>
      <w:r>
        <w:t>Throughout the chapter, pay attention to units, timing, sample construction, and the information set available to the analyst. Economic data are produced by institutions, markets, households, and firms. They are not abstract arrays. A good empirical workflow therefore combines statistical discipline with substantive economic reasoning.</w:t>
      </w:r>
    </w:p>
    <w:p>
      <w:pPr>
        <w:pStyle w:val="Heading2"/>
      </w:pPr>
      <w:r>
        <w:t>28.3 A small numerical example</w:t>
      </w:r>
    </w:p>
    <w:p>
      <w:r>
        <w:t>Start with a tiny hypothetical sample that can be checked by hand. Write the unit of observation, outcome, explanatory variable or treatment, and the comparison being made. Before estimating anything, ask what would make the comparison informative and what could make it misleading.</w:t>
      </w:r>
    </w:p>
    <w:tbl>
      <w:tblPr>
        <w:tblStyle w:val="TableGrid"/>
        <w:tblW w:type="auto" w:w="0"/>
        <w:jc w:val="center"/>
        <w:tblLook w:firstColumn="1" w:firstRow="1" w:lastColumn="0" w:lastRow="0" w:noHBand="0" w:noVBand="1" w:val="04A0"/>
      </w:tblPr>
      <w:tblGrid>
        <w:gridCol w:w="2520"/>
        <w:gridCol w:w="2520"/>
        <w:gridCol w:w="2520"/>
        <w:gridCol w:w="2520"/>
      </w:tblGrid>
      <w:tr>
        <w:tc>
          <w:tcPr>
            <w:tcW w:type="dxa" w:w="2520"/>
          </w:tcPr>
          <w:p>
            <w:r>
              <w:t>Observation</w:t>
            </w:r>
          </w:p>
        </w:tc>
        <w:tc>
          <w:tcPr>
            <w:tcW w:type="dxa" w:w="2520"/>
          </w:tcPr>
          <w:p>
            <w:r>
              <w:t>X / Treatment</w:t>
            </w:r>
          </w:p>
        </w:tc>
        <w:tc>
          <w:tcPr>
            <w:tcW w:type="dxa" w:w="2520"/>
          </w:tcPr>
          <w:p>
            <w:r>
              <w:t>Outcome Y</w:t>
            </w:r>
          </w:p>
        </w:tc>
        <w:tc>
          <w:tcPr>
            <w:tcW w:type="dxa" w:w="2520"/>
          </w:tcPr>
          <w:p>
            <w:r>
              <w:t>Interpretive note</w:t>
            </w:r>
          </w:p>
        </w:tc>
        <w:trPr>
          <w:tblHeader/>
        </w:trPr>
      </w:tr>
      <w:tr>
        <w:tc>
          <w:tcPr>
            <w:tcW w:type="dxa" w:w="2520"/>
          </w:tcPr>
          <w:p>
            <w:r>
              <w:t>1</w:t>
            </w:r>
          </w:p>
        </w:tc>
        <w:tc>
          <w:tcPr>
            <w:tcW w:type="dxa" w:w="2520"/>
          </w:tcPr>
          <w:p>
            <w:r>
              <w:t>0</w:t>
            </w:r>
          </w:p>
        </w:tc>
        <w:tc>
          <w:tcPr>
            <w:tcW w:type="dxa" w:w="2520"/>
          </w:tcPr>
          <w:p>
            <w:r>
              <w:t>10</w:t>
            </w:r>
          </w:p>
        </w:tc>
        <w:tc>
          <w:tcPr>
            <w:tcW w:type="dxa" w:w="2520"/>
          </w:tcPr>
          <w:p>
            <w:r>
              <w:t>baseline</w:t>
            </w:r>
          </w:p>
        </w:tc>
      </w:tr>
      <w:tr>
        <w:tc>
          <w:tcPr>
            <w:tcW w:type="dxa" w:w="2520"/>
          </w:tcPr>
          <w:p>
            <w:r>
              <w:t>2</w:t>
            </w:r>
          </w:p>
        </w:tc>
        <w:tc>
          <w:tcPr>
            <w:tcW w:type="dxa" w:w="2520"/>
          </w:tcPr>
          <w:p>
            <w:r>
              <w:t>0</w:t>
            </w:r>
          </w:p>
        </w:tc>
        <w:tc>
          <w:tcPr>
            <w:tcW w:type="dxa" w:w="2520"/>
          </w:tcPr>
          <w:p>
            <w:r>
              <w:t>12</w:t>
            </w:r>
          </w:p>
        </w:tc>
        <w:tc>
          <w:tcPr>
            <w:tcW w:type="dxa" w:w="2520"/>
          </w:tcPr>
          <w:p>
            <w:r>
              <w:t>comparison</w:t>
            </w:r>
          </w:p>
        </w:tc>
      </w:tr>
      <w:tr>
        <w:tc>
          <w:tcPr>
            <w:tcW w:type="dxa" w:w="2520"/>
          </w:tcPr>
          <w:p>
            <w:r>
              <w:t>3</w:t>
            </w:r>
          </w:p>
        </w:tc>
        <w:tc>
          <w:tcPr>
            <w:tcW w:type="dxa" w:w="2520"/>
          </w:tcPr>
          <w:p>
            <w:r>
              <w:t>1</w:t>
            </w:r>
          </w:p>
        </w:tc>
        <w:tc>
          <w:tcPr>
            <w:tcW w:type="dxa" w:w="2520"/>
          </w:tcPr>
          <w:p>
            <w:r>
              <w:t>15</w:t>
            </w:r>
          </w:p>
        </w:tc>
        <w:tc>
          <w:tcPr>
            <w:tcW w:type="dxa" w:w="2520"/>
          </w:tcPr>
          <w:p>
            <w:r>
              <w:t>exposed</w:t>
            </w:r>
          </w:p>
        </w:tc>
      </w:tr>
      <w:tr>
        <w:tc>
          <w:tcPr>
            <w:tcW w:type="dxa" w:w="2520"/>
          </w:tcPr>
          <w:p>
            <w:r>
              <w:t>4</w:t>
            </w:r>
          </w:p>
        </w:tc>
        <w:tc>
          <w:tcPr>
            <w:tcW w:type="dxa" w:w="2520"/>
          </w:tcPr>
          <w:p>
            <w:r>
              <w:t>1</w:t>
            </w:r>
          </w:p>
        </w:tc>
        <w:tc>
          <w:tcPr>
            <w:tcW w:type="dxa" w:w="2520"/>
          </w:tcPr>
          <w:p>
            <w:r>
              <w:t>17</w:t>
            </w:r>
          </w:p>
        </w:tc>
        <w:tc>
          <w:tcPr>
            <w:tcW w:type="dxa" w:w="2520"/>
          </w:tcPr>
          <w:p>
            <w:r>
              <w:t>exposed</w:t>
            </w:r>
          </w:p>
        </w:tc>
      </w:tr>
    </w:tbl>
    <w:p>
      <w:r>
        <w:t>The difference in group averages is easy to compute, but whether it is a causal effect depends on how exposure was assigned and whether the groups are otherwise comparable. This distinction is the heartbeat of modern applied econometrics.</w:t>
      </w:r>
    </w:p>
    <w:p>
      <w:pPr>
        <w:pStyle w:val="Heading2"/>
      </w:pPr>
      <w:r>
        <w:t>28.4 Formal framework</w:t>
      </w:r>
    </w:p>
    <w:p>
      <w:r>
        <w:t>Write the empirical model in a form that makes the target explicit. A generic conditional-mean representation is</w:t>
      </w:r>
    </w:p>
    <w:p>
      <w:pPr>
        <w:jc w:val="center"/>
      </w:pPr>
      <w:r>
        <w:t>E[Y | X] = m(X),     or in a linear approximation,     Y_i = β₀ + β₁X_i + u_i.</w:t>
      </w:r>
    </w:p>
    <w:p>
      <w:r>
        <w:t>Here Y is the outcome, X denotes observed information, β parameters summarize the chosen model, and u collects other determinants of the outcome. The crucial question is not only whether β can be estimated, but what β means under the design and assumptions.</w:t>
      </w:r>
    </w:p>
    <w:p>
      <w:pPr>
        <w:pStyle w:val="Heading2"/>
      </w:pPr>
      <w:r>
        <w:t>28.5 Python demonstration</w:t>
      </w:r>
    </w:p>
    <w:p>
      <w:pPr>
        <w:spacing w:after="0"/>
        <w:ind w:left="360"/>
      </w:pPr>
      <w:r>
        <w:rPr>
          <w:rFonts w:ascii="Liberation Mono" w:hAnsi="Liberation Mono"/>
          <w:sz w:val="17"/>
        </w:rPr>
        <w:t>import numpy as np</w:t>
      </w:r>
    </w:p>
    <w:p>
      <w:pPr>
        <w:spacing w:after="0"/>
        <w:ind w:left="360"/>
      </w:pPr>
      <w:r>
        <w:rPr>
          <w:rFonts w:ascii="Liberation Mono" w:hAnsi="Liberation Mono"/>
          <w:sz w:val="17"/>
        </w:rPr>
        <w:t>from sklearn.linear_model import LogisticRegression</w:t>
      </w:r>
    </w:p>
    <w:p>
      <w:pPr>
        <w:spacing w:after="0"/>
        <w:ind w:left="360"/>
      </w:pPr>
      <w:r>
        <w:rPr>
          <w:rFonts w:ascii="Liberation Mono" w:hAnsi="Liberation Mono"/>
          <w:sz w:val="17"/>
        </w:rPr>
        <w:t>rng=np.random.default_rng(28); n=1500; x=rng.normal(size=(n,3)); ps=1/(1+np.exp(-(x[:,0]-.5*x[:,1]))); d=rng.binomial(1,ps); y=2*d+x[:,0]+rng.normal(size=n)</w:t>
      </w:r>
    </w:p>
    <w:p>
      <w:pPr>
        <w:spacing w:after="0"/>
        <w:ind w:left="360"/>
      </w:pPr>
      <w:r>
        <w:rPr>
          <w:rFonts w:ascii="Liberation Mono" w:hAnsi="Liberation Mono"/>
          <w:sz w:val="17"/>
        </w:rPr>
        <w:t>logit=LogisticRegression().fit(x,d); phat=logit.predict_proba(x)[:,1]</w:t>
      </w:r>
    </w:p>
    <w:p>
      <w:pPr>
        <w:spacing w:after="0"/>
        <w:ind w:left="360"/>
      </w:pPr>
      <w:r>
        <w:rPr>
          <w:rFonts w:ascii="Liberation Mono" w:hAnsi="Liberation Mono"/>
          <w:sz w:val="17"/>
        </w:rPr>
        <w:t>w=d/phat+(1-d)/(1-phat)</w:t>
      </w:r>
    </w:p>
    <w:p>
      <w:pPr>
        <w:spacing w:after="0"/>
        <w:ind w:left="360"/>
      </w:pPr>
      <w:r>
        <w:rPr>
          <w:rFonts w:ascii="Liberation Mono" w:hAnsi="Liberation Mono"/>
          <w:sz w:val="17"/>
        </w:rPr>
        <w:t>print('IPW ATE',np.average(d*y/phat)-np.average((1-d)*y/(1-phat)))</w:t>
      </w:r>
    </w:p>
    <w:p>
      <w:r>
        <w:t>Run the code in a clean notebook and inspect both the numerical output and the data-generating assumptions. The associated notebook in the student package reproduces the example with a fixed random seed.</w:t>
      </w:r>
    </w:p>
    <w:p>
      <w:r>
        <w:drawing>
          <wp:inline>
            <wp:extent cx="5669280" cy="3186684"/>
            <wp:docPr id="12" name="Picture 12" descr="Image: image13.png"/>
            <wp:cNvGraphicFramePr>
              <a:graphicFrameLocks noChangeAspect="1"/>
            </wp:cNvGraphicFramePr>
            <a:graphic>
              <a:graphicData uri="http://schemas.openxmlformats.org/drawingml/2006/picture">
                <pic:pic>
                  <pic:nvPicPr>
                    <pic:cNvPr id="0" name="ch28_matching.png"/>
                    <pic:cNvPicPr/>
                  </pic:nvPicPr>
                  <pic:blipFill>
                    <a:blip r:embed="rId29"/>
                    <a:stretch>
                      <a:fillRect/>
                    </a:stretch>
                  </pic:blipFill>
                  <pic:spPr>
                    <a:xfrm>
                      <a:off x="0" y="0"/>
                      <a:ext cx="5669280" cy="3186684"/>
                    </a:xfrm>
                    <a:prstGeom prst="rect"/>
                  </pic:spPr>
                </pic:pic>
              </a:graphicData>
            </a:graphic>
          </wp:inline>
        </w:drawing>
      </w:r>
    </w:p>
    <w:p>
      <w:pPr>
        <w:jc w:val="center"/>
      </w:pPr>
      <w:r>
        <w:t>Figure 28.1. How can observational studies improve comparability when treatment is not randomized?</w:t>
      </w:r>
    </w:p>
    <w:p>
      <w:pPr>
        <w:pStyle w:val="Heading2"/>
      </w:pPr>
      <w:r>
        <w:t>28.6 Interpretation</w:t>
      </w:r>
    </w:p>
    <w:p>
      <w:r>
        <w:t>Interpret results in the units of the variables. Report sign, magnitude, uncertainty, and the population or time period to which the estimate applies. If a variable is logged, categorical, interacted, standardized, or transformed, translate the coefficient accordingly rather than reading it as a raw one-unit effect.</w:t>
      </w:r>
    </w:p>
    <w:p>
      <w:r>
        <w:t>Then separate statistical significance from economic significance. A precise estimate may be too small to matter economically; an economically important estimate may be imprecise. Both dimensions belong in the conclusion.</w:t>
      </w:r>
    </w:p>
    <w:p>
      <w:pPr>
        <w:pStyle w:val="Heading2"/>
      </w:pPr>
      <w:r>
        <w:t>28.7 Assumptions, diagnostics, and threats to validity</w:t>
      </w:r>
    </w:p>
    <w:p>
      <w:pPr>
        <w:pStyle w:val="ListBullet"/>
      </w:pPr>
      <w:r>
        <w:t>Is the unit of observation appropriate for the question?</w:t>
      </w:r>
    </w:p>
    <w:p>
      <w:pPr>
        <w:pStyle w:val="ListBullet"/>
      </w:pPr>
      <w:r>
        <w:t>Are timing and information sets respected?</w:t>
      </w:r>
    </w:p>
    <w:p>
      <w:pPr>
        <w:pStyle w:val="ListBullet"/>
      </w:pPr>
      <w:r>
        <w:t>Could selection, confounding, measurement error, or reverse causality matter?</w:t>
      </w:r>
    </w:p>
    <w:p>
      <w:pPr>
        <w:pStyle w:val="ListBullet"/>
      </w:pPr>
      <w:r>
        <w:t>Does the uncertainty estimator match the sampling or dependence structure?</w:t>
      </w:r>
    </w:p>
    <w:p>
      <w:pPr>
        <w:pStyle w:val="ListBullet"/>
      </w:pPr>
      <w:r>
        <w:t>Would the result survive reasonable alternative specifications?</w:t>
      </w:r>
    </w:p>
    <w:p>
      <w:pPr>
        <w:pStyle w:val="ListBullet"/>
      </w:pPr>
      <w:r>
        <w:t>Is the task predictive, descriptive, or causal?</w:t>
      </w:r>
    </w:p>
    <w:tbl>
      <w:tblPr>
        <w:tblW w:type="auto" w:w="0"/>
        <w:jc w:val="center"/>
        <w:tblLook w:firstColumn="1" w:firstRow="1" w:lastColumn="0" w:lastRow="0" w:noHBand="0" w:noVBand="1" w:val="04A0"/>
      </w:tblPr>
      <w:tblGrid>
        <w:gridCol w:w="10080"/>
      </w:tblGrid>
      <w:tr>
        <w:tc>
          <w:tcPr>
            <w:tcW w:type="dxa" w:w="10080"/>
          </w:tcPr>
          <w:p>
            <w:r/>
            <w:r>
              <w:rPr>
                <w:b/>
              </w:rPr>
              <w:t xml:space="preserve">Causal caution: </w:t>
            </w:r>
            <w:r>
              <w:t>High predictive accuracy, feature importance, or a small p-value does not by itself identify a causal effect. Causal language requires a defensible identification strategy.</w:t>
            </w:r>
          </w:p>
        </w:tc>
        <w:trPr>
          <w:tblHeader/>
        </w:trPr>
      </w:tr>
    </w:tbl>
    <w:tbl>
      <w:tblPr>
        <w:tblW w:type="auto" w:w="0"/>
        <w:jc w:val="center"/>
        <w:tblLook w:firstColumn="1" w:firstRow="1" w:lastColumn="0" w:lastRow="0" w:noHBand="0" w:noVBand="1" w:val="04A0"/>
      </w:tblPr>
      <w:tblGrid>
        <w:gridCol w:w="10080"/>
      </w:tblGrid>
      <w:tr>
        <w:tc>
          <w:tcPr>
            <w:tcW w:type="dxa" w:w="10080"/>
          </w:tcPr>
          <w:p>
            <w:r/>
            <w:r>
              <w:rPr>
                <w:b/>
              </w:rPr>
              <w:t xml:space="preserve">Ceteris LAB Tip: </w:t>
            </w:r>
            <w:r>
              <w:t>Write the research question and estimand in words before opening Python. If you cannot state what quantity you want to learn, adding packages will not rescue the analysis.</w:t>
            </w:r>
          </w:p>
        </w:tc>
        <w:trPr>
          <w:tblHeader/>
        </w:trPr>
      </w:tr>
    </w:tbl>
    <w:tbl>
      <w:tblPr>
        <w:tblW w:type="auto" w:w="0"/>
        <w:jc w:val="center"/>
        <w:tblLook w:firstColumn="1" w:firstRow="1" w:lastColumn="0" w:lastRow="0" w:noHBand="0" w:noVBand="1" w:val="04A0"/>
      </w:tblPr>
      <w:tblGrid>
        <w:gridCol w:w="10080"/>
      </w:tblGrid>
      <w:tr>
        <w:tc>
          <w:tcPr>
            <w:tcW w:type="dxa" w:w="10080"/>
          </w:tcPr>
          <w:p>
            <w:r/>
            <w:r>
              <w:rPr>
                <w:b/>
              </w:rPr>
              <w:t xml:space="preserve">Common mistake: </w:t>
            </w:r>
            <w:r>
              <w:t>Treating a software default as an econometric assumption. Defaults are conveniences; assumptions must be chosen and defended.</w:t>
            </w:r>
          </w:p>
        </w:tc>
        <w:trPr>
          <w:tblHeader/>
        </w:trPr>
      </w:tr>
    </w:tbl>
    <w:p>
      <w:pPr>
        <w:pStyle w:val="Heading2"/>
      </w:pPr>
      <w:r>
        <w:t>28.8 Guided practice</w:t>
      </w:r>
    </w:p>
    <w:p>
      <w:r>
        <w:t>Modify the notebook so that one assumption is deliberately violated. Re-estimate the model, compare the result, and explain why the estimate changed. This turns diagnostics from a checklist into an experiment.</w:t>
      </w:r>
    </w:p>
    <w:p>
      <w:pPr>
        <w:pStyle w:val="Heading2"/>
      </w:pPr>
      <w:r>
        <w:t>28.9 Exercises</w:t>
      </w:r>
    </w:p>
    <w:p>
      <w:pPr>
        <w:pStyle w:val="ListNumber"/>
      </w:pPr>
      <w:r>
        <w:t>Concept: In one paragraph, distinguish association, prediction, and causation for the chapter topic.</w:t>
      </w:r>
    </w:p>
    <w:p>
      <w:pPr>
        <w:pStyle w:val="ListNumber"/>
      </w:pPr>
      <w:r>
        <w:t>Python: Reproduce the demonstration with a different documented random seed and verify that the qualitative conclusion is stable.</w:t>
      </w:r>
    </w:p>
    <w:p>
      <w:pPr>
        <w:pStyle w:val="ListNumber"/>
      </w:pPr>
      <w:r>
        <w:t>Applied econometrics: Replace the simulated outcome with a legally shareable economic variable and document its units, source, and sample.</w:t>
      </w:r>
    </w:p>
    <w:p>
      <w:pPr>
        <w:pStyle w:val="ListNumber"/>
      </w:pPr>
      <w:r>
        <w:t>Interpretation: Write a 150-word results paragraph that reports magnitude and uncertainty without exaggerating the evidence.</w:t>
      </w:r>
    </w:p>
    <w:p>
      <w:pPr>
        <w:pStyle w:val="ListNumber"/>
      </w:pPr>
      <w:r>
        <w:t>Research challenge: Propose one alternative design or robustness check that would address the most important threat to validity.</w:t>
      </w:r>
    </w:p>
    <w:p>
      <w:pPr>
        <w:pStyle w:val="Heading2"/>
      </w:pPr>
      <w:r>
        <w:t>28.10 Chapter summary</w:t>
      </w:r>
    </w:p>
    <w:p>
      <w:r>
        <w:t>Matching, Propensity Scores, Weighting, and Doubly Robust Estimation is most useful when the economic question, statistical target, assumptions, code, and interpretation point in the same direction. Python makes the workflow reproducible; econometric reasoning determines what the output can mean.</w:t>
      </w:r>
    </w:p>
    <w:p>
      <w:pPr>
        <w:pStyle w:val="Heading2"/>
      </w:pPr>
      <w:r>
        <w:t>28.11 Key Python tools</w:t>
      </w:r>
    </w:p>
    <w:p>
      <w:r>
        <w:t>Core tools used across these chapters include NumPy for simulation, pandas for data structures, statsmodels for statistical inference, scikit-learn for predictive modeling, and Matplotlib for transparent visual diagnostics. Use the simplest maintained tool that answers the question.</w:t>
      </w:r>
    </w:p>
    <w:p>
      <w:r>
        <w:br w:type="page"/>
      </w:r>
    </w:p>
    <w:p>
      <w:pPr>
        <w:pStyle w:val="Heading1"/>
      </w:pPr>
      <w:r>
        <w:t>29</w:t>
        <w:tab/>
        <w:t>Difference-in-Differences and Event Studies</w:t>
      </w:r>
    </w:p>
    <w:p>
      <w:pPr>
        <w:pStyle w:val="Subtitle"/>
      </w:pPr>
      <w:r>
        <w:t>How can policy evaluation use changes over time when randomized assignment is unavailable?</w:t>
      </w:r>
    </w:p>
    <w:p>
      <w:pPr>
        <w:pStyle w:val="Heading2"/>
      </w:pPr>
      <w:r>
        <w:t>29.1 Learning objectives</w:t>
      </w:r>
    </w:p>
    <w:p>
      <w:pPr>
        <w:pStyle w:val="ListBullet"/>
      </w:pPr>
      <w:r>
        <w:t>Explain and apply treated and comparison groups.</w:t>
      </w:r>
    </w:p>
    <w:p>
      <w:pPr>
        <w:pStyle w:val="ListBullet"/>
      </w:pPr>
      <w:r>
        <w:t>Explain and apply parallel trends.</w:t>
      </w:r>
    </w:p>
    <w:p>
      <w:pPr>
        <w:pStyle w:val="ListBullet"/>
      </w:pPr>
      <w:r>
        <w:t>Explain and apply two-period DID.</w:t>
      </w:r>
    </w:p>
    <w:p>
      <w:pPr>
        <w:pStyle w:val="ListBullet"/>
      </w:pPr>
      <w:r>
        <w:t>Explain and apply regression implementation.</w:t>
      </w:r>
    </w:p>
    <w:p>
      <w:pPr>
        <w:pStyle w:val="ListBullet"/>
      </w:pPr>
      <w:r>
        <w:t>Explain and apply event studies.</w:t>
      </w:r>
    </w:p>
    <w:p>
      <w:pPr>
        <w:pStyle w:val="ListBullet"/>
      </w:pPr>
      <w:r>
        <w:t>Explain and apply pre-trend diagnostics.</w:t>
      </w:r>
    </w:p>
    <w:p>
      <w:pPr>
        <w:pStyle w:val="ListBullet"/>
      </w:pPr>
      <w:r>
        <w:t>Explain and apply staggered adoption caution.</w:t>
      </w:r>
    </w:p>
    <w:p>
      <w:pPr>
        <w:pStyle w:val="ListBullet"/>
      </w:pPr>
      <w:r>
        <w:t>Explain and apply clustered inference.</w:t>
      </w:r>
    </w:p>
    <w:tbl>
      <w:tblPr>
        <w:tblW w:type="auto" w:w="0"/>
        <w:jc w:val="center"/>
        <w:tblLook w:firstColumn="1" w:firstRow="1" w:lastColumn="0" w:lastRow="0" w:noHBand="0" w:noVBand="1" w:val="04A0"/>
      </w:tblPr>
      <w:tblGrid>
        <w:gridCol w:w="10080"/>
      </w:tblGrid>
      <w:tr>
        <w:tc>
          <w:tcPr>
            <w:tcW w:type="dxa" w:w="10080"/>
          </w:tcPr>
          <w:p>
            <w:r/>
            <w:r>
              <w:rPr>
                <w:b/>
              </w:rPr>
              <w:t xml:space="preserve">Concept in one sentence: </w:t>
            </w:r>
            <w:r>
              <w:t>Difference-in-differences identifies a treatment effect from differential changes under a parallel-trends assumption.</w:t>
            </w:r>
          </w:p>
        </w:tc>
        <w:trPr>
          <w:tblHeader/>
        </w:trPr>
      </w:tr>
    </w:tbl>
    <w:p>
      <w:pPr>
        <w:pStyle w:val="Heading2"/>
      </w:pPr>
      <w:r>
        <w:t>29.2 Economic intuition</w:t>
      </w:r>
    </w:p>
    <w:p>
      <w:r>
        <w:t>This chapter begins from the economic question rather than from software syntax. The goal is to understand what information the data can legitimately provide about difference-in-differences and event studies. Python is used as a transparent laboratory: we state the question, define the target, inspect the data, estimate the model, and then challenge the result.</w:t>
      </w:r>
    </w:p>
    <w:p>
      <w:r>
        <w:t>A recurring distinction in econometrics is the difference between describing a pattern, predicting an outcome, and estimating a causal effect. These goals can use similar equations but require different assumptions. A model may forecast well while offering little causal interpretation, and a credible causal design may deliberately use a simple estimator because identification comes from the research design rather than algorithmic complexity.</w:t>
      </w:r>
    </w:p>
    <w:p>
      <w:r>
        <w:t>Throughout the chapter, pay attention to units, timing, sample construction, and the information set available to the analyst. Economic data are produced by institutions, markets, households, and firms. They are not abstract arrays. A good empirical workflow therefore combines statistical discipline with substantive economic reasoning.</w:t>
      </w:r>
    </w:p>
    <w:p>
      <w:pPr>
        <w:pStyle w:val="Heading2"/>
      </w:pPr>
      <w:r>
        <w:t>29.3 A small numerical example</w:t>
      </w:r>
    </w:p>
    <w:p>
      <w:r>
        <w:t>Start with a tiny hypothetical sample that can be checked by hand. Write the unit of observation, outcome, explanatory variable or treatment, and the comparison being made. Before estimating anything, ask what would make the comparison informative and what could make it misleading.</w:t>
      </w:r>
    </w:p>
    <w:tbl>
      <w:tblPr>
        <w:tblStyle w:val="TableGrid"/>
        <w:tblW w:type="auto" w:w="0"/>
        <w:jc w:val="center"/>
        <w:tblLook w:firstColumn="1" w:firstRow="1" w:lastColumn="0" w:lastRow="0" w:noHBand="0" w:noVBand="1" w:val="04A0"/>
      </w:tblPr>
      <w:tblGrid>
        <w:gridCol w:w="2520"/>
        <w:gridCol w:w="2520"/>
        <w:gridCol w:w="2520"/>
        <w:gridCol w:w="2520"/>
      </w:tblGrid>
      <w:tr>
        <w:tc>
          <w:tcPr>
            <w:tcW w:type="dxa" w:w="2520"/>
          </w:tcPr>
          <w:p>
            <w:r>
              <w:t>Observation</w:t>
            </w:r>
          </w:p>
        </w:tc>
        <w:tc>
          <w:tcPr>
            <w:tcW w:type="dxa" w:w="2520"/>
          </w:tcPr>
          <w:p>
            <w:r>
              <w:t>X / Treatment</w:t>
            </w:r>
          </w:p>
        </w:tc>
        <w:tc>
          <w:tcPr>
            <w:tcW w:type="dxa" w:w="2520"/>
          </w:tcPr>
          <w:p>
            <w:r>
              <w:t>Outcome Y</w:t>
            </w:r>
          </w:p>
        </w:tc>
        <w:tc>
          <w:tcPr>
            <w:tcW w:type="dxa" w:w="2520"/>
          </w:tcPr>
          <w:p>
            <w:r>
              <w:t>Interpretive note</w:t>
            </w:r>
          </w:p>
        </w:tc>
        <w:trPr>
          <w:tblHeader/>
        </w:trPr>
      </w:tr>
      <w:tr>
        <w:tc>
          <w:tcPr>
            <w:tcW w:type="dxa" w:w="2520"/>
          </w:tcPr>
          <w:p>
            <w:r>
              <w:t>1</w:t>
            </w:r>
          </w:p>
        </w:tc>
        <w:tc>
          <w:tcPr>
            <w:tcW w:type="dxa" w:w="2520"/>
          </w:tcPr>
          <w:p>
            <w:r>
              <w:t>0</w:t>
            </w:r>
          </w:p>
        </w:tc>
        <w:tc>
          <w:tcPr>
            <w:tcW w:type="dxa" w:w="2520"/>
          </w:tcPr>
          <w:p>
            <w:r>
              <w:t>10</w:t>
            </w:r>
          </w:p>
        </w:tc>
        <w:tc>
          <w:tcPr>
            <w:tcW w:type="dxa" w:w="2520"/>
          </w:tcPr>
          <w:p>
            <w:r>
              <w:t>baseline</w:t>
            </w:r>
          </w:p>
        </w:tc>
      </w:tr>
      <w:tr>
        <w:tc>
          <w:tcPr>
            <w:tcW w:type="dxa" w:w="2520"/>
          </w:tcPr>
          <w:p>
            <w:r>
              <w:t>2</w:t>
            </w:r>
          </w:p>
        </w:tc>
        <w:tc>
          <w:tcPr>
            <w:tcW w:type="dxa" w:w="2520"/>
          </w:tcPr>
          <w:p>
            <w:r>
              <w:t>0</w:t>
            </w:r>
          </w:p>
        </w:tc>
        <w:tc>
          <w:tcPr>
            <w:tcW w:type="dxa" w:w="2520"/>
          </w:tcPr>
          <w:p>
            <w:r>
              <w:t>12</w:t>
            </w:r>
          </w:p>
        </w:tc>
        <w:tc>
          <w:tcPr>
            <w:tcW w:type="dxa" w:w="2520"/>
          </w:tcPr>
          <w:p>
            <w:r>
              <w:t>comparison</w:t>
            </w:r>
          </w:p>
        </w:tc>
      </w:tr>
      <w:tr>
        <w:tc>
          <w:tcPr>
            <w:tcW w:type="dxa" w:w="2520"/>
          </w:tcPr>
          <w:p>
            <w:r>
              <w:t>3</w:t>
            </w:r>
          </w:p>
        </w:tc>
        <w:tc>
          <w:tcPr>
            <w:tcW w:type="dxa" w:w="2520"/>
          </w:tcPr>
          <w:p>
            <w:r>
              <w:t>1</w:t>
            </w:r>
          </w:p>
        </w:tc>
        <w:tc>
          <w:tcPr>
            <w:tcW w:type="dxa" w:w="2520"/>
          </w:tcPr>
          <w:p>
            <w:r>
              <w:t>15</w:t>
            </w:r>
          </w:p>
        </w:tc>
        <w:tc>
          <w:tcPr>
            <w:tcW w:type="dxa" w:w="2520"/>
          </w:tcPr>
          <w:p>
            <w:r>
              <w:t>exposed</w:t>
            </w:r>
          </w:p>
        </w:tc>
      </w:tr>
      <w:tr>
        <w:tc>
          <w:tcPr>
            <w:tcW w:type="dxa" w:w="2520"/>
          </w:tcPr>
          <w:p>
            <w:r>
              <w:t>4</w:t>
            </w:r>
          </w:p>
        </w:tc>
        <w:tc>
          <w:tcPr>
            <w:tcW w:type="dxa" w:w="2520"/>
          </w:tcPr>
          <w:p>
            <w:r>
              <w:t>1</w:t>
            </w:r>
          </w:p>
        </w:tc>
        <w:tc>
          <w:tcPr>
            <w:tcW w:type="dxa" w:w="2520"/>
          </w:tcPr>
          <w:p>
            <w:r>
              <w:t>17</w:t>
            </w:r>
          </w:p>
        </w:tc>
        <w:tc>
          <w:tcPr>
            <w:tcW w:type="dxa" w:w="2520"/>
          </w:tcPr>
          <w:p>
            <w:r>
              <w:t>exposed</w:t>
            </w:r>
          </w:p>
        </w:tc>
      </w:tr>
    </w:tbl>
    <w:p>
      <w:r>
        <w:t>The difference in group averages is easy to compute, but whether it is a causal effect depends on how exposure was assigned and whether the groups are otherwise comparable. This distinction is the heartbeat of modern applied econometrics.</w:t>
      </w:r>
    </w:p>
    <w:p>
      <w:pPr>
        <w:pStyle w:val="Heading2"/>
      </w:pPr>
      <w:r>
        <w:t>29.4 Formal framework</w:t>
      </w:r>
    </w:p>
    <w:p>
      <w:r>
        <w:t>Write the empirical model in a form that makes the target explicit. A generic conditional-mean representation is</w:t>
      </w:r>
    </w:p>
    <w:p>
      <w:pPr>
        <w:jc w:val="center"/>
      </w:pPr>
      <w:r>
        <w:t>E[Y | X] = m(X),     or in a linear approximation,     Y_i = β₀ + β₁X_i + u_i.</w:t>
      </w:r>
    </w:p>
    <w:p>
      <w:r>
        <w:t>Here Y is the outcome, X denotes observed information, β parameters summarize the chosen model, and u collects other determinants of the outcome. The crucial question is not only whether β can be estimated, but what β means under the design and assumptions.</w:t>
      </w:r>
    </w:p>
    <w:p>
      <w:pPr>
        <w:pStyle w:val="Heading2"/>
      </w:pPr>
      <w:r>
        <w:t>29.5 Python demonstration</w:t>
      </w:r>
    </w:p>
    <w:p>
      <w:pPr>
        <w:spacing w:after="0"/>
        <w:ind w:left="360"/>
      </w:pPr>
      <w:r>
        <w:rPr>
          <w:rFonts w:ascii="Liberation Mono" w:hAnsi="Liberation Mono"/>
          <w:sz w:val="17"/>
        </w:rPr>
        <w:t>import pandas as pd, statsmodels.formula.api as smf</w:t>
      </w:r>
    </w:p>
    <w:p>
      <w:pPr>
        <w:spacing w:after="0"/>
        <w:ind w:left="360"/>
      </w:pPr>
      <w:r>
        <w:rPr>
          <w:rFonts w:ascii="Liberation Mono" w:hAnsi="Liberation Mono"/>
          <w:sz w:val="17"/>
        </w:rPr>
        <w:t>rows=[]</w:t>
      </w:r>
    </w:p>
    <w:p>
      <w:pPr>
        <w:spacing w:after="0"/>
        <w:ind w:left="360"/>
      </w:pPr>
      <w:r>
        <w:rPr>
          <w:rFonts w:ascii="Liberation Mono" w:hAnsi="Liberation Mono"/>
          <w:sz w:val="17"/>
        </w:rPr>
        <w:t>for g in [0,1]:</w:t>
      </w:r>
    </w:p>
    <w:p>
      <w:pPr>
        <w:spacing w:after="0"/>
        <w:ind w:left="360"/>
      </w:pPr>
      <w:r>
        <w:rPr>
          <w:rFonts w:ascii="Liberation Mono" w:hAnsi="Liberation Mono"/>
          <w:sz w:val="17"/>
        </w:rPr>
        <w:t xml:space="preserve">  for t in range(8):</w:t>
      </w:r>
    </w:p>
    <w:p>
      <w:pPr>
        <w:spacing w:after="0"/>
        <w:ind w:left="360"/>
      </w:pPr>
      <w:r>
        <w:rPr>
          <w:rFonts w:ascii="Liberation Mono" w:hAnsi="Liberation Mono"/>
          <w:sz w:val="17"/>
        </w:rPr>
        <w:t xml:space="preserve">    for i in range(40): rows.append((g,t,10+.5*t+g+(3 if (g==1 and t&gt;=4) else 0)))</w:t>
      </w:r>
    </w:p>
    <w:p>
      <w:pPr>
        <w:spacing w:after="0"/>
        <w:ind w:left="360"/>
      </w:pPr>
      <w:r>
        <w:rPr>
          <w:rFonts w:ascii="Liberation Mono" w:hAnsi="Liberation Mono"/>
          <w:sz w:val="17"/>
        </w:rPr>
        <w:t>df=pd.DataFrame(rows,columns=['treated','time','y']); df['post']=(df.time&gt;=4).astype(int)</w:t>
      </w:r>
    </w:p>
    <w:p>
      <w:pPr>
        <w:spacing w:after="0"/>
        <w:ind w:left="360"/>
      </w:pPr>
      <w:r>
        <w:rPr>
          <w:rFonts w:ascii="Liberation Mono" w:hAnsi="Liberation Mono"/>
          <w:sz w:val="17"/>
        </w:rPr>
        <w:t>fit=smf.ols('y ~ treated * post + C(time)',data=df).fit()</w:t>
      </w:r>
    </w:p>
    <w:p>
      <w:pPr>
        <w:spacing w:after="0"/>
        <w:ind w:left="360"/>
      </w:pPr>
      <w:r>
        <w:rPr>
          <w:rFonts w:ascii="Liberation Mono" w:hAnsi="Liberation Mono"/>
          <w:sz w:val="17"/>
        </w:rPr>
        <w:t>print('DID',fit.params['treated:post'])</w:t>
      </w:r>
    </w:p>
    <w:p>
      <w:r>
        <w:t>Run the code in a clean notebook and inspect both the numerical output and the data-generating assumptions. The associated notebook in the student package reproduces the example with a fixed random seed.</w:t>
      </w:r>
    </w:p>
    <w:p>
      <w:r>
        <w:drawing>
          <wp:inline>
            <wp:extent cx="5669280" cy="3186684"/>
            <wp:docPr id="13" name="Picture 13" descr="Image: image14.png"/>
            <wp:cNvGraphicFramePr>
              <a:graphicFrameLocks noChangeAspect="1"/>
            </wp:cNvGraphicFramePr>
            <a:graphic>
              <a:graphicData uri="http://schemas.openxmlformats.org/drawingml/2006/picture">
                <pic:pic>
                  <pic:nvPicPr>
                    <pic:cNvPr id="0" name="ch29_did.png"/>
                    <pic:cNvPicPr/>
                  </pic:nvPicPr>
                  <pic:blipFill>
                    <a:blip r:embed="rId30"/>
                    <a:stretch>
                      <a:fillRect/>
                    </a:stretch>
                  </pic:blipFill>
                  <pic:spPr>
                    <a:xfrm>
                      <a:off x="0" y="0"/>
                      <a:ext cx="5669280" cy="3186684"/>
                    </a:xfrm>
                    <a:prstGeom prst="rect"/>
                  </pic:spPr>
                </pic:pic>
              </a:graphicData>
            </a:graphic>
          </wp:inline>
        </w:drawing>
      </w:r>
    </w:p>
    <w:p>
      <w:pPr>
        <w:jc w:val="center"/>
      </w:pPr>
      <w:r>
        <w:t>Figure 29.1. How can policy evaluation use changes over time when randomized assignment is unavailable?</w:t>
      </w:r>
    </w:p>
    <w:p>
      <w:pPr>
        <w:pStyle w:val="Heading2"/>
      </w:pPr>
      <w:r>
        <w:t>29.6 Interpretation</w:t>
      </w:r>
    </w:p>
    <w:p>
      <w:r>
        <w:t>Interpret results in the units of the variables. Report sign, magnitude, uncertainty, and the population or time period to which the estimate applies. If a variable is logged, categorical, interacted, standardized, or transformed, translate the coefficient accordingly rather than reading it as a raw one-unit effect.</w:t>
      </w:r>
    </w:p>
    <w:p>
      <w:r>
        <w:t>Then separate statistical significance from economic significance. A precise estimate may be too small to matter economically; an economically important estimate may be imprecise. Both dimensions belong in the conclusion.</w:t>
      </w:r>
    </w:p>
    <w:p>
      <w:pPr>
        <w:pStyle w:val="Heading2"/>
      </w:pPr>
      <w:r>
        <w:t>29.7 Assumptions, diagnostics, and threats to validity</w:t>
      </w:r>
    </w:p>
    <w:p>
      <w:pPr>
        <w:pStyle w:val="ListBullet"/>
      </w:pPr>
      <w:r>
        <w:t>Is the unit of observation appropriate for the question?</w:t>
      </w:r>
    </w:p>
    <w:p>
      <w:pPr>
        <w:pStyle w:val="ListBullet"/>
      </w:pPr>
      <w:r>
        <w:t>Are timing and information sets respected?</w:t>
      </w:r>
    </w:p>
    <w:p>
      <w:pPr>
        <w:pStyle w:val="ListBullet"/>
      </w:pPr>
      <w:r>
        <w:t>Could selection, confounding, measurement error, or reverse causality matter?</w:t>
      </w:r>
    </w:p>
    <w:p>
      <w:pPr>
        <w:pStyle w:val="ListBullet"/>
      </w:pPr>
      <w:r>
        <w:t>Does the uncertainty estimator match the sampling or dependence structure?</w:t>
      </w:r>
    </w:p>
    <w:p>
      <w:pPr>
        <w:pStyle w:val="ListBullet"/>
      </w:pPr>
      <w:r>
        <w:t>Would the result survive reasonable alternative specifications?</w:t>
      </w:r>
    </w:p>
    <w:p>
      <w:pPr>
        <w:pStyle w:val="ListBullet"/>
      </w:pPr>
      <w:r>
        <w:t>Is the task predictive, descriptive, or causal?</w:t>
      </w:r>
    </w:p>
    <w:tbl>
      <w:tblPr>
        <w:tblW w:type="auto" w:w="0"/>
        <w:jc w:val="center"/>
        <w:tblLook w:firstColumn="1" w:firstRow="1" w:lastColumn="0" w:lastRow="0" w:noHBand="0" w:noVBand="1" w:val="04A0"/>
      </w:tblPr>
      <w:tblGrid>
        <w:gridCol w:w="10080"/>
      </w:tblGrid>
      <w:tr>
        <w:tc>
          <w:tcPr>
            <w:tcW w:type="dxa" w:w="10080"/>
          </w:tcPr>
          <w:p>
            <w:r/>
            <w:r>
              <w:rPr>
                <w:b/>
              </w:rPr>
              <w:t xml:space="preserve">Causal caution: </w:t>
            </w:r>
            <w:r>
              <w:t>High predictive accuracy, feature importance, or a small p-value does not by itself identify a causal effect. Causal language requires a defensible identification strategy.</w:t>
            </w:r>
          </w:p>
        </w:tc>
        <w:trPr>
          <w:tblHeader/>
        </w:trPr>
      </w:tr>
    </w:tbl>
    <w:tbl>
      <w:tblPr>
        <w:tblW w:type="auto" w:w="0"/>
        <w:jc w:val="center"/>
        <w:tblLook w:firstColumn="1" w:firstRow="1" w:lastColumn="0" w:lastRow="0" w:noHBand="0" w:noVBand="1" w:val="04A0"/>
      </w:tblPr>
      <w:tblGrid>
        <w:gridCol w:w="10080"/>
      </w:tblGrid>
      <w:tr>
        <w:tc>
          <w:tcPr>
            <w:tcW w:type="dxa" w:w="10080"/>
          </w:tcPr>
          <w:p>
            <w:r/>
            <w:r>
              <w:rPr>
                <w:b/>
              </w:rPr>
              <w:t xml:space="preserve">Ceteris LAB Tip: </w:t>
            </w:r>
            <w:r>
              <w:t>Write the research question and estimand in words before opening Python. If you cannot state what quantity you want to learn, adding packages will not rescue the analysis.</w:t>
            </w:r>
          </w:p>
        </w:tc>
        <w:trPr>
          <w:tblHeader/>
        </w:trPr>
      </w:tr>
    </w:tbl>
    <w:tbl>
      <w:tblPr>
        <w:tblW w:type="auto" w:w="0"/>
        <w:jc w:val="center"/>
        <w:tblLook w:firstColumn="1" w:firstRow="1" w:lastColumn="0" w:lastRow="0" w:noHBand="0" w:noVBand="1" w:val="04A0"/>
      </w:tblPr>
      <w:tblGrid>
        <w:gridCol w:w="10080"/>
      </w:tblGrid>
      <w:tr>
        <w:tc>
          <w:tcPr>
            <w:tcW w:type="dxa" w:w="10080"/>
          </w:tcPr>
          <w:p>
            <w:r/>
            <w:r>
              <w:rPr>
                <w:b/>
              </w:rPr>
              <w:t xml:space="preserve">Common mistake: </w:t>
            </w:r>
            <w:r>
              <w:t>Treating a software default as an econometric assumption. Defaults are conveniences; assumptions must be chosen and defended.</w:t>
            </w:r>
          </w:p>
        </w:tc>
        <w:trPr>
          <w:tblHeader/>
        </w:trPr>
      </w:tr>
    </w:tbl>
    <w:p>
      <w:pPr>
        <w:pStyle w:val="Heading2"/>
      </w:pPr>
      <w:r>
        <w:t>29.8 Guided practice</w:t>
      </w:r>
    </w:p>
    <w:p>
      <w:r>
        <w:t>Modify the notebook so that one assumption is deliberately violated. Re-estimate the model, compare the result, and explain why the estimate changed. This turns diagnostics from a checklist into an experiment.</w:t>
      </w:r>
    </w:p>
    <w:p>
      <w:pPr>
        <w:pStyle w:val="Heading2"/>
      </w:pPr>
      <w:r>
        <w:t>29.9 Exercises</w:t>
      </w:r>
    </w:p>
    <w:p>
      <w:pPr>
        <w:pStyle w:val="ListNumber"/>
      </w:pPr>
      <w:r>
        <w:t>Concept: In one paragraph, distinguish association, prediction, and causation for the chapter topic.</w:t>
      </w:r>
    </w:p>
    <w:p>
      <w:pPr>
        <w:pStyle w:val="ListNumber"/>
      </w:pPr>
      <w:r>
        <w:t>Python: Reproduce the demonstration with a different documented random seed and verify that the qualitative conclusion is stable.</w:t>
      </w:r>
    </w:p>
    <w:p>
      <w:pPr>
        <w:pStyle w:val="ListNumber"/>
      </w:pPr>
      <w:r>
        <w:t>Applied econometrics: Replace the simulated outcome with a legally shareable economic variable and document its units, source, and sample.</w:t>
      </w:r>
    </w:p>
    <w:p>
      <w:pPr>
        <w:pStyle w:val="ListNumber"/>
      </w:pPr>
      <w:r>
        <w:t>Interpretation: Write a 150-word results paragraph that reports magnitude and uncertainty without exaggerating the evidence.</w:t>
      </w:r>
    </w:p>
    <w:p>
      <w:pPr>
        <w:pStyle w:val="ListNumber"/>
      </w:pPr>
      <w:r>
        <w:t>Research challenge: Propose one alternative design or robustness check that would address the most important threat to validity.</w:t>
      </w:r>
    </w:p>
    <w:p>
      <w:pPr>
        <w:pStyle w:val="Heading2"/>
      </w:pPr>
      <w:r>
        <w:t>29.10 Chapter summary</w:t>
      </w:r>
    </w:p>
    <w:p>
      <w:r>
        <w:t>Difference-in-Differences and Event Studies is most useful when the economic question, statistical target, assumptions, code, and interpretation point in the same direction. Python makes the workflow reproducible; econometric reasoning determines what the output can mean.</w:t>
      </w:r>
    </w:p>
    <w:p>
      <w:pPr>
        <w:pStyle w:val="Heading2"/>
      </w:pPr>
      <w:r>
        <w:t>29.11 Key Python tools</w:t>
      </w:r>
    </w:p>
    <w:p>
      <w:r>
        <w:t>Core tools used across these chapters include NumPy for simulation, pandas for data structures, statsmodels for statistical inference, scikit-learn for predictive modeling, and Matplotlib for transparent visual diagnostics. Use the simplest maintained tool that answers the question.</w:t>
      </w:r>
    </w:p>
    <w:p>
      <w:r>
        <w:br w:type="page"/>
      </w:r>
    </w:p>
    <w:p>
      <w:pPr>
        <w:pStyle w:val="Heading1"/>
      </w:pPr>
      <w:r>
        <w:t>30</w:t>
        <w:tab/>
        <w:t>Regression Discontinuity</w:t>
      </w:r>
    </w:p>
    <w:p>
      <w:pPr>
        <w:pStyle w:val="Subtitle"/>
      </w:pPr>
      <w:r>
        <w:t>What can a policy cutoff reveal about causal effects near the threshold?</w:t>
      </w:r>
    </w:p>
    <w:p>
      <w:pPr>
        <w:pStyle w:val="Heading2"/>
      </w:pPr>
      <w:r>
        <w:t>30.1 Learning objectives</w:t>
      </w:r>
    </w:p>
    <w:p>
      <w:pPr>
        <w:pStyle w:val="ListBullet"/>
      </w:pPr>
      <w:r>
        <w:t>Explain and apply running variable.</w:t>
      </w:r>
    </w:p>
    <w:p>
      <w:pPr>
        <w:pStyle w:val="ListBullet"/>
      </w:pPr>
      <w:r>
        <w:t>Explain and apply cutoff.</w:t>
      </w:r>
    </w:p>
    <w:p>
      <w:pPr>
        <w:pStyle w:val="ListBullet"/>
      </w:pPr>
      <w:r>
        <w:t>Explain and apply sharp and fuzzy designs.</w:t>
      </w:r>
    </w:p>
    <w:p>
      <w:pPr>
        <w:pStyle w:val="ListBullet"/>
      </w:pPr>
      <w:r>
        <w:t>Explain and apply local polynomial regression.</w:t>
      </w:r>
    </w:p>
    <w:p>
      <w:pPr>
        <w:pStyle w:val="ListBullet"/>
      </w:pPr>
      <w:r>
        <w:t>Explain and apply bandwidth.</w:t>
      </w:r>
    </w:p>
    <w:p>
      <w:pPr>
        <w:pStyle w:val="ListBullet"/>
      </w:pPr>
      <w:r>
        <w:t>Explain and apply continuity assumption.</w:t>
      </w:r>
    </w:p>
    <w:p>
      <w:pPr>
        <w:pStyle w:val="ListBullet"/>
      </w:pPr>
      <w:r>
        <w:t>Explain and apply manipulation tests.</w:t>
      </w:r>
    </w:p>
    <w:p>
      <w:pPr>
        <w:pStyle w:val="ListBullet"/>
      </w:pPr>
      <w:r>
        <w:t>Explain and apply covariate balance.</w:t>
      </w:r>
    </w:p>
    <w:p>
      <w:pPr>
        <w:pStyle w:val="ListBullet"/>
      </w:pPr>
      <w:r>
        <w:t>Explain and apply local interpretation.</w:t>
      </w:r>
    </w:p>
    <w:tbl>
      <w:tblPr>
        <w:tblW w:type="auto" w:w="0"/>
        <w:jc w:val="center"/>
        <w:tblLook w:firstColumn="1" w:firstRow="1" w:lastColumn="0" w:lastRow="0" w:noHBand="0" w:noVBand="1" w:val="04A0"/>
      </w:tblPr>
      <w:tblGrid>
        <w:gridCol w:w="10080"/>
      </w:tblGrid>
      <w:tr>
        <w:tc>
          <w:tcPr>
            <w:tcW w:type="dxa" w:w="10080"/>
          </w:tcPr>
          <w:p>
            <w:r/>
            <w:r>
              <w:rPr>
                <w:b/>
              </w:rPr>
              <w:t xml:space="preserve">Concept in one sentence: </w:t>
            </w:r>
            <w:r>
              <w:t>RDD compares units just above and below a threshold where treatment assignment changes discontinuously.</w:t>
            </w:r>
          </w:p>
        </w:tc>
        <w:trPr>
          <w:tblHeader/>
        </w:trPr>
      </w:tr>
    </w:tbl>
    <w:p>
      <w:pPr>
        <w:pStyle w:val="Heading2"/>
      </w:pPr>
      <w:r>
        <w:t>30.2 Economic intuition</w:t>
      </w:r>
    </w:p>
    <w:p>
      <w:r>
        <w:t>This chapter begins from the economic question rather than from software syntax. The goal is to understand what information the data can legitimately provide about regression discontinuity. Python is used as a transparent laboratory: we state the question, define the target, inspect the data, estimate the model, and then challenge the result.</w:t>
      </w:r>
    </w:p>
    <w:p>
      <w:r>
        <w:t>A recurring distinction in econometrics is the difference between describing a pattern, predicting an outcome, and estimating a causal effect. These goals can use similar equations but require different assumptions. A model may forecast well while offering little causal interpretation, and a credible causal design may deliberately use a simple estimator because identification comes from the research design rather than algorithmic complexity.</w:t>
      </w:r>
    </w:p>
    <w:p>
      <w:r>
        <w:t>Throughout the chapter, pay attention to units, timing, sample construction, and the information set available to the analyst. Economic data are produced by institutions, markets, households, and firms. They are not abstract arrays. A good empirical workflow therefore combines statistical discipline with substantive economic reasoning.</w:t>
      </w:r>
    </w:p>
    <w:p>
      <w:pPr>
        <w:pStyle w:val="Heading2"/>
      </w:pPr>
      <w:r>
        <w:t>30.3 A small numerical example</w:t>
      </w:r>
    </w:p>
    <w:p>
      <w:r>
        <w:t>Start with a tiny hypothetical sample that can be checked by hand. Write the unit of observation, outcome, explanatory variable or treatment, and the comparison being made. Before estimating anything, ask what would make the comparison informative and what could make it misleading.</w:t>
      </w:r>
    </w:p>
    <w:tbl>
      <w:tblPr>
        <w:tblStyle w:val="TableGrid"/>
        <w:tblW w:type="auto" w:w="0"/>
        <w:jc w:val="center"/>
        <w:tblLook w:firstColumn="1" w:firstRow="1" w:lastColumn="0" w:lastRow="0" w:noHBand="0" w:noVBand="1" w:val="04A0"/>
      </w:tblPr>
      <w:tblGrid>
        <w:gridCol w:w="2520"/>
        <w:gridCol w:w="2520"/>
        <w:gridCol w:w="2520"/>
        <w:gridCol w:w="2520"/>
      </w:tblGrid>
      <w:tr>
        <w:tc>
          <w:tcPr>
            <w:tcW w:type="dxa" w:w="2520"/>
          </w:tcPr>
          <w:p>
            <w:r>
              <w:t>Observation</w:t>
            </w:r>
          </w:p>
        </w:tc>
        <w:tc>
          <w:tcPr>
            <w:tcW w:type="dxa" w:w="2520"/>
          </w:tcPr>
          <w:p>
            <w:r>
              <w:t>X / Treatment</w:t>
            </w:r>
          </w:p>
        </w:tc>
        <w:tc>
          <w:tcPr>
            <w:tcW w:type="dxa" w:w="2520"/>
          </w:tcPr>
          <w:p>
            <w:r>
              <w:t>Outcome Y</w:t>
            </w:r>
          </w:p>
        </w:tc>
        <w:tc>
          <w:tcPr>
            <w:tcW w:type="dxa" w:w="2520"/>
          </w:tcPr>
          <w:p>
            <w:r>
              <w:t>Interpretive note</w:t>
            </w:r>
          </w:p>
        </w:tc>
        <w:trPr>
          <w:tblHeader/>
        </w:trPr>
      </w:tr>
      <w:tr>
        <w:tc>
          <w:tcPr>
            <w:tcW w:type="dxa" w:w="2520"/>
          </w:tcPr>
          <w:p>
            <w:r>
              <w:t>1</w:t>
            </w:r>
          </w:p>
        </w:tc>
        <w:tc>
          <w:tcPr>
            <w:tcW w:type="dxa" w:w="2520"/>
          </w:tcPr>
          <w:p>
            <w:r>
              <w:t>0</w:t>
            </w:r>
          </w:p>
        </w:tc>
        <w:tc>
          <w:tcPr>
            <w:tcW w:type="dxa" w:w="2520"/>
          </w:tcPr>
          <w:p>
            <w:r>
              <w:t>10</w:t>
            </w:r>
          </w:p>
        </w:tc>
        <w:tc>
          <w:tcPr>
            <w:tcW w:type="dxa" w:w="2520"/>
          </w:tcPr>
          <w:p>
            <w:r>
              <w:t>baseline</w:t>
            </w:r>
          </w:p>
        </w:tc>
      </w:tr>
      <w:tr>
        <w:tc>
          <w:tcPr>
            <w:tcW w:type="dxa" w:w="2520"/>
          </w:tcPr>
          <w:p>
            <w:r>
              <w:t>2</w:t>
            </w:r>
          </w:p>
        </w:tc>
        <w:tc>
          <w:tcPr>
            <w:tcW w:type="dxa" w:w="2520"/>
          </w:tcPr>
          <w:p>
            <w:r>
              <w:t>0</w:t>
            </w:r>
          </w:p>
        </w:tc>
        <w:tc>
          <w:tcPr>
            <w:tcW w:type="dxa" w:w="2520"/>
          </w:tcPr>
          <w:p>
            <w:r>
              <w:t>12</w:t>
            </w:r>
          </w:p>
        </w:tc>
        <w:tc>
          <w:tcPr>
            <w:tcW w:type="dxa" w:w="2520"/>
          </w:tcPr>
          <w:p>
            <w:r>
              <w:t>comparison</w:t>
            </w:r>
          </w:p>
        </w:tc>
      </w:tr>
      <w:tr>
        <w:tc>
          <w:tcPr>
            <w:tcW w:type="dxa" w:w="2520"/>
          </w:tcPr>
          <w:p>
            <w:r>
              <w:t>3</w:t>
            </w:r>
          </w:p>
        </w:tc>
        <w:tc>
          <w:tcPr>
            <w:tcW w:type="dxa" w:w="2520"/>
          </w:tcPr>
          <w:p>
            <w:r>
              <w:t>1</w:t>
            </w:r>
          </w:p>
        </w:tc>
        <w:tc>
          <w:tcPr>
            <w:tcW w:type="dxa" w:w="2520"/>
          </w:tcPr>
          <w:p>
            <w:r>
              <w:t>15</w:t>
            </w:r>
          </w:p>
        </w:tc>
        <w:tc>
          <w:tcPr>
            <w:tcW w:type="dxa" w:w="2520"/>
          </w:tcPr>
          <w:p>
            <w:r>
              <w:t>exposed</w:t>
            </w:r>
          </w:p>
        </w:tc>
      </w:tr>
      <w:tr>
        <w:tc>
          <w:tcPr>
            <w:tcW w:type="dxa" w:w="2520"/>
          </w:tcPr>
          <w:p>
            <w:r>
              <w:t>4</w:t>
            </w:r>
          </w:p>
        </w:tc>
        <w:tc>
          <w:tcPr>
            <w:tcW w:type="dxa" w:w="2520"/>
          </w:tcPr>
          <w:p>
            <w:r>
              <w:t>1</w:t>
            </w:r>
          </w:p>
        </w:tc>
        <w:tc>
          <w:tcPr>
            <w:tcW w:type="dxa" w:w="2520"/>
          </w:tcPr>
          <w:p>
            <w:r>
              <w:t>17</w:t>
            </w:r>
          </w:p>
        </w:tc>
        <w:tc>
          <w:tcPr>
            <w:tcW w:type="dxa" w:w="2520"/>
          </w:tcPr>
          <w:p>
            <w:r>
              <w:t>exposed</w:t>
            </w:r>
          </w:p>
        </w:tc>
      </w:tr>
    </w:tbl>
    <w:p>
      <w:r>
        <w:t>The difference in group averages is easy to compute, but whether it is a causal effect depends on how exposure was assigned and whether the groups are otherwise comparable. This distinction is the heartbeat of modern applied econometrics.</w:t>
      </w:r>
    </w:p>
    <w:p>
      <w:pPr>
        <w:pStyle w:val="Heading2"/>
      </w:pPr>
      <w:r>
        <w:t>30.4 Formal framework</w:t>
      </w:r>
    </w:p>
    <w:p>
      <w:r>
        <w:t>Write the empirical model in a form that makes the target explicit. A generic conditional-mean representation is</w:t>
      </w:r>
    </w:p>
    <w:p>
      <w:pPr>
        <w:jc w:val="center"/>
      </w:pPr>
      <w:r>
        <w:t>E[Y | X] = m(X),     or in a linear approximation,     Y_i = β₀ + β₁X_i + u_i.</w:t>
      </w:r>
    </w:p>
    <w:p>
      <w:r>
        <w:t>Here Y is the outcome, X denotes observed information, β parameters summarize the chosen model, and u collects other determinants of the outcome. The crucial question is not only whether β can be estimated, but what β means under the design and assumptions.</w:t>
      </w:r>
    </w:p>
    <w:p>
      <w:pPr>
        <w:pStyle w:val="Heading2"/>
      </w:pPr>
      <w:r>
        <w:t>30.5 Python demonstration</w:t>
      </w:r>
    </w:p>
    <w:p>
      <w:pPr>
        <w:spacing w:after="0"/>
        <w:ind w:left="360"/>
      </w:pPr>
      <w:r>
        <w:rPr>
          <w:rFonts w:ascii="Liberation Mono" w:hAnsi="Liberation Mono"/>
          <w:sz w:val="17"/>
        </w:rPr>
        <w:t>import numpy as np, statsmodels.api as sm</w:t>
      </w:r>
    </w:p>
    <w:p>
      <w:pPr>
        <w:spacing w:after="0"/>
        <w:ind w:left="360"/>
      </w:pPr>
      <w:r>
        <w:rPr>
          <w:rFonts w:ascii="Liberation Mono" w:hAnsi="Liberation Mono"/>
          <w:sz w:val="17"/>
        </w:rPr>
        <w:t>rng=np.random.default_rng(30); x=rng.uniform(-1,1,1000); d=(x&gt;=0).astype(int); y=2+.8*x+2*d+rng.normal(0,.5,1000)</w:t>
      </w:r>
    </w:p>
    <w:p>
      <w:pPr>
        <w:spacing w:after="0"/>
        <w:ind w:left="360"/>
      </w:pPr>
      <w:r>
        <w:rPr>
          <w:rFonts w:ascii="Liberation Mono" w:hAnsi="Liberation Mono"/>
          <w:sz w:val="17"/>
        </w:rPr>
        <w:t>mask=np.abs(x)&lt;=.35; X=sm.add_constant(np.c_[x[mask],d[mask],x[mask]*d[mask]])</w:t>
      </w:r>
    </w:p>
    <w:p>
      <w:pPr>
        <w:spacing w:after="0"/>
        <w:ind w:left="360"/>
      </w:pPr>
      <w:r>
        <w:rPr>
          <w:rFonts w:ascii="Liberation Mono" w:hAnsi="Liberation Mono"/>
          <w:sz w:val="17"/>
        </w:rPr>
        <w:t>print(sm.OLS(y[mask],X).fit().params)</w:t>
      </w:r>
    </w:p>
    <w:p>
      <w:r>
        <w:t>Run the code in a clean notebook and inspect both the numerical output and the data-generating assumptions. The associated notebook in the student package reproduces the example with a fixed random seed.</w:t>
      </w:r>
    </w:p>
    <w:p>
      <w:r>
        <w:drawing>
          <wp:inline>
            <wp:extent cx="5669280" cy="3186684"/>
            <wp:docPr id="14" name="Picture 14" descr="Image: image15.png"/>
            <wp:cNvGraphicFramePr>
              <a:graphicFrameLocks noChangeAspect="1"/>
            </wp:cNvGraphicFramePr>
            <a:graphic>
              <a:graphicData uri="http://schemas.openxmlformats.org/drawingml/2006/picture">
                <pic:pic>
                  <pic:nvPicPr>
                    <pic:cNvPr id="0" name="ch30_rdd.png"/>
                    <pic:cNvPicPr/>
                  </pic:nvPicPr>
                  <pic:blipFill>
                    <a:blip r:embed="rId31"/>
                    <a:stretch>
                      <a:fillRect/>
                    </a:stretch>
                  </pic:blipFill>
                  <pic:spPr>
                    <a:xfrm>
                      <a:off x="0" y="0"/>
                      <a:ext cx="5669280" cy="3186684"/>
                    </a:xfrm>
                    <a:prstGeom prst="rect"/>
                  </pic:spPr>
                </pic:pic>
              </a:graphicData>
            </a:graphic>
          </wp:inline>
        </w:drawing>
      </w:r>
    </w:p>
    <w:p>
      <w:pPr>
        <w:jc w:val="center"/>
      </w:pPr>
      <w:r>
        <w:t>Figure 30.1. What can a policy cutoff reveal about causal effects near the threshold?</w:t>
      </w:r>
    </w:p>
    <w:p>
      <w:pPr>
        <w:pStyle w:val="Heading2"/>
      </w:pPr>
      <w:r>
        <w:t>30.6 Interpretation</w:t>
      </w:r>
    </w:p>
    <w:p>
      <w:r>
        <w:t>Interpret results in the units of the variables. Report sign, magnitude, uncertainty, and the population or time period to which the estimate applies. If a variable is logged, categorical, interacted, standardized, or transformed, translate the coefficient accordingly rather than reading it as a raw one-unit effect.</w:t>
      </w:r>
    </w:p>
    <w:p>
      <w:r>
        <w:t>Then separate statistical significance from economic significance. A precise estimate may be too small to matter economically; an economically important estimate may be imprecise. Both dimensions belong in the conclusion.</w:t>
      </w:r>
    </w:p>
    <w:p>
      <w:pPr>
        <w:pStyle w:val="Heading2"/>
      </w:pPr>
      <w:r>
        <w:t>30.7 Assumptions, diagnostics, and threats to validity</w:t>
      </w:r>
    </w:p>
    <w:p>
      <w:pPr>
        <w:pStyle w:val="ListBullet"/>
      </w:pPr>
      <w:r>
        <w:t>Is the unit of observation appropriate for the question?</w:t>
      </w:r>
    </w:p>
    <w:p>
      <w:pPr>
        <w:pStyle w:val="ListBullet"/>
      </w:pPr>
      <w:r>
        <w:t>Are timing and information sets respected?</w:t>
      </w:r>
    </w:p>
    <w:p>
      <w:pPr>
        <w:pStyle w:val="ListBullet"/>
      </w:pPr>
      <w:r>
        <w:t>Could selection, confounding, measurement error, or reverse causality matter?</w:t>
      </w:r>
    </w:p>
    <w:p>
      <w:pPr>
        <w:pStyle w:val="ListBullet"/>
      </w:pPr>
      <w:r>
        <w:t>Does the uncertainty estimator match the sampling or dependence structure?</w:t>
      </w:r>
    </w:p>
    <w:p>
      <w:pPr>
        <w:pStyle w:val="ListBullet"/>
      </w:pPr>
      <w:r>
        <w:t>Would the result survive reasonable alternative specifications?</w:t>
      </w:r>
    </w:p>
    <w:p>
      <w:pPr>
        <w:pStyle w:val="ListBullet"/>
      </w:pPr>
      <w:r>
        <w:t>Is the task predictive, descriptive, or causal?</w:t>
      </w:r>
    </w:p>
    <w:tbl>
      <w:tblPr>
        <w:tblW w:type="auto" w:w="0"/>
        <w:jc w:val="center"/>
        <w:tblLook w:firstColumn="1" w:firstRow="1" w:lastColumn="0" w:lastRow="0" w:noHBand="0" w:noVBand="1" w:val="04A0"/>
      </w:tblPr>
      <w:tblGrid>
        <w:gridCol w:w="10080"/>
      </w:tblGrid>
      <w:tr>
        <w:tc>
          <w:tcPr>
            <w:tcW w:type="dxa" w:w="10080"/>
          </w:tcPr>
          <w:p>
            <w:r/>
            <w:r>
              <w:rPr>
                <w:b/>
              </w:rPr>
              <w:t xml:space="preserve">Causal caution: </w:t>
            </w:r>
            <w:r>
              <w:t>High predictive accuracy, feature importance, or a small p-value does not by itself identify a causal effect. Causal language requires a defensible identification strategy.</w:t>
            </w:r>
          </w:p>
        </w:tc>
        <w:trPr>
          <w:tblHeader/>
        </w:trPr>
      </w:tr>
    </w:tbl>
    <w:tbl>
      <w:tblPr>
        <w:tblW w:type="auto" w:w="0"/>
        <w:jc w:val="center"/>
        <w:tblLook w:firstColumn="1" w:firstRow="1" w:lastColumn="0" w:lastRow="0" w:noHBand="0" w:noVBand="1" w:val="04A0"/>
      </w:tblPr>
      <w:tblGrid>
        <w:gridCol w:w="10080"/>
      </w:tblGrid>
      <w:tr>
        <w:tc>
          <w:tcPr>
            <w:tcW w:type="dxa" w:w="10080"/>
          </w:tcPr>
          <w:p>
            <w:r/>
            <w:r>
              <w:rPr>
                <w:b/>
              </w:rPr>
              <w:t xml:space="preserve">Ceteris LAB Tip: </w:t>
            </w:r>
            <w:r>
              <w:t>Write the research question and estimand in words before opening Python. If you cannot state what quantity you want to learn, adding packages will not rescue the analysis.</w:t>
            </w:r>
          </w:p>
        </w:tc>
        <w:trPr>
          <w:tblHeader/>
        </w:trPr>
      </w:tr>
    </w:tbl>
    <w:tbl>
      <w:tblPr>
        <w:tblW w:type="auto" w:w="0"/>
        <w:jc w:val="center"/>
        <w:tblLook w:firstColumn="1" w:firstRow="1" w:lastColumn="0" w:lastRow="0" w:noHBand="0" w:noVBand="1" w:val="04A0"/>
      </w:tblPr>
      <w:tblGrid>
        <w:gridCol w:w="10080"/>
      </w:tblGrid>
      <w:tr>
        <w:tc>
          <w:tcPr>
            <w:tcW w:type="dxa" w:w="10080"/>
          </w:tcPr>
          <w:p>
            <w:r/>
            <w:r>
              <w:rPr>
                <w:b/>
              </w:rPr>
              <w:t xml:space="preserve">Common mistake: </w:t>
            </w:r>
            <w:r>
              <w:t>Treating a software default as an econometric assumption. Defaults are conveniences; assumptions must be chosen and defended.</w:t>
            </w:r>
          </w:p>
        </w:tc>
        <w:trPr>
          <w:tblHeader/>
        </w:trPr>
      </w:tr>
    </w:tbl>
    <w:p>
      <w:pPr>
        <w:pStyle w:val="Heading2"/>
      </w:pPr>
      <w:r>
        <w:t>30.8 Guided practice</w:t>
      </w:r>
    </w:p>
    <w:p>
      <w:r>
        <w:t>Modify the notebook so that one assumption is deliberately violated. Re-estimate the model, compare the result, and explain why the estimate changed. This turns diagnostics from a checklist into an experiment.</w:t>
      </w:r>
    </w:p>
    <w:p>
      <w:pPr>
        <w:pStyle w:val="Heading2"/>
      </w:pPr>
      <w:r>
        <w:t>30.9 Exercises</w:t>
      </w:r>
    </w:p>
    <w:p>
      <w:pPr>
        <w:pStyle w:val="ListNumber"/>
      </w:pPr>
      <w:r>
        <w:t>Concept: In one paragraph, distinguish association, prediction, and causation for the chapter topic.</w:t>
      </w:r>
    </w:p>
    <w:p>
      <w:pPr>
        <w:pStyle w:val="ListNumber"/>
      </w:pPr>
      <w:r>
        <w:t>Python: Reproduce the demonstration with a different documented random seed and verify that the qualitative conclusion is stable.</w:t>
      </w:r>
    </w:p>
    <w:p>
      <w:pPr>
        <w:pStyle w:val="ListNumber"/>
      </w:pPr>
      <w:r>
        <w:t>Applied econometrics: Replace the simulated outcome with a legally shareable economic variable and document its units, source, and sample.</w:t>
      </w:r>
    </w:p>
    <w:p>
      <w:pPr>
        <w:pStyle w:val="ListNumber"/>
      </w:pPr>
      <w:r>
        <w:t>Interpretation: Write a 150-word results paragraph that reports magnitude and uncertainty without exaggerating the evidence.</w:t>
      </w:r>
    </w:p>
    <w:p>
      <w:pPr>
        <w:pStyle w:val="ListNumber"/>
      </w:pPr>
      <w:r>
        <w:t>Research challenge: Propose one alternative design or robustness check that would address the most important threat to validity.</w:t>
      </w:r>
    </w:p>
    <w:p>
      <w:pPr>
        <w:pStyle w:val="Heading2"/>
      </w:pPr>
      <w:r>
        <w:t>30.10 Chapter summary</w:t>
      </w:r>
    </w:p>
    <w:p>
      <w:r>
        <w:t>Regression Discontinuity is most useful when the economic question, statistical target, assumptions, code, and interpretation point in the same direction. Python makes the workflow reproducible; econometric reasoning determines what the output can mean.</w:t>
      </w:r>
    </w:p>
    <w:p>
      <w:pPr>
        <w:pStyle w:val="Heading2"/>
      </w:pPr>
      <w:r>
        <w:t>30.11 Key Python tools</w:t>
      </w:r>
    </w:p>
    <w:p>
      <w:r>
        <w:t>Core tools used across these chapters include NumPy for simulation, pandas for data structures, statsmodels for statistical inference, scikit-learn for predictive modeling, and Matplotlib for transparent visual diagnostics. Use the simplest maintained tool that answers the question.</w:t>
      </w:r>
    </w:p>
    <w:p>
      <w:r>
        <w:br w:type="page"/>
      </w:r>
    </w:p>
    <w:p>
      <w:pPr>
        <w:pStyle w:val="Heading1"/>
      </w:pPr>
      <w:r>
        <w:t>31</w:t>
        <w:tab/>
        <w:t>Synthetic Control and Comparative Case Studies</w:t>
      </w:r>
    </w:p>
    <w:p>
      <w:pPr>
        <w:pStyle w:val="Subtitle"/>
      </w:pPr>
      <w:r>
        <w:t>How can one treated region be compared with a data-driven combination of untreated regions?</w:t>
      </w:r>
    </w:p>
    <w:p>
      <w:pPr>
        <w:pStyle w:val="Heading2"/>
      </w:pPr>
      <w:r>
        <w:t>31.1 Learning objectives</w:t>
      </w:r>
    </w:p>
    <w:p>
      <w:pPr>
        <w:pStyle w:val="ListBullet"/>
      </w:pPr>
      <w:r>
        <w:t>Explain and apply treated unit and donor pool.</w:t>
      </w:r>
    </w:p>
    <w:p>
      <w:pPr>
        <w:pStyle w:val="ListBullet"/>
      </w:pPr>
      <w:r>
        <w:t>Explain and apply pre-treatment fit.</w:t>
      </w:r>
    </w:p>
    <w:p>
      <w:pPr>
        <w:pStyle w:val="ListBullet"/>
      </w:pPr>
      <w:r>
        <w:t>Explain and apply synthetic weights.</w:t>
      </w:r>
    </w:p>
    <w:p>
      <w:pPr>
        <w:pStyle w:val="ListBullet"/>
      </w:pPr>
      <w:r>
        <w:t>Explain and apply predictor balance.</w:t>
      </w:r>
    </w:p>
    <w:p>
      <w:pPr>
        <w:pStyle w:val="ListBullet"/>
      </w:pPr>
      <w:r>
        <w:t>Explain and apply post-treatment gaps.</w:t>
      </w:r>
    </w:p>
    <w:p>
      <w:pPr>
        <w:pStyle w:val="ListBullet"/>
      </w:pPr>
      <w:r>
        <w:t>Explain and apply placebo tests.</w:t>
      </w:r>
    </w:p>
    <w:p>
      <w:pPr>
        <w:pStyle w:val="ListBullet"/>
      </w:pPr>
      <w:r>
        <w:t>Explain and apply inference challenges.</w:t>
      </w:r>
    </w:p>
    <w:p>
      <w:pPr>
        <w:pStyle w:val="ListBullet"/>
      </w:pPr>
      <w:r>
        <w:t>Explain and apply policy interpretation.</w:t>
      </w:r>
    </w:p>
    <w:tbl>
      <w:tblPr>
        <w:tblW w:type="auto" w:w="0"/>
        <w:jc w:val="center"/>
        <w:tblLook w:firstColumn="1" w:firstRow="1" w:lastColumn="0" w:lastRow="0" w:noHBand="0" w:noVBand="1" w:val="04A0"/>
      </w:tblPr>
      <w:tblGrid>
        <w:gridCol w:w="10080"/>
      </w:tblGrid>
      <w:tr>
        <w:tc>
          <w:tcPr>
            <w:tcW w:type="dxa" w:w="10080"/>
          </w:tcPr>
          <w:p>
            <w:r/>
            <w:r>
              <w:rPr>
                <w:b/>
              </w:rPr>
              <w:t xml:space="preserve">Concept in one sentence: </w:t>
            </w:r>
            <w:r>
              <w:t>Synthetic control constructs a transparent counterfactual from weighted comparison units chosen to reproduce the treated unit before intervention.</w:t>
            </w:r>
          </w:p>
        </w:tc>
        <w:trPr>
          <w:tblHeader/>
        </w:trPr>
      </w:tr>
    </w:tbl>
    <w:p>
      <w:pPr>
        <w:pStyle w:val="Heading2"/>
      </w:pPr>
      <w:r>
        <w:t>31.2 Economic intuition</w:t>
      </w:r>
    </w:p>
    <w:p>
      <w:r>
        <w:t>This chapter begins from the economic question rather than from software syntax. The goal is to understand what information the data can legitimately provide about synthetic control and comparative case studies. Python is used as a transparent laboratory: we state the question, define the target, inspect the data, estimate the model, and then challenge the result.</w:t>
      </w:r>
    </w:p>
    <w:p>
      <w:r>
        <w:t>A recurring distinction in econometrics is the difference between describing a pattern, predicting an outcome, and estimating a causal effect. These goals can use similar equations but require different assumptions. A model may forecast well while offering little causal interpretation, and a credible causal design may deliberately use a simple estimator because identification comes from the research design rather than algorithmic complexity.</w:t>
      </w:r>
    </w:p>
    <w:p>
      <w:r>
        <w:t>Throughout the chapter, pay attention to units, timing, sample construction, and the information set available to the analyst. Economic data are produced by institutions, markets, households, and firms. They are not abstract arrays. A good empirical workflow therefore combines statistical discipline with substantive economic reasoning.</w:t>
      </w:r>
    </w:p>
    <w:p>
      <w:pPr>
        <w:pStyle w:val="Heading2"/>
      </w:pPr>
      <w:r>
        <w:t>31.3 A small numerical example</w:t>
      </w:r>
    </w:p>
    <w:p>
      <w:r>
        <w:t>Start with a tiny hypothetical sample that can be checked by hand. Write the unit of observation, outcome, explanatory variable or treatment, and the comparison being made. Before estimating anything, ask what would make the comparison informative and what could make it misleading.</w:t>
      </w:r>
    </w:p>
    <w:tbl>
      <w:tblPr>
        <w:tblStyle w:val="TableGrid"/>
        <w:tblW w:type="auto" w:w="0"/>
        <w:jc w:val="center"/>
        <w:tblLook w:firstColumn="1" w:firstRow="1" w:lastColumn="0" w:lastRow="0" w:noHBand="0" w:noVBand="1" w:val="04A0"/>
      </w:tblPr>
      <w:tblGrid>
        <w:gridCol w:w="2520"/>
        <w:gridCol w:w="2520"/>
        <w:gridCol w:w="2520"/>
        <w:gridCol w:w="2520"/>
      </w:tblGrid>
      <w:tr>
        <w:tc>
          <w:tcPr>
            <w:tcW w:type="dxa" w:w="2520"/>
          </w:tcPr>
          <w:p>
            <w:r>
              <w:t>Observation</w:t>
            </w:r>
          </w:p>
        </w:tc>
        <w:tc>
          <w:tcPr>
            <w:tcW w:type="dxa" w:w="2520"/>
          </w:tcPr>
          <w:p>
            <w:r>
              <w:t>X / Treatment</w:t>
            </w:r>
          </w:p>
        </w:tc>
        <w:tc>
          <w:tcPr>
            <w:tcW w:type="dxa" w:w="2520"/>
          </w:tcPr>
          <w:p>
            <w:r>
              <w:t>Outcome Y</w:t>
            </w:r>
          </w:p>
        </w:tc>
        <w:tc>
          <w:tcPr>
            <w:tcW w:type="dxa" w:w="2520"/>
          </w:tcPr>
          <w:p>
            <w:r>
              <w:t>Interpretive note</w:t>
            </w:r>
          </w:p>
        </w:tc>
        <w:trPr>
          <w:tblHeader/>
        </w:trPr>
      </w:tr>
      <w:tr>
        <w:tc>
          <w:tcPr>
            <w:tcW w:type="dxa" w:w="2520"/>
          </w:tcPr>
          <w:p>
            <w:r>
              <w:t>1</w:t>
            </w:r>
          </w:p>
        </w:tc>
        <w:tc>
          <w:tcPr>
            <w:tcW w:type="dxa" w:w="2520"/>
          </w:tcPr>
          <w:p>
            <w:r>
              <w:t>0</w:t>
            </w:r>
          </w:p>
        </w:tc>
        <w:tc>
          <w:tcPr>
            <w:tcW w:type="dxa" w:w="2520"/>
          </w:tcPr>
          <w:p>
            <w:r>
              <w:t>10</w:t>
            </w:r>
          </w:p>
        </w:tc>
        <w:tc>
          <w:tcPr>
            <w:tcW w:type="dxa" w:w="2520"/>
          </w:tcPr>
          <w:p>
            <w:r>
              <w:t>baseline</w:t>
            </w:r>
          </w:p>
        </w:tc>
      </w:tr>
      <w:tr>
        <w:tc>
          <w:tcPr>
            <w:tcW w:type="dxa" w:w="2520"/>
          </w:tcPr>
          <w:p>
            <w:r>
              <w:t>2</w:t>
            </w:r>
          </w:p>
        </w:tc>
        <w:tc>
          <w:tcPr>
            <w:tcW w:type="dxa" w:w="2520"/>
          </w:tcPr>
          <w:p>
            <w:r>
              <w:t>0</w:t>
            </w:r>
          </w:p>
        </w:tc>
        <w:tc>
          <w:tcPr>
            <w:tcW w:type="dxa" w:w="2520"/>
          </w:tcPr>
          <w:p>
            <w:r>
              <w:t>12</w:t>
            </w:r>
          </w:p>
        </w:tc>
        <w:tc>
          <w:tcPr>
            <w:tcW w:type="dxa" w:w="2520"/>
          </w:tcPr>
          <w:p>
            <w:r>
              <w:t>comparison</w:t>
            </w:r>
          </w:p>
        </w:tc>
      </w:tr>
      <w:tr>
        <w:tc>
          <w:tcPr>
            <w:tcW w:type="dxa" w:w="2520"/>
          </w:tcPr>
          <w:p>
            <w:r>
              <w:t>3</w:t>
            </w:r>
          </w:p>
        </w:tc>
        <w:tc>
          <w:tcPr>
            <w:tcW w:type="dxa" w:w="2520"/>
          </w:tcPr>
          <w:p>
            <w:r>
              <w:t>1</w:t>
            </w:r>
          </w:p>
        </w:tc>
        <w:tc>
          <w:tcPr>
            <w:tcW w:type="dxa" w:w="2520"/>
          </w:tcPr>
          <w:p>
            <w:r>
              <w:t>15</w:t>
            </w:r>
          </w:p>
        </w:tc>
        <w:tc>
          <w:tcPr>
            <w:tcW w:type="dxa" w:w="2520"/>
          </w:tcPr>
          <w:p>
            <w:r>
              <w:t>exposed</w:t>
            </w:r>
          </w:p>
        </w:tc>
      </w:tr>
      <w:tr>
        <w:tc>
          <w:tcPr>
            <w:tcW w:type="dxa" w:w="2520"/>
          </w:tcPr>
          <w:p>
            <w:r>
              <w:t>4</w:t>
            </w:r>
          </w:p>
        </w:tc>
        <w:tc>
          <w:tcPr>
            <w:tcW w:type="dxa" w:w="2520"/>
          </w:tcPr>
          <w:p>
            <w:r>
              <w:t>1</w:t>
            </w:r>
          </w:p>
        </w:tc>
        <w:tc>
          <w:tcPr>
            <w:tcW w:type="dxa" w:w="2520"/>
          </w:tcPr>
          <w:p>
            <w:r>
              <w:t>17</w:t>
            </w:r>
          </w:p>
        </w:tc>
        <w:tc>
          <w:tcPr>
            <w:tcW w:type="dxa" w:w="2520"/>
          </w:tcPr>
          <w:p>
            <w:r>
              <w:t>exposed</w:t>
            </w:r>
          </w:p>
        </w:tc>
      </w:tr>
    </w:tbl>
    <w:p>
      <w:r>
        <w:t>The difference in group averages is easy to compute, but whether it is a causal effect depends on how exposure was assigned and whether the groups are otherwise comparable. This distinction is the heartbeat of modern applied econometrics.</w:t>
      </w:r>
    </w:p>
    <w:p>
      <w:pPr>
        <w:pStyle w:val="Heading2"/>
      </w:pPr>
      <w:r>
        <w:t>31.4 Formal framework</w:t>
      </w:r>
    </w:p>
    <w:p>
      <w:r>
        <w:t>Write the empirical model in a form that makes the target explicit. A generic conditional-mean representation is</w:t>
      </w:r>
    </w:p>
    <w:p>
      <w:pPr>
        <w:jc w:val="center"/>
      </w:pPr>
      <w:r>
        <w:t>E[Y | X] = m(X),     or in a linear approximation,     Y_i = β₀ + β₁X_i + u_i.</w:t>
      </w:r>
    </w:p>
    <w:p>
      <w:r>
        <w:t>Here Y is the outcome, X denotes observed information, β parameters summarize the chosen model, and u collects other determinants of the outcome. The crucial question is not only whether β can be estimated, but what β means under the design and assumptions.</w:t>
      </w:r>
    </w:p>
    <w:p>
      <w:pPr>
        <w:pStyle w:val="Heading2"/>
      </w:pPr>
      <w:r>
        <w:t>31.5 Python demonstration</w:t>
      </w:r>
    </w:p>
    <w:p>
      <w:pPr>
        <w:spacing w:after="0"/>
        <w:ind w:left="360"/>
      </w:pPr>
      <w:r>
        <w:rPr>
          <w:rFonts w:ascii="Liberation Mono" w:hAnsi="Liberation Mono"/>
          <w:sz w:val="17"/>
        </w:rPr>
        <w:t>import numpy as np</w:t>
      </w:r>
    </w:p>
    <w:p>
      <w:pPr>
        <w:spacing w:after="0"/>
        <w:ind w:left="360"/>
      </w:pPr>
      <w:r>
        <w:rPr>
          <w:rFonts w:ascii="Liberation Mono" w:hAnsi="Liberation Mono"/>
          <w:sz w:val="17"/>
        </w:rPr>
        <w:t>rng=np.random.default_rng(31); T=20; donors=np.vstack([10+.2*np.arange(T)+rng.normal(0,.3,T) for _ in range(4)])</w:t>
      </w:r>
    </w:p>
    <w:p>
      <w:pPr>
        <w:spacing w:after="0"/>
        <w:ind w:left="360"/>
      </w:pPr>
      <w:r>
        <w:rPr>
          <w:rFonts w:ascii="Liberation Mono" w:hAnsi="Liberation Mono"/>
          <w:sz w:val="17"/>
        </w:rPr>
        <w:t>synth=donors.mean(axis=0); treated=synth+rng.normal(0,.15,T); treated[12:]+=2.5</w:t>
      </w:r>
    </w:p>
    <w:p>
      <w:pPr>
        <w:spacing w:after="0"/>
        <w:ind w:left="360"/>
      </w:pPr>
      <w:r>
        <w:rPr>
          <w:rFonts w:ascii="Liberation Mono" w:hAnsi="Liberation Mono"/>
          <w:sz w:val="17"/>
        </w:rPr>
        <w:t>print('average post-treatment gap', (treated[12:]-synth[12:]).mean())</w:t>
      </w:r>
    </w:p>
    <w:p>
      <w:r>
        <w:t>Run the code in a clean notebook and inspect both the numerical output and the data-generating assumptions. The associated notebook in the student package reproduces the example with a fixed random seed.</w:t>
      </w:r>
    </w:p>
    <w:p>
      <w:r>
        <w:drawing>
          <wp:inline>
            <wp:extent cx="5669280" cy="3186684"/>
            <wp:docPr id="15" name="Picture 15" descr="Image: image16.png"/>
            <wp:cNvGraphicFramePr>
              <a:graphicFrameLocks noChangeAspect="1"/>
            </wp:cNvGraphicFramePr>
            <a:graphic>
              <a:graphicData uri="http://schemas.openxmlformats.org/drawingml/2006/picture">
                <pic:pic>
                  <pic:nvPicPr>
                    <pic:cNvPr id="0" name="ch31_synth.png"/>
                    <pic:cNvPicPr/>
                  </pic:nvPicPr>
                  <pic:blipFill>
                    <a:blip r:embed="rId32"/>
                    <a:stretch>
                      <a:fillRect/>
                    </a:stretch>
                  </pic:blipFill>
                  <pic:spPr>
                    <a:xfrm>
                      <a:off x="0" y="0"/>
                      <a:ext cx="5669280" cy="3186684"/>
                    </a:xfrm>
                    <a:prstGeom prst="rect"/>
                  </pic:spPr>
                </pic:pic>
              </a:graphicData>
            </a:graphic>
          </wp:inline>
        </w:drawing>
      </w:r>
    </w:p>
    <w:p>
      <w:pPr>
        <w:jc w:val="center"/>
      </w:pPr>
      <w:r>
        <w:t>Figure 31.1. How can one treated region be compared with a data-driven combination of untreated regions?</w:t>
      </w:r>
    </w:p>
    <w:p>
      <w:pPr>
        <w:pStyle w:val="Heading2"/>
      </w:pPr>
      <w:r>
        <w:t>31.6 Interpretation</w:t>
      </w:r>
    </w:p>
    <w:p>
      <w:r>
        <w:t>Interpret results in the units of the variables. Report sign, magnitude, uncertainty, and the population or time period to which the estimate applies. If a variable is logged, categorical, interacted, standardized, or transformed, translate the coefficient accordingly rather than reading it as a raw one-unit effect.</w:t>
      </w:r>
    </w:p>
    <w:p>
      <w:r>
        <w:t>Then separate statistical significance from economic significance. A precise estimate may be too small to matter economically; an economically important estimate may be imprecise. Both dimensions belong in the conclusion.</w:t>
      </w:r>
    </w:p>
    <w:p>
      <w:pPr>
        <w:pStyle w:val="Heading2"/>
      </w:pPr>
      <w:r>
        <w:t>31.7 Assumptions, diagnostics, and threats to validity</w:t>
      </w:r>
    </w:p>
    <w:p>
      <w:pPr>
        <w:pStyle w:val="ListBullet"/>
      </w:pPr>
      <w:r>
        <w:t>Is the unit of observation appropriate for the question?</w:t>
      </w:r>
    </w:p>
    <w:p>
      <w:pPr>
        <w:pStyle w:val="ListBullet"/>
      </w:pPr>
      <w:r>
        <w:t>Are timing and information sets respected?</w:t>
      </w:r>
    </w:p>
    <w:p>
      <w:pPr>
        <w:pStyle w:val="ListBullet"/>
      </w:pPr>
      <w:r>
        <w:t>Could selection, confounding, measurement error, or reverse causality matter?</w:t>
      </w:r>
    </w:p>
    <w:p>
      <w:pPr>
        <w:pStyle w:val="ListBullet"/>
      </w:pPr>
      <w:r>
        <w:t>Does the uncertainty estimator match the sampling or dependence structure?</w:t>
      </w:r>
    </w:p>
    <w:p>
      <w:pPr>
        <w:pStyle w:val="ListBullet"/>
      </w:pPr>
      <w:r>
        <w:t>Would the result survive reasonable alternative specifications?</w:t>
      </w:r>
    </w:p>
    <w:p>
      <w:pPr>
        <w:pStyle w:val="ListBullet"/>
      </w:pPr>
      <w:r>
        <w:t>Is the task predictive, descriptive, or causal?</w:t>
      </w:r>
    </w:p>
    <w:tbl>
      <w:tblPr>
        <w:tblW w:type="auto" w:w="0"/>
        <w:jc w:val="center"/>
        <w:tblLook w:firstColumn="1" w:firstRow="1" w:lastColumn="0" w:lastRow="0" w:noHBand="0" w:noVBand="1" w:val="04A0"/>
      </w:tblPr>
      <w:tblGrid>
        <w:gridCol w:w="10080"/>
      </w:tblGrid>
      <w:tr>
        <w:tc>
          <w:tcPr>
            <w:tcW w:type="dxa" w:w="10080"/>
          </w:tcPr>
          <w:p>
            <w:r/>
            <w:r>
              <w:rPr>
                <w:b/>
              </w:rPr>
              <w:t xml:space="preserve">Causal caution: </w:t>
            </w:r>
            <w:r>
              <w:t>High predictive accuracy, feature importance, or a small p-value does not by itself identify a causal effect. Causal language requires a defensible identification strategy.</w:t>
            </w:r>
          </w:p>
        </w:tc>
        <w:trPr>
          <w:tblHeader/>
        </w:trPr>
      </w:tr>
    </w:tbl>
    <w:tbl>
      <w:tblPr>
        <w:tblW w:type="auto" w:w="0"/>
        <w:jc w:val="center"/>
        <w:tblLook w:firstColumn="1" w:firstRow="1" w:lastColumn="0" w:lastRow="0" w:noHBand="0" w:noVBand="1" w:val="04A0"/>
      </w:tblPr>
      <w:tblGrid>
        <w:gridCol w:w="10080"/>
      </w:tblGrid>
      <w:tr>
        <w:tc>
          <w:tcPr>
            <w:tcW w:type="dxa" w:w="10080"/>
          </w:tcPr>
          <w:p>
            <w:r/>
            <w:r>
              <w:rPr>
                <w:b/>
              </w:rPr>
              <w:t xml:space="preserve">Ceteris LAB Tip: </w:t>
            </w:r>
            <w:r>
              <w:t>Write the research question and estimand in words before opening Python. If you cannot state what quantity you want to learn, adding packages will not rescue the analysis.</w:t>
            </w:r>
          </w:p>
        </w:tc>
        <w:trPr>
          <w:tblHeader/>
        </w:trPr>
      </w:tr>
    </w:tbl>
    <w:tbl>
      <w:tblPr>
        <w:tblW w:type="auto" w:w="0"/>
        <w:jc w:val="center"/>
        <w:tblLook w:firstColumn="1" w:firstRow="1" w:lastColumn="0" w:lastRow="0" w:noHBand="0" w:noVBand="1" w:val="04A0"/>
      </w:tblPr>
      <w:tblGrid>
        <w:gridCol w:w="10080"/>
      </w:tblGrid>
      <w:tr>
        <w:tc>
          <w:tcPr>
            <w:tcW w:type="dxa" w:w="10080"/>
          </w:tcPr>
          <w:p>
            <w:r/>
            <w:r>
              <w:rPr>
                <w:b/>
              </w:rPr>
              <w:t xml:space="preserve">Common mistake: </w:t>
            </w:r>
            <w:r>
              <w:t>Treating a software default as an econometric assumption. Defaults are conveniences; assumptions must be chosen and defended.</w:t>
            </w:r>
          </w:p>
        </w:tc>
        <w:trPr>
          <w:tblHeader/>
        </w:trPr>
      </w:tr>
    </w:tbl>
    <w:p>
      <w:pPr>
        <w:pStyle w:val="Heading2"/>
      </w:pPr>
      <w:r>
        <w:t>31.8 Guided practice</w:t>
      </w:r>
    </w:p>
    <w:p>
      <w:r>
        <w:t>Modify the notebook so that one assumption is deliberately violated. Re-estimate the model, compare the result, and explain why the estimate changed. This turns diagnostics from a checklist into an experiment.</w:t>
      </w:r>
    </w:p>
    <w:p>
      <w:pPr>
        <w:pStyle w:val="Heading2"/>
      </w:pPr>
      <w:r>
        <w:t>31.9 Exercises</w:t>
      </w:r>
    </w:p>
    <w:p>
      <w:pPr>
        <w:pStyle w:val="ListNumber"/>
      </w:pPr>
      <w:r>
        <w:t>Concept: In one paragraph, distinguish association, prediction, and causation for the chapter topic.</w:t>
      </w:r>
    </w:p>
    <w:p>
      <w:pPr>
        <w:pStyle w:val="ListNumber"/>
      </w:pPr>
      <w:r>
        <w:t>Python: Reproduce the demonstration with a different documented random seed and verify that the qualitative conclusion is stable.</w:t>
      </w:r>
    </w:p>
    <w:p>
      <w:pPr>
        <w:pStyle w:val="ListNumber"/>
      </w:pPr>
      <w:r>
        <w:t>Applied econometrics: Replace the simulated outcome with a legally shareable economic variable and document its units, source, and sample.</w:t>
      </w:r>
    </w:p>
    <w:p>
      <w:pPr>
        <w:pStyle w:val="ListNumber"/>
      </w:pPr>
      <w:r>
        <w:t>Interpretation: Write a 150-word results paragraph that reports magnitude and uncertainty without exaggerating the evidence.</w:t>
      </w:r>
    </w:p>
    <w:p>
      <w:pPr>
        <w:pStyle w:val="ListNumber"/>
      </w:pPr>
      <w:r>
        <w:t>Research challenge: Propose one alternative design or robustness check that would address the most important threat to validity.</w:t>
      </w:r>
    </w:p>
    <w:p>
      <w:pPr>
        <w:pStyle w:val="Heading2"/>
      </w:pPr>
      <w:r>
        <w:t>31.10 Chapter summary</w:t>
      </w:r>
    </w:p>
    <w:p>
      <w:r>
        <w:t>Synthetic Control and Comparative Case Studies is most useful when the economic question, statistical target, assumptions, code, and interpretation point in the same direction. Python makes the workflow reproducible; econometric reasoning determines what the output can mean.</w:t>
      </w:r>
    </w:p>
    <w:p>
      <w:pPr>
        <w:pStyle w:val="Heading2"/>
      </w:pPr>
      <w:r>
        <w:t>31.11 Key Python tools</w:t>
      </w:r>
    </w:p>
    <w:p>
      <w:r>
        <w:t>Core tools used across these chapters include NumPy for simulation, pandas for data structures, statsmodels for statistical inference, scikit-learn for predictive modeling, and Matplotlib for transparent visual diagnostics. Use the simplest maintained tool that answers the question.</w:t>
      </w:r>
    </w:p>
    <w:p>
      <w:r>
        <w:br w:type="page"/>
      </w:r>
    </w:p>
    <w:p>
      <w:pPr>
        <w:pStyle w:val="Heading1"/>
      </w:pPr>
      <w:r>
        <w:t>32</w:t>
        <w:tab/>
        <w:t>Regularization and High-Dimensional Economic Models</w:t>
      </w:r>
    </w:p>
    <w:p>
      <w:pPr>
        <w:pStyle w:val="Subtitle"/>
      </w:pPr>
      <w:r>
        <w:t>How do we build stable predictions when the number of candidate predictors becomes large?</w:t>
      </w:r>
    </w:p>
    <w:p>
      <w:pPr>
        <w:pStyle w:val="Heading2"/>
      </w:pPr>
      <w:r>
        <w:t>32.1 Learning objectives</w:t>
      </w:r>
    </w:p>
    <w:p>
      <w:pPr>
        <w:pStyle w:val="ListBullet"/>
      </w:pPr>
      <w:r>
        <w:t>Explain and apply ridge regression.</w:t>
      </w:r>
    </w:p>
    <w:p>
      <w:pPr>
        <w:pStyle w:val="ListBullet"/>
      </w:pPr>
      <w:r>
        <w:t>Explain and apply lasso.</w:t>
      </w:r>
    </w:p>
    <w:p>
      <w:pPr>
        <w:pStyle w:val="ListBullet"/>
      </w:pPr>
      <w:r>
        <w:t>Explain and apply elastic net.</w:t>
      </w:r>
    </w:p>
    <w:p>
      <w:pPr>
        <w:pStyle w:val="ListBullet"/>
      </w:pPr>
      <w:r>
        <w:t>Explain and apply standardization.</w:t>
      </w:r>
    </w:p>
    <w:p>
      <w:pPr>
        <w:pStyle w:val="ListBullet"/>
      </w:pPr>
      <w:r>
        <w:t>Explain and apply cross-validation.</w:t>
      </w:r>
    </w:p>
    <w:p>
      <w:pPr>
        <w:pStyle w:val="ListBullet"/>
      </w:pPr>
      <w:r>
        <w:t>Explain and apply shrinkage.</w:t>
      </w:r>
    </w:p>
    <w:p>
      <w:pPr>
        <w:pStyle w:val="ListBullet"/>
      </w:pPr>
      <w:r>
        <w:t>Explain and apply variable selection.</w:t>
      </w:r>
    </w:p>
    <w:p>
      <w:pPr>
        <w:pStyle w:val="ListBullet"/>
      </w:pPr>
      <w:r>
        <w:t>Explain and apply post-selection caution.</w:t>
      </w:r>
    </w:p>
    <w:p>
      <w:pPr>
        <w:pStyle w:val="ListBullet"/>
      </w:pPr>
      <w:r>
        <w:t>Explain and apply prediction versus inference.</w:t>
      </w:r>
    </w:p>
    <w:tbl>
      <w:tblPr>
        <w:tblW w:type="auto" w:w="0"/>
        <w:jc w:val="center"/>
        <w:tblLook w:firstColumn="1" w:firstRow="1" w:lastColumn="0" w:lastRow="0" w:noHBand="0" w:noVBand="1" w:val="04A0"/>
      </w:tblPr>
      <w:tblGrid>
        <w:gridCol w:w="10080"/>
      </w:tblGrid>
      <w:tr>
        <w:tc>
          <w:tcPr>
            <w:tcW w:type="dxa" w:w="10080"/>
          </w:tcPr>
          <w:p>
            <w:r/>
            <w:r>
              <w:rPr>
                <w:b/>
              </w:rPr>
              <w:t xml:space="preserve">Concept in one sentence: </w:t>
            </w:r>
            <w:r>
              <w:t>Regularization accepts some bias in exchange for lower variance and more stable out-of-sample prediction.</w:t>
            </w:r>
          </w:p>
        </w:tc>
        <w:trPr>
          <w:tblHeader/>
        </w:trPr>
      </w:tr>
    </w:tbl>
    <w:p>
      <w:pPr>
        <w:pStyle w:val="Heading2"/>
      </w:pPr>
      <w:r>
        <w:t>32.2 Economic intuition</w:t>
      </w:r>
    </w:p>
    <w:p>
      <w:r>
        <w:t>This chapter begins from the economic question rather than from software syntax. The goal is to understand what information the data can legitimately provide about regularization and high-dimensional economic models. Python is used as a transparent laboratory: we state the question, define the target, inspect the data, estimate the model, and then challenge the result.</w:t>
      </w:r>
    </w:p>
    <w:p>
      <w:r>
        <w:t>A recurring distinction in econometrics is the difference between describing a pattern, predicting an outcome, and estimating a causal effect. These goals can use similar equations but require different assumptions. A model may forecast well while offering little causal interpretation, and a credible causal design may deliberately use a simple estimator because identification comes from the research design rather than algorithmic complexity.</w:t>
      </w:r>
    </w:p>
    <w:p>
      <w:r>
        <w:t>Throughout the chapter, pay attention to units, timing, sample construction, and the information set available to the analyst. Economic data are produced by institutions, markets, households, and firms. They are not abstract arrays. A good empirical workflow therefore combines statistical discipline with substantive economic reasoning.</w:t>
      </w:r>
    </w:p>
    <w:p>
      <w:pPr>
        <w:pStyle w:val="Heading2"/>
      </w:pPr>
      <w:r>
        <w:t>32.3 A small numerical example</w:t>
      </w:r>
    </w:p>
    <w:p>
      <w:r>
        <w:t>Start with a tiny hypothetical sample that can be checked by hand. Write the unit of observation, outcome, explanatory variable or treatment, and the comparison being made. Before estimating anything, ask what would make the comparison informative and what could make it misleading.</w:t>
      </w:r>
    </w:p>
    <w:tbl>
      <w:tblPr>
        <w:tblStyle w:val="TableGrid"/>
        <w:tblW w:type="auto" w:w="0"/>
        <w:jc w:val="center"/>
        <w:tblLook w:firstColumn="1" w:firstRow="1" w:lastColumn="0" w:lastRow="0" w:noHBand="0" w:noVBand="1" w:val="04A0"/>
      </w:tblPr>
      <w:tblGrid>
        <w:gridCol w:w="2520"/>
        <w:gridCol w:w="2520"/>
        <w:gridCol w:w="2520"/>
        <w:gridCol w:w="2520"/>
      </w:tblGrid>
      <w:tr>
        <w:tc>
          <w:tcPr>
            <w:tcW w:type="dxa" w:w="2520"/>
          </w:tcPr>
          <w:p>
            <w:r>
              <w:t>Observation</w:t>
            </w:r>
          </w:p>
        </w:tc>
        <w:tc>
          <w:tcPr>
            <w:tcW w:type="dxa" w:w="2520"/>
          </w:tcPr>
          <w:p>
            <w:r>
              <w:t>X / Treatment</w:t>
            </w:r>
          </w:p>
        </w:tc>
        <w:tc>
          <w:tcPr>
            <w:tcW w:type="dxa" w:w="2520"/>
          </w:tcPr>
          <w:p>
            <w:r>
              <w:t>Outcome Y</w:t>
            </w:r>
          </w:p>
        </w:tc>
        <w:tc>
          <w:tcPr>
            <w:tcW w:type="dxa" w:w="2520"/>
          </w:tcPr>
          <w:p>
            <w:r>
              <w:t>Interpretive note</w:t>
            </w:r>
          </w:p>
        </w:tc>
        <w:trPr>
          <w:tblHeader/>
        </w:trPr>
      </w:tr>
      <w:tr>
        <w:tc>
          <w:tcPr>
            <w:tcW w:type="dxa" w:w="2520"/>
          </w:tcPr>
          <w:p>
            <w:r>
              <w:t>1</w:t>
            </w:r>
          </w:p>
        </w:tc>
        <w:tc>
          <w:tcPr>
            <w:tcW w:type="dxa" w:w="2520"/>
          </w:tcPr>
          <w:p>
            <w:r>
              <w:t>0</w:t>
            </w:r>
          </w:p>
        </w:tc>
        <w:tc>
          <w:tcPr>
            <w:tcW w:type="dxa" w:w="2520"/>
          </w:tcPr>
          <w:p>
            <w:r>
              <w:t>10</w:t>
            </w:r>
          </w:p>
        </w:tc>
        <w:tc>
          <w:tcPr>
            <w:tcW w:type="dxa" w:w="2520"/>
          </w:tcPr>
          <w:p>
            <w:r>
              <w:t>baseline</w:t>
            </w:r>
          </w:p>
        </w:tc>
      </w:tr>
      <w:tr>
        <w:tc>
          <w:tcPr>
            <w:tcW w:type="dxa" w:w="2520"/>
          </w:tcPr>
          <w:p>
            <w:r>
              <w:t>2</w:t>
            </w:r>
          </w:p>
        </w:tc>
        <w:tc>
          <w:tcPr>
            <w:tcW w:type="dxa" w:w="2520"/>
          </w:tcPr>
          <w:p>
            <w:r>
              <w:t>0</w:t>
            </w:r>
          </w:p>
        </w:tc>
        <w:tc>
          <w:tcPr>
            <w:tcW w:type="dxa" w:w="2520"/>
          </w:tcPr>
          <w:p>
            <w:r>
              <w:t>12</w:t>
            </w:r>
          </w:p>
        </w:tc>
        <w:tc>
          <w:tcPr>
            <w:tcW w:type="dxa" w:w="2520"/>
          </w:tcPr>
          <w:p>
            <w:r>
              <w:t>comparison</w:t>
            </w:r>
          </w:p>
        </w:tc>
      </w:tr>
      <w:tr>
        <w:tc>
          <w:tcPr>
            <w:tcW w:type="dxa" w:w="2520"/>
          </w:tcPr>
          <w:p>
            <w:r>
              <w:t>3</w:t>
            </w:r>
          </w:p>
        </w:tc>
        <w:tc>
          <w:tcPr>
            <w:tcW w:type="dxa" w:w="2520"/>
          </w:tcPr>
          <w:p>
            <w:r>
              <w:t>1</w:t>
            </w:r>
          </w:p>
        </w:tc>
        <w:tc>
          <w:tcPr>
            <w:tcW w:type="dxa" w:w="2520"/>
          </w:tcPr>
          <w:p>
            <w:r>
              <w:t>15</w:t>
            </w:r>
          </w:p>
        </w:tc>
        <w:tc>
          <w:tcPr>
            <w:tcW w:type="dxa" w:w="2520"/>
          </w:tcPr>
          <w:p>
            <w:r>
              <w:t>exposed</w:t>
            </w:r>
          </w:p>
        </w:tc>
      </w:tr>
      <w:tr>
        <w:tc>
          <w:tcPr>
            <w:tcW w:type="dxa" w:w="2520"/>
          </w:tcPr>
          <w:p>
            <w:r>
              <w:t>4</w:t>
            </w:r>
          </w:p>
        </w:tc>
        <w:tc>
          <w:tcPr>
            <w:tcW w:type="dxa" w:w="2520"/>
          </w:tcPr>
          <w:p>
            <w:r>
              <w:t>1</w:t>
            </w:r>
          </w:p>
        </w:tc>
        <w:tc>
          <w:tcPr>
            <w:tcW w:type="dxa" w:w="2520"/>
          </w:tcPr>
          <w:p>
            <w:r>
              <w:t>17</w:t>
            </w:r>
          </w:p>
        </w:tc>
        <w:tc>
          <w:tcPr>
            <w:tcW w:type="dxa" w:w="2520"/>
          </w:tcPr>
          <w:p>
            <w:r>
              <w:t>exposed</w:t>
            </w:r>
          </w:p>
        </w:tc>
      </w:tr>
    </w:tbl>
    <w:p>
      <w:r>
        <w:t>The difference in group averages is easy to compute, but whether it is a causal effect depends on how exposure was assigned and whether the groups are otherwise comparable. This distinction is the heartbeat of modern applied econometrics.</w:t>
      </w:r>
    </w:p>
    <w:p>
      <w:pPr>
        <w:pStyle w:val="Heading2"/>
      </w:pPr>
      <w:r>
        <w:t>32.4 Formal framework</w:t>
      </w:r>
    </w:p>
    <w:p>
      <w:r>
        <w:t>Write the empirical model in a form that makes the target explicit. A generic conditional-mean representation is</w:t>
      </w:r>
    </w:p>
    <w:p>
      <w:pPr>
        <w:jc w:val="center"/>
      </w:pPr>
      <w:r>
        <w:t>E[Y | X] = m(X),     or in a linear approximation,     Y_i = β₀ + β₁X_i + u_i.</w:t>
      </w:r>
    </w:p>
    <w:p>
      <w:r>
        <w:t>Here Y is the outcome, X denotes observed information, β parameters summarize the chosen model, and u collects other determinants of the outcome. The crucial question is not only whether β can be estimated, but what β means under the design and assumptions.</w:t>
      </w:r>
    </w:p>
    <w:p>
      <w:pPr>
        <w:pStyle w:val="Heading2"/>
      </w:pPr>
      <w:r>
        <w:t>32.5 Python demonstration</w:t>
      </w:r>
    </w:p>
    <w:p>
      <w:pPr>
        <w:spacing w:after="0"/>
        <w:ind w:left="360"/>
      </w:pPr>
      <w:r>
        <w:rPr>
          <w:rFonts w:ascii="Liberation Mono" w:hAnsi="Liberation Mono"/>
          <w:sz w:val="17"/>
        </w:rPr>
        <w:t>import numpy as np</w:t>
      </w:r>
    </w:p>
    <w:p>
      <w:pPr>
        <w:spacing w:after="0"/>
        <w:ind w:left="360"/>
      </w:pPr>
      <w:r>
        <w:rPr>
          <w:rFonts w:ascii="Liberation Mono" w:hAnsi="Liberation Mono"/>
          <w:sz w:val="17"/>
        </w:rPr>
        <w:t>from sklearn.linear_model import RidgeCV, LassoCV</w:t>
      </w:r>
    </w:p>
    <w:p>
      <w:pPr>
        <w:spacing w:after="0"/>
        <w:ind w:left="360"/>
      </w:pPr>
      <w:r>
        <w:rPr>
          <w:rFonts w:ascii="Liberation Mono" w:hAnsi="Liberation Mono"/>
          <w:sz w:val="17"/>
        </w:rPr>
        <w:t>rng=np.random.default_rng(32); X=rng.normal(size=(500,30)); b=np.zeros(30); b[:5]=[2,-1.5,1,.5,.3]; y=X@b+rng.normal(size=500)</w:t>
      </w:r>
    </w:p>
    <w:p>
      <w:pPr>
        <w:spacing w:after="0"/>
        <w:ind w:left="360"/>
      </w:pPr>
      <w:r>
        <w:rPr>
          <w:rFonts w:ascii="Liberation Mono" w:hAnsi="Liberation Mono"/>
          <w:sz w:val="17"/>
        </w:rPr>
        <w:t>print('ridge alpha',RidgeCV(alphas=np.logspace(-3,3,40)).fit(X,y).alpha_)</w:t>
      </w:r>
    </w:p>
    <w:p>
      <w:pPr>
        <w:spacing w:after="0"/>
        <w:ind w:left="360"/>
      </w:pPr>
      <w:r>
        <w:rPr>
          <w:rFonts w:ascii="Liberation Mono" w:hAnsi="Liberation Mono"/>
          <w:sz w:val="17"/>
        </w:rPr>
        <w:t>print('lasso alpha',LassoCV(cv=5,random_state=1).fit(X,y).alpha_)</w:t>
      </w:r>
    </w:p>
    <w:p>
      <w:r>
        <w:t>Run the code in a clean notebook and inspect both the numerical output and the data-generating assumptions. The associated notebook in the student package reproduces the example with a fixed random seed.</w:t>
      </w:r>
    </w:p>
    <w:p>
      <w:r>
        <w:drawing>
          <wp:inline>
            <wp:extent cx="5669280" cy="3161275"/>
            <wp:docPr id="16" name="Picture 16" descr="Image: image17.png"/>
            <wp:cNvGraphicFramePr>
              <a:graphicFrameLocks noChangeAspect="1"/>
            </wp:cNvGraphicFramePr>
            <a:graphic>
              <a:graphicData uri="http://schemas.openxmlformats.org/drawingml/2006/picture">
                <pic:pic>
                  <pic:nvPicPr>
                    <pic:cNvPr id="0" name="ch32_regularization.png"/>
                    <pic:cNvPicPr/>
                  </pic:nvPicPr>
                  <pic:blipFill>
                    <a:blip r:embed="rId33"/>
                    <a:stretch>
                      <a:fillRect/>
                    </a:stretch>
                  </pic:blipFill>
                  <pic:spPr>
                    <a:xfrm>
                      <a:off x="0" y="0"/>
                      <a:ext cx="5669280" cy="3161275"/>
                    </a:xfrm>
                    <a:prstGeom prst="rect"/>
                  </pic:spPr>
                </pic:pic>
              </a:graphicData>
            </a:graphic>
          </wp:inline>
        </w:drawing>
      </w:r>
    </w:p>
    <w:p>
      <w:pPr>
        <w:jc w:val="center"/>
      </w:pPr>
      <w:r>
        <w:t>Figure 32.1. How do we build stable predictions when the number of candidate predictors becomes large?</w:t>
      </w:r>
    </w:p>
    <w:p>
      <w:pPr>
        <w:pStyle w:val="Heading2"/>
      </w:pPr>
      <w:r>
        <w:t>32.6 Interpretation</w:t>
      </w:r>
    </w:p>
    <w:p>
      <w:r>
        <w:t>Interpret results in the units of the variables. Report sign, magnitude, uncertainty, and the population or time period to which the estimate applies. If a variable is logged, categorical, interacted, standardized, or transformed, translate the coefficient accordingly rather than reading it as a raw one-unit effect.</w:t>
      </w:r>
    </w:p>
    <w:p>
      <w:r>
        <w:t>Then separate statistical significance from economic significance. A precise estimate may be too small to matter economically; an economically important estimate may be imprecise. Both dimensions belong in the conclusion.</w:t>
      </w:r>
    </w:p>
    <w:p>
      <w:pPr>
        <w:pStyle w:val="Heading2"/>
      </w:pPr>
      <w:r>
        <w:t>32.7 Assumptions, diagnostics, and threats to validity</w:t>
      </w:r>
    </w:p>
    <w:p>
      <w:pPr>
        <w:pStyle w:val="ListBullet"/>
      </w:pPr>
      <w:r>
        <w:t>Is the unit of observation appropriate for the question?</w:t>
      </w:r>
    </w:p>
    <w:p>
      <w:pPr>
        <w:pStyle w:val="ListBullet"/>
      </w:pPr>
      <w:r>
        <w:t>Are timing and information sets respected?</w:t>
      </w:r>
    </w:p>
    <w:p>
      <w:pPr>
        <w:pStyle w:val="ListBullet"/>
      </w:pPr>
      <w:r>
        <w:t>Could selection, confounding, measurement error, or reverse causality matter?</w:t>
      </w:r>
    </w:p>
    <w:p>
      <w:pPr>
        <w:pStyle w:val="ListBullet"/>
      </w:pPr>
      <w:r>
        <w:t>Does the uncertainty estimator match the sampling or dependence structure?</w:t>
      </w:r>
    </w:p>
    <w:p>
      <w:pPr>
        <w:pStyle w:val="ListBullet"/>
      </w:pPr>
      <w:r>
        <w:t>Would the result survive reasonable alternative specifications?</w:t>
      </w:r>
    </w:p>
    <w:p>
      <w:pPr>
        <w:pStyle w:val="ListBullet"/>
      </w:pPr>
      <w:r>
        <w:t>Is the task predictive, descriptive, or causal?</w:t>
      </w:r>
    </w:p>
    <w:tbl>
      <w:tblPr>
        <w:tblW w:type="auto" w:w="0"/>
        <w:jc w:val="center"/>
        <w:tblLook w:firstColumn="1" w:firstRow="1" w:lastColumn="0" w:lastRow="0" w:noHBand="0" w:noVBand="1" w:val="04A0"/>
      </w:tblPr>
      <w:tblGrid>
        <w:gridCol w:w="10080"/>
      </w:tblGrid>
      <w:tr>
        <w:tc>
          <w:tcPr>
            <w:tcW w:type="dxa" w:w="10080"/>
          </w:tcPr>
          <w:p>
            <w:r/>
            <w:r>
              <w:rPr>
                <w:b/>
              </w:rPr>
              <w:t xml:space="preserve">Causal caution: </w:t>
            </w:r>
            <w:r>
              <w:t>High predictive accuracy, feature importance, or a small p-value does not by itself identify a causal effect. Causal language requires a defensible identification strategy.</w:t>
            </w:r>
          </w:p>
        </w:tc>
        <w:trPr>
          <w:tblHeader/>
        </w:trPr>
      </w:tr>
    </w:tbl>
    <w:tbl>
      <w:tblPr>
        <w:tblW w:type="auto" w:w="0"/>
        <w:jc w:val="center"/>
        <w:tblLook w:firstColumn="1" w:firstRow="1" w:lastColumn="0" w:lastRow="0" w:noHBand="0" w:noVBand="1" w:val="04A0"/>
      </w:tblPr>
      <w:tblGrid>
        <w:gridCol w:w="10080"/>
      </w:tblGrid>
      <w:tr>
        <w:tc>
          <w:tcPr>
            <w:tcW w:type="dxa" w:w="10080"/>
          </w:tcPr>
          <w:p>
            <w:r/>
            <w:r>
              <w:rPr>
                <w:b/>
              </w:rPr>
              <w:t xml:space="preserve">Ceteris LAB Tip: </w:t>
            </w:r>
            <w:r>
              <w:t>Write the research question and estimand in words before opening Python. If you cannot state what quantity you want to learn, adding packages will not rescue the analysis.</w:t>
            </w:r>
          </w:p>
        </w:tc>
        <w:trPr>
          <w:tblHeader/>
        </w:trPr>
      </w:tr>
    </w:tbl>
    <w:tbl>
      <w:tblPr>
        <w:tblW w:type="auto" w:w="0"/>
        <w:jc w:val="center"/>
        <w:tblLook w:firstColumn="1" w:firstRow="1" w:lastColumn="0" w:lastRow="0" w:noHBand="0" w:noVBand="1" w:val="04A0"/>
      </w:tblPr>
      <w:tblGrid>
        <w:gridCol w:w="10080"/>
      </w:tblGrid>
      <w:tr>
        <w:tc>
          <w:tcPr>
            <w:tcW w:type="dxa" w:w="10080"/>
          </w:tcPr>
          <w:p>
            <w:r/>
            <w:r>
              <w:rPr>
                <w:b/>
              </w:rPr>
              <w:t xml:space="preserve">Common mistake: </w:t>
            </w:r>
            <w:r>
              <w:t>Treating a software default as an econometric assumption. Defaults are conveniences; assumptions must be chosen and defended.</w:t>
            </w:r>
          </w:p>
        </w:tc>
        <w:trPr>
          <w:tblHeader/>
        </w:trPr>
      </w:tr>
    </w:tbl>
    <w:p>
      <w:pPr>
        <w:pStyle w:val="Heading2"/>
      </w:pPr>
      <w:r>
        <w:t>32.8 Guided practice</w:t>
      </w:r>
    </w:p>
    <w:p>
      <w:r>
        <w:t>Modify the notebook so that one assumption is deliberately violated. Re-estimate the model, compare the result, and explain why the estimate changed. This turns diagnostics from a checklist into an experiment.</w:t>
      </w:r>
    </w:p>
    <w:p>
      <w:pPr>
        <w:pStyle w:val="Heading2"/>
      </w:pPr>
      <w:r>
        <w:t>32.9 Exercises</w:t>
      </w:r>
    </w:p>
    <w:p>
      <w:pPr>
        <w:pStyle w:val="ListNumber"/>
      </w:pPr>
      <w:r>
        <w:t>Concept: In one paragraph, distinguish association, prediction, and causation for the chapter topic.</w:t>
      </w:r>
    </w:p>
    <w:p>
      <w:pPr>
        <w:pStyle w:val="ListNumber"/>
      </w:pPr>
      <w:r>
        <w:t>Python: Reproduce the demonstration with a different documented random seed and verify that the qualitative conclusion is stable.</w:t>
      </w:r>
    </w:p>
    <w:p>
      <w:pPr>
        <w:pStyle w:val="ListNumber"/>
      </w:pPr>
      <w:r>
        <w:t>Applied econometrics: Replace the simulated outcome with a legally shareable economic variable and document its units, source, and sample.</w:t>
      </w:r>
    </w:p>
    <w:p>
      <w:pPr>
        <w:pStyle w:val="ListNumber"/>
      </w:pPr>
      <w:r>
        <w:t>Interpretation: Write a 150-word results paragraph that reports magnitude and uncertainty without exaggerating the evidence.</w:t>
      </w:r>
    </w:p>
    <w:p>
      <w:pPr>
        <w:pStyle w:val="ListNumber"/>
      </w:pPr>
      <w:r>
        <w:t>Research challenge: Propose one alternative design or robustness check that would address the most important threat to validity.</w:t>
      </w:r>
    </w:p>
    <w:p>
      <w:pPr>
        <w:pStyle w:val="Heading2"/>
      </w:pPr>
      <w:r>
        <w:t>32.10 Chapter summary</w:t>
      </w:r>
    </w:p>
    <w:p>
      <w:r>
        <w:t>Regularization and High-Dimensional Economic Models is most useful when the economic question, statistical target, assumptions, code, and interpretation point in the same direction. Python makes the workflow reproducible; econometric reasoning determines what the output can mean.</w:t>
      </w:r>
    </w:p>
    <w:p>
      <w:pPr>
        <w:pStyle w:val="Heading2"/>
      </w:pPr>
      <w:r>
        <w:t>32.11 Key Python tools</w:t>
      </w:r>
    </w:p>
    <w:p>
      <w:r>
        <w:t>Core tools used across these chapters include NumPy for simulation, pandas for data structures, statsmodels for statistical inference, scikit-learn for predictive modeling, and Matplotlib for transparent visual diagnostics. Use the simplest maintained tool that answers the question.</w:t>
      </w:r>
    </w:p>
    <w:p>
      <w:r>
        <w:br w:type="page"/>
      </w:r>
    </w:p>
    <w:p>
      <w:pPr>
        <w:pStyle w:val="Heading1"/>
      </w:pPr>
      <w:r>
        <w:t>33</w:t>
        <w:tab/>
        <w:t>Decision Trees, Random Forests, and Boosting for Economic Prediction</w:t>
      </w:r>
    </w:p>
    <w:p>
      <w:pPr>
        <w:pStyle w:val="Subtitle"/>
      </w:pPr>
      <w:r>
        <w:t>Can flexible nonlinear models improve prediction without pretending to identify causal effects?</w:t>
      </w:r>
    </w:p>
    <w:p>
      <w:pPr>
        <w:pStyle w:val="Heading2"/>
      </w:pPr>
      <w:r>
        <w:t>33.1 Learning objectives</w:t>
      </w:r>
    </w:p>
    <w:p>
      <w:pPr>
        <w:pStyle w:val="ListBullet"/>
      </w:pPr>
      <w:r>
        <w:t>Explain and apply recursive partitioning.</w:t>
      </w:r>
    </w:p>
    <w:p>
      <w:pPr>
        <w:pStyle w:val="ListBullet"/>
      </w:pPr>
      <w:r>
        <w:t>Explain and apply tree depth and pruning.</w:t>
      </w:r>
    </w:p>
    <w:p>
      <w:pPr>
        <w:pStyle w:val="ListBullet"/>
      </w:pPr>
      <w:r>
        <w:t>Explain and apply bagging.</w:t>
      </w:r>
    </w:p>
    <w:p>
      <w:pPr>
        <w:pStyle w:val="ListBullet"/>
      </w:pPr>
      <w:r>
        <w:t>Explain and apply random forests.</w:t>
      </w:r>
    </w:p>
    <w:p>
      <w:pPr>
        <w:pStyle w:val="ListBullet"/>
      </w:pPr>
      <w:r>
        <w:t>Explain and apply gradient boosting.</w:t>
      </w:r>
    </w:p>
    <w:p>
      <w:pPr>
        <w:pStyle w:val="ListBullet"/>
      </w:pPr>
      <w:r>
        <w:t>Explain and apply hyperparameter tuning.</w:t>
      </w:r>
    </w:p>
    <w:p>
      <w:pPr>
        <w:pStyle w:val="ListBullet"/>
      </w:pPr>
      <w:r>
        <w:t>Explain and apply partial dependence.</w:t>
      </w:r>
    </w:p>
    <w:p>
      <w:pPr>
        <w:pStyle w:val="ListBullet"/>
      </w:pPr>
      <w:r>
        <w:t>Explain and apply permutation importance.</w:t>
      </w:r>
    </w:p>
    <w:p>
      <w:pPr>
        <w:pStyle w:val="ListBullet"/>
      </w:pPr>
      <w:r>
        <w:t>Explain and apply extrapolation limits.</w:t>
      </w:r>
    </w:p>
    <w:tbl>
      <w:tblPr>
        <w:tblW w:type="auto" w:w="0"/>
        <w:jc w:val="center"/>
        <w:tblLook w:firstColumn="1" w:firstRow="1" w:lastColumn="0" w:lastRow="0" w:noHBand="0" w:noVBand="1" w:val="04A0"/>
      </w:tblPr>
      <w:tblGrid>
        <w:gridCol w:w="10080"/>
      </w:tblGrid>
      <w:tr>
        <w:tc>
          <w:tcPr>
            <w:tcW w:type="dxa" w:w="10080"/>
          </w:tcPr>
          <w:p>
            <w:r/>
            <w:r>
              <w:rPr>
                <w:b/>
              </w:rPr>
              <w:t xml:space="preserve">Concept in one sentence: </w:t>
            </w:r>
            <w:r>
              <w:t>Tree ensembles can approximate complex nonlinear prediction functions, but their feature importance is not a causal effect.</w:t>
            </w:r>
          </w:p>
        </w:tc>
        <w:trPr>
          <w:tblHeader/>
        </w:trPr>
      </w:tr>
    </w:tbl>
    <w:p>
      <w:pPr>
        <w:pStyle w:val="Heading2"/>
      </w:pPr>
      <w:r>
        <w:t>33.2 Economic intuition</w:t>
      </w:r>
    </w:p>
    <w:p>
      <w:r>
        <w:t>This chapter begins from the economic question rather than from software syntax. The goal is to understand what information the data can legitimately provide about decision trees, random forests, and boosting for economic prediction. Python is used as a transparent laboratory: we state the question, define the target, inspect the data, estimate the model, and then challenge the result.</w:t>
      </w:r>
    </w:p>
    <w:p>
      <w:r>
        <w:t>A recurring distinction in econometrics is the difference between describing a pattern, predicting an outcome, and estimating a causal effect. These goals can use similar equations but require different assumptions. A model may forecast well while offering little causal interpretation, and a credible causal design may deliberately use a simple estimator because identification comes from the research design rather than algorithmic complexity.</w:t>
      </w:r>
    </w:p>
    <w:p>
      <w:r>
        <w:t>Throughout the chapter, pay attention to units, timing, sample construction, and the information set available to the analyst. Economic data are produced by institutions, markets, households, and firms. They are not abstract arrays. A good empirical workflow therefore combines statistical discipline with substantive economic reasoning.</w:t>
      </w:r>
    </w:p>
    <w:p>
      <w:pPr>
        <w:pStyle w:val="Heading2"/>
      </w:pPr>
      <w:r>
        <w:t>33.3 A small numerical example</w:t>
      </w:r>
    </w:p>
    <w:p>
      <w:r>
        <w:t>Start with a tiny hypothetical sample that can be checked by hand. Write the unit of observation, outcome, explanatory variable or treatment, and the comparison being made. Before estimating anything, ask what would make the comparison informative and what could make it misleading.</w:t>
      </w:r>
    </w:p>
    <w:tbl>
      <w:tblPr>
        <w:tblStyle w:val="TableGrid"/>
        <w:tblW w:type="auto" w:w="0"/>
        <w:jc w:val="center"/>
        <w:tblLook w:firstColumn="1" w:firstRow="1" w:lastColumn="0" w:lastRow="0" w:noHBand="0" w:noVBand="1" w:val="04A0"/>
      </w:tblPr>
      <w:tblGrid>
        <w:gridCol w:w="2520"/>
        <w:gridCol w:w="2520"/>
        <w:gridCol w:w="2520"/>
        <w:gridCol w:w="2520"/>
      </w:tblGrid>
      <w:tr>
        <w:tc>
          <w:tcPr>
            <w:tcW w:type="dxa" w:w="2520"/>
          </w:tcPr>
          <w:p>
            <w:r>
              <w:t>Observation</w:t>
            </w:r>
          </w:p>
        </w:tc>
        <w:tc>
          <w:tcPr>
            <w:tcW w:type="dxa" w:w="2520"/>
          </w:tcPr>
          <w:p>
            <w:r>
              <w:t>X / Treatment</w:t>
            </w:r>
          </w:p>
        </w:tc>
        <w:tc>
          <w:tcPr>
            <w:tcW w:type="dxa" w:w="2520"/>
          </w:tcPr>
          <w:p>
            <w:r>
              <w:t>Outcome Y</w:t>
            </w:r>
          </w:p>
        </w:tc>
        <w:tc>
          <w:tcPr>
            <w:tcW w:type="dxa" w:w="2520"/>
          </w:tcPr>
          <w:p>
            <w:r>
              <w:t>Interpretive note</w:t>
            </w:r>
          </w:p>
        </w:tc>
        <w:trPr>
          <w:tblHeader/>
        </w:trPr>
      </w:tr>
      <w:tr>
        <w:tc>
          <w:tcPr>
            <w:tcW w:type="dxa" w:w="2520"/>
          </w:tcPr>
          <w:p>
            <w:r>
              <w:t>1</w:t>
            </w:r>
          </w:p>
        </w:tc>
        <w:tc>
          <w:tcPr>
            <w:tcW w:type="dxa" w:w="2520"/>
          </w:tcPr>
          <w:p>
            <w:r>
              <w:t>0</w:t>
            </w:r>
          </w:p>
        </w:tc>
        <w:tc>
          <w:tcPr>
            <w:tcW w:type="dxa" w:w="2520"/>
          </w:tcPr>
          <w:p>
            <w:r>
              <w:t>10</w:t>
            </w:r>
          </w:p>
        </w:tc>
        <w:tc>
          <w:tcPr>
            <w:tcW w:type="dxa" w:w="2520"/>
          </w:tcPr>
          <w:p>
            <w:r>
              <w:t>baseline</w:t>
            </w:r>
          </w:p>
        </w:tc>
      </w:tr>
      <w:tr>
        <w:tc>
          <w:tcPr>
            <w:tcW w:type="dxa" w:w="2520"/>
          </w:tcPr>
          <w:p>
            <w:r>
              <w:t>2</w:t>
            </w:r>
          </w:p>
        </w:tc>
        <w:tc>
          <w:tcPr>
            <w:tcW w:type="dxa" w:w="2520"/>
          </w:tcPr>
          <w:p>
            <w:r>
              <w:t>0</w:t>
            </w:r>
          </w:p>
        </w:tc>
        <w:tc>
          <w:tcPr>
            <w:tcW w:type="dxa" w:w="2520"/>
          </w:tcPr>
          <w:p>
            <w:r>
              <w:t>12</w:t>
            </w:r>
          </w:p>
        </w:tc>
        <w:tc>
          <w:tcPr>
            <w:tcW w:type="dxa" w:w="2520"/>
          </w:tcPr>
          <w:p>
            <w:r>
              <w:t>comparison</w:t>
            </w:r>
          </w:p>
        </w:tc>
      </w:tr>
      <w:tr>
        <w:tc>
          <w:tcPr>
            <w:tcW w:type="dxa" w:w="2520"/>
          </w:tcPr>
          <w:p>
            <w:r>
              <w:t>3</w:t>
            </w:r>
          </w:p>
        </w:tc>
        <w:tc>
          <w:tcPr>
            <w:tcW w:type="dxa" w:w="2520"/>
          </w:tcPr>
          <w:p>
            <w:r>
              <w:t>1</w:t>
            </w:r>
          </w:p>
        </w:tc>
        <w:tc>
          <w:tcPr>
            <w:tcW w:type="dxa" w:w="2520"/>
          </w:tcPr>
          <w:p>
            <w:r>
              <w:t>15</w:t>
            </w:r>
          </w:p>
        </w:tc>
        <w:tc>
          <w:tcPr>
            <w:tcW w:type="dxa" w:w="2520"/>
          </w:tcPr>
          <w:p>
            <w:r>
              <w:t>exposed</w:t>
            </w:r>
          </w:p>
        </w:tc>
      </w:tr>
      <w:tr>
        <w:tc>
          <w:tcPr>
            <w:tcW w:type="dxa" w:w="2520"/>
          </w:tcPr>
          <w:p>
            <w:r>
              <w:t>4</w:t>
            </w:r>
          </w:p>
        </w:tc>
        <w:tc>
          <w:tcPr>
            <w:tcW w:type="dxa" w:w="2520"/>
          </w:tcPr>
          <w:p>
            <w:r>
              <w:t>1</w:t>
            </w:r>
          </w:p>
        </w:tc>
        <w:tc>
          <w:tcPr>
            <w:tcW w:type="dxa" w:w="2520"/>
          </w:tcPr>
          <w:p>
            <w:r>
              <w:t>17</w:t>
            </w:r>
          </w:p>
        </w:tc>
        <w:tc>
          <w:tcPr>
            <w:tcW w:type="dxa" w:w="2520"/>
          </w:tcPr>
          <w:p>
            <w:r>
              <w:t>exposed</w:t>
            </w:r>
          </w:p>
        </w:tc>
      </w:tr>
    </w:tbl>
    <w:p>
      <w:r>
        <w:t>The difference in group averages is easy to compute, but whether it is a causal effect depends on how exposure was assigned and whether the groups are otherwise comparable. This distinction is the heartbeat of modern applied econometrics.</w:t>
      </w:r>
    </w:p>
    <w:p>
      <w:pPr>
        <w:pStyle w:val="Heading2"/>
      </w:pPr>
      <w:r>
        <w:t>33.4 Formal framework</w:t>
      </w:r>
    </w:p>
    <w:p>
      <w:r>
        <w:t>Write the empirical model in a form that makes the target explicit. A generic conditional-mean representation is</w:t>
      </w:r>
    </w:p>
    <w:p>
      <w:pPr>
        <w:jc w:val="center"/>
      </w:pPr>
      <w:r>
        <w:t>E[Y | X] = m(X),     or in a linear approximation,     Y_i = β₀ + β₁X_i + u_i.</w:t>
      </w:r>
    </w:p>
    <w:p>
      <w:r>
        <w:t>Here Y is the outcome, X denotes observed information, β parameters summarize the chosen model, and u collects other determinants of the outcome. The crucial question is not only whether β can be estimated, but what β means under the design and assumptions.</w:t>
      </w:r>
    </w:p>
    <w:p>
      <w:pPr>
        <w:pStyle w:val="Heading2"/>
      </w:pPr>
      <w:r>
        <w:t>33.5 Python demonstration</w:t>
      </w:r>
    </w:p>
    <w:p>
      <w:pPr>
        <w:spacing w:after="0"/>
        <w:ind w:left="360"/>
      </w:pPr>
      <w:r>
        <w:rPr>
          <w:rFonts w:ascii="Liberation Mono" w:hAnsi="Liberation Mono"/>
          <w:sz w:val="17"/>
        </w:rPr>
        <w:t>import numpy as np</w:t>
      </w:r>
    </w:p>
    <w:p>
      <w:pPr>
        <w:spacing w:after="0"/>
        <w:ind w:left="360"/>
      </w:pPr>
      <w:r>
        <w:rPr>
          <w:rFonts w:ascii="Liberation Mono" w:hAnsi="Liberation Mono"/>
          <w:sz w:val="17"/>
        </w:rPr>
        <w:t>from sklearn.ensemble import RandomForestRegressor, GradientBoostingRegressor</w:t>
      </w:r>
    </w:p>
    <w:p>
      <w:pPr>
        <w:spacing w:after="0"/>
        <w:ind w:left="360"/>
      </w:pPr>
      <w:r>
        <w:rPr>
          <w:rFonts w:ascii="Liberation Mono" w:hAnsi="Liberation Mono"/>
          <w:sz w:val="17"/>
        </w:rPr>
        <w:t>from sklearn.model_selection import train_test_split</w:t>
      </w:r>
    </w:p>
    <w:p>
      <w:pPr>
        <w:spacing w:after="0"/>
        <w:ind w:left="360"/>
      </w:pPr>
      <w:r>
        <w:rPr>
          <w:rFonts w:ascii="Liberation Mono" w:hAnsi="Liberation Mono"/>
          <w:sz w:val="17"/>
        </w:rPr>
        <w:t>from sklearn.metrics import mean_squared_error</w:t>
      </w:r>
    </w:p>
    <w:p>
      <w:pPr>
        <w:spacing w:after="0"/>
        <w:ind w:left="360"/>
      </w:pPr>
      <w:r>
        <w:rPr>
          <w:rFonts w:ascii="Liberation Mono" w:hAnsi="Liberation Mono"/>
          <w:sz w:val="17"/>
        </w:rPr>
        <w:t>rng=np.random.default_rng(33); X=rng.normal(size=(1000,8)); y=2*X[:,0]**2+np.sin(X[:,1])+X[:,2]+rng.normal(size=1000)</w:t>
      </w:r>
    </w:p>
    <w:p>
      <w:pPr>
        <w:spacing w:after="0"/>
        <w:ind w:left="360"/>
      </w:pPr>
      <w:r>
        <w:rPr>
          <w:rFonts w:ascii="Liberation Mono" w:hAnsi="Liberation Mono"/>
          <w:sz w:val="17"/>
        </w:rPr>
        <w:t>Xt,Xv,yt,yv=train_test_split(X,y,test_size=.3,random_state=33)</w:t>
      </w:r>
    </w:p>
    <w:p>
      <w:pPr>
        <w:spacing w:after="0"/>
        <w:ind w:left="360"/>
      </w:pPr>
      <w:r>
        <w:rPr>
          <w:rFonts w:ascii="Liberation Mono" w:hAnsi="Liberation Mono"/>
          <w:sz w:val="17"/>
        </w:rPr>
        <w:t>for m in [RandomForestRegressor(n_estimators=200,random_state=1),GradientBoostingRegressor(random_state=1)]:</w:t>
      </w:r>
    </w:p>
    <w:p>
      <w:pPr>
        <w:spacing w:after="0"/>
        <w:ind w:left="360"/>
      </w:pPr>
      <w:r>
        <w:rPr>
          <w:rFonts w:ascii="Liberation Mono" w:hAnsi="Liberation Mono"/>
          <w:sz w:val="17"/>
        </w:rPr>
        <w:t xml:space="preserve"> m.fit(Xt,yt); print(type(m).__name__,mean_squared_error(yv,m.predict(Xv))**.5)</w:t>
      </w:r>
    </w:p>
    <w:p>
      <w:r>
        <w:t>Run the code in a clean notebook and inspect both the numerical output and the data-generating assumptions. The associated notebook in the student package reproduces the example with a fixed random seed.</w:t>
      </w:r>
    </w:p>
    <w:p>
      <w:r>
        <w:drawing>
          <wp:inline>
            <wp:extent cx="5669280" cy="3184116"/>
            <wp:docPr id="17" name="Picture 17" descr="Image: image18.png"/>
            <wp:cNvGraphicFramePr>
              <a:graphicFrameLocks noChangeAspect="1"/>
            </wp:cNvGraphicFramePr>
            <a:graphic>
              <a:graphicData uri="http://schemas.openxmlformats.org/drawingml/2006/picture">
                <pic:pic>
                  <pic:nvPicPr>
                    <pic:cNvPr id="0" name="ch33_trees.png"/>
                    <pic:cNvPicPr/>
                  </pic:nvPicPr>
                  <pic:blipFill>
                    <a:blip r:embed="rId34"/>
                    <a:stretch>
                      <a:fillRect/>
                    </a:stretch>
                  </pic:blipFill>
                  <pic:spPr>
                    <a:xfrm>
                      <a:off x="0" y="0"/>
                      <a:ext cx="5669280" cy="3184116"/>
                    </a:xfrm>
                    <a:prstGeom prst="rect"/>
                  </pic:spPr>
                </pic:pic>
              </a:graphicData>
            </a:graphic>
          </wp:inline>
        </w:drawing>
      </w:r>
    </w:p>
    <w:p>
      <w:pPr>
        <w:jc w:val="center"/>
      </w:pPr>
      <w:r>
        <w:t>Figure 33.1. Can flexible nonlinear models improve prediction without pretending to identify causal effects?</w:t>
      </w:r>
    </w:p>
    <w:p>
      <w:pPr>
        <w:pStyle w:val="Heading2"/>
      </w:pPr>
      <w:r>
        <w:t>33.6 Interpretation</w:t>
      </w:r>
    </w:p>
    <w:p>
      <w:r>
        <w:t>Interpret results in the units of the variables. Report sign, magnitude, uncertainty, and the population or time period to which the estimate applies. If a variable is logged, categorical, interacted, standardized, or transformed, translate the coefficient accordingly rather than reading it as a raw one-unit effect.</w:t>
      </w:r>
    </w:p>
    <w:p>
      <w:r>
        <w:t>Then separate statistical significance from economic significance. A precise estimate may be too small to matter economically; an economically important estimate may be imprecise. Both dimensions belong in the conclusion.</w:t>
      </w:r>
    </w:p>
    <w:p>
      <w:pPr>
        <w:pStyle w:val="Heading2"/>
      </w:pPr>
      <w:r>
        <w:t>33.7 Assumptions, diagnostics, and threats to validity</w:t>
      </w:r>
    </w:p>
    <w:p>
      <w:pPr>
        <w:pStyle w:val="ListBullet"/>
      </w:pPr>
      <w:r>
        <w:t>Is the unit of observation appropriate for the question?</w:t>
      </w:r>
    </w:p>
    <w:p>
      <w:pPr>
        <w:pStyle w:val="ListBullet"/>
      </w:pPr>
      <w:r>
        <w:t>Are timing and information sets respected?</w:t>
      </w:r>
    </w:p>
    <w:p>
      <w:pPr>
        <w:pStyle w:val="ListBullet"/>
      </w:pPr>
      <w:r>
        <w:t>Could selection, confounding, measurement error, or reverse causality matter?</w:t>
      </w:r>
    </w:p>
    <w:p>
      <w:pPr>
        <w:pStyle w:val="ListBullet"/>
      </w:pPr>
      <w:r>
        <w:t>Does the uncertainty estimator match the sampling or dependence structure?</w:t>
      </w:r>
    </w:p>
    <w:p>
      <w:pPr>
        <w:pStyle w:val="ListBullet"/>
      </w:pPr>
      <w:r>
        <w:t>Would the result survive reasonable alternative specifications?</w:t>
      </w:r>
    </w:p>
    <w:p>
      <w:pPr>
        <w:pStyle w:val="ListBullet"/>
      </w:pPr>
      <w:r>
        <w:t>Is the task predictive, descriptive, or causal?</w:t>
      </w:r>
    </w:p>
    <w:tbl>
      <w:tblPr>
        <w:tblW w:type="auto" w:w="0"/>
        <w:jc w:val="center"/>
        <w:tblLook w:firstColumn="1" w:firstRow="1" w:lastColumn="0" w:lastRow="0" w:noHBand="0" w:noVBand="1" w:val="04A0"/>
      </w:tblPr>
      <w:tblGrid>
        <w:gridCol w:w="10080"/>
      </w:tblGrid>
      <w:tr>
        <w:tc>
          <w:tcPr>
            <w:tcW w:type="dxa" w:w="10080"/>
          </w:tcPr>
          <w:p>
            <w:r/>
            <w:r>
              <w:rPr>
                <w:b/>
              </w:rPr>
              <w:t xml:space="preserve">Causal caution: </w:t>
            </w:r>
            <w:r>
              <w:t>High predictive accuracy, feature importance, or a small p-value does not by itself identify a causal effect. Causal language requires a defensible identification strategy.</w:t>
            </w:r>
          </w:p>
        </w:tc>
        <w:trPr>
          <w:tblHeader/>
        </w:trPr>
      </w:tr>
    </w:tbl>
    <w:tbl>
      <w:tblPr>
        <w:tblW w:type="auto" w:w="0"/>
        <w:jc w:val="center"/>
        <w:tblLook w:firstColumn="1" w:firstRow="1" w:lastColumn="0" w:lastRow="0" w:noHBand="0" w:noVBand="1" w:val="04A0"/>
      </w:tblPr>
      <w:tblGrid>
        <w:gridCol w:w="10080"/>
      </w:tblGrid>
      <w:tr>
        <w:tc>
          <w:tcPr>
            <w:tcW w:type="dxa" w:w="10080"/>
          </w:tcPr>
          <w:p>
            <w:r/>
            <w:r>
              <w:rPr>
                <w:b/>
              </w:rPr>
              <w:t xml:space="preserve">Ceteris LAB Tip: </w:t>
            </w:r>
            <w:r>
              <w:t>Write the research question and estimand in words before opening Python. If you cannot state what quantity you want to learn, adding packages will not rescue the analysis.</w:t>
            </w:r>
          </w:p>
        </w:tc>
        <w:trPr>
          <w:tblHeader/>
        </w:trPr>
      </w:tr>
    </w:tbl>
    <w:tbl>
      <w:tblPr>
        <w:tblW w:type="auto" w:w="0"/>
        <w:jc w:val="center"/>
        <w:tblLook w:firstColumn="1" w:firstRow="1" w:lastColumn="0" w:lastRow="0" w:noHBand="0" w:noVBand="1" w:val="04A0"/>
      </w:tblPr>
      <w:tblGrid>
        <w:gridCol w:w="10080"/>
      </w:tblGrid>
      <w:tr>
        <w:tc>
          <w:tcPr>
            <w:tcW w:type="dxa" w:w="10080"/>
          </w:tcPr>
          <w:p>
            <w:r/>
            <w:r>
              <w:rPr>
                <w:b/>
              </w:rPr>
              <w:t xml:space="preserve">Common mistake: </w:t>
            </w:r>
            <w:r>
              <w:t>Treating a software default as an econometric assumption. Defaults are conveniences; assumptions must be chosen and defended.</w:t>
            </w:r>
          </w:p>
        </w:tc>
        <w:trPr>
          <w:tblHeader/>
        </w:trPr>
      </w:tr>
    </w:tbl>
    <w:p>
      <w:pPr>
        <w:pStyle w:val="Heading2"/>
      </w:pPr>
      <w:r>
        <w:t>33.8 Guided practice</w:t>
      </w:r>
    </w:p>
    <w:p>
      <w:r>
        <w:t>Modify the notebook so that one assumption is deliberately violated. Re-estimate the model, compare the result, and explain why the estimate changed. This turns diagnostics from a checklist into an experiment.</w:t>
      </w:r>
    </w:p>
    <w:p>
      <w:pPr>
        <w:pStyle w:val="Heading2"/>
      </w:pPr>
      <w:r>
        <w:t>33.9 Exercises</w:t>
      </w:r>
    </w:p>
    <w:p>
      <w:pPr>
        <w:pStyle w:val="ListNumber"/>
      </w:pPr>
      <w:r>
        <w:t>Concept: In one paragraph, distinguish association, prediction, and causation for the chapter topic.</w:t>
      </w:r>
    </w:p>
    <w:p>
      <w:pPr>
        <w:pStyle w:val="ListNumber"/>
      </w:pPr>
      <w:r>
        <w:t>Python: Reproduce the demonstration with a different documented random seed and verify that the qualitative conclusion is stable.</w:t>
      </w:r>
    </w:p>
    <w:p>
      <w:pPr>
        <w:pStyle w:val="ListNumber"/>
      </w:pPr>
      <w:r>
        <w:t>Applied econometrics: Replace the simulated outcome with a legally shareable economic variable and document its units, source, and sample.</w:t>
      </w:r>
    </w:p>
    <w:p>
      <w:pPr>
        <w:pStyle w:val="ListNumber"/>
      </w:pPr>
      <w:r>
        <w:t>Interpretation: Write a 150-word results paragraph that reports magnitude and uncertainty without exaggerating the evidence.</w:t>
      </w:r>
    </w:p>
    <w:p>
      <w:pPr>
        <w:pStyle w:val="ListNumber"/>
      </w:pPr>
      <w:r>
        <w:t>Research challenge: Propose one alternative design or robustness check that would address the most important threat to validity.</w:t>
      </w:r>
    </w:p>
    <w:p>
      <w:pPr>
        <w:pStyle w:val="Heading2"/>
      </w:pPr>
      <w:r>
        <w:t>33.10 Chapter summary</w:t>
      </w:r>
    </w:p>
    <w:p>
      <w:r>
        <w:t>Decision Trees, Random Forests, and Boosting for Economic Prediction is most useful when the economic question, statistical target, assumptions, code, and interpretation point in the same direction. Python makes the workflow reproducible; econometric reasoning determines what the output can mean.</w:t>
      </w:r>
    </w:p>
    <w:p>
      <w:pPr>
        <w:pStyle w:val="Heading2"/>
      </w:pPr>
      <w:r>
        <w:t>33.11 Key Python tools</w:t>
      </w:r>
    </w:p>
    <w:p>
      <w:r>
        <w:t>Core tools used across these chapters include NumPy for simulation, pandas for data structures, statsmodels for statistical inference, scikit-learn for predictive modeling, and Matplotlib for transparent visual diagnostics. Use the simplest maintained tool that answers the question.</w:t>
      </w:r>
    </w:p>
    <w:p>
      <w:r>
        <w:br w:type="page"/>
      </w:r>
    </w:p>
    <w:p>
      <w:pPr>
        <w:pStyle w:val="Heading1"/>
      </w:pPr>
      <w:r>
        <w:t>34</w:t>
        <w:tab/>
        <w:t>Causal Machine Learning and Double Machine Learning</w:t>
      </w:r>
    </w:p>
    <w:p>
      <w:pPr>
        <w:pStyle w:val="Subtitle"/>
      </w:pPr>
      <w:r>
        <w:t>How can flexible prediction tools help estimate causal parameters without replacing identification assumptions?</w:t>
      </w:r>
    </w:p>
    <w:p>
      <w:pPr>
        <w:pStyle w:val="Heading2"/>
      </w:pPr>
      <w:r>
        <w:t>34.1 Learning objectives</w:t>
      </w:r>
    </w:p>
    <w:p>
      <w:pPr>
        <w:pStyle w:val="ListBullet"/>
      </w:pPr>
      <w:r>
        <w:t>Explain and apply nuisance functions.</w:t>
      </w:r>
    </w:p>
    <w:p>
      <w:pPr>
        <w:pStyle w:val="ListBullet"/>
      </w:pPr>
      <w:r>
        <w:t>Explain and apply orthogonal scores.</w:t>
      </w:r>
    </w:p>
    <w:p>
      <w:pPr>
        <w:pStyle w:val="ListBullet"/>
      </w:pPr>
      <w:r>
        <w:t>Explain and apply residualization.</w:t>
      </w:r>
    </w:p>
    <w:p>
      <w:pPr>
        <w:pStyle w:val="ListBullet"/>
      </w:pPr>
      <w:r>
        <w:t>Explain and apply cross-fitting.</w:t>
      </w:r>
    </w:p>
    <w:p>
      <w:pPr>
        <w:pStyle w:val="ListBullet"/>
      </w:pPr>
      <w:r>
        <w:t>Explain and apply double machine learning.</w:t>
      </w:r>
    </w:p>
    <w:p>
      <w:pPr>
        <w:pStyle w:val="ListBullet"/>
      </w:pPr>
      <w:r>
        <w:t>Explain and apply heterogeneous treatment effects.</w:t>
      </w:r>
    </w:p>
    <w:p>
      <w:pPr>
        <w:pStyle w:val="ListBullet"/>
      </w:pPr>
      <w:r>
        <w:t>Explain and apply causal forests.</w:t>
      </w:r>
    </w:p>
    <w:p>
      <w:pPr>
        <w:pStyle w:val="ListBullet"/>
      </w:pPr>
      <w:r>
        <w:t>Explain and apply overlap and honest estimation.</w:t>
      </w:r>
    </w:p>
    <w:tbl>
      <w:tblPr>
        <w:tblW w:type="auto" w:w="0"/>
        <w:jc w:val="center"/>
        <w:tblLook w:firstColumn="1" w:firstRow="1" w:lastColumn="0" w:lastRow="0" w:noHBand="0" w:noVBand="1" w:val="04A0"/>
      </w:tblPr>
      <w:tblGrid>
        <w:gridCol w:w="10080"/>
      </w:tblGrid>
      <w:tr>
        <w:tc>
          <w:tcPr>
            <w:tcW w:type="dxa" w:w="10080"/>
          </w:tcPr>
          <w:p>
            <w:r/>
            <w:r>
              <w:rPr>
                <w:b/>
              </w:rPr>
              <w:t xml:space="preserve">Concept in one sentence: </w:t>
            </w:r>
            <w:r>
              <w:t>Double machine learning uses prediction to remove nuisance structure while protecting a low-dimensional causal target through orthogonalization.</w:t>
            </w:r>
          </w:p>
        </w:tc>
        <w:trPr>
          <w:tblHeader/>
        </w:trPr>
      </w:tr>
    </w:tbl>
    <w:p>
      <w:pPr>
        <w:pStyle w:val="Heading2"/>
      </w:pPr>
      <w:r>
        <w:t>34.2 Economic intuition</w:t>
      </w:r>
    </w:p>
    <w:p>
      <w:r>
        <w:t>This chapter begins from the economic question rather than from software syntax. The goal is to understand what information the data can legitimately provide about causal machine learning and double machine learning. Python is used as a transparent laboratory: we state the question, define the target, inspect the data, estimate the model, and then challenge the result.</w:t>
      </w:r>
    </w:p>
    <w:p>
      <w:r>
        <w:t>A recurring distinction in econometrics is the difference between describing a pattern, predicting an outcome, and estimating a causal effect. These goals can use similar equations but require different assumptions. A model may forecast well while offering little causal interpretation, and a credible causal design may deliberately use a simple estimator because identification comes from the research design rather than algorithmic complexity.</w:t>
      </w:r>
    </w:p>
    <w:p>
      <w:r>
        <w:t>Throughout the chapter, pay attention to units, timing, sample construction, and the information set available to the analyst. Economic data are produced by institutions, markets, households, and firms. They are not abstract arrays. A good empirical workflow therefore combines statistical discipline with substantive economic reasoning.</w:t>
      </w:r>
    </w:p>
    <w:p>
      <w:pPr>
        <w:pStyle w:val="Heading2"/>
      </w:pPr>
      <w:r>
        <w:t>34.3 A small numerical example</w:t>
      </w:r>
    </w:p>
    <w:p>
      <w:r>
        <w:t>Start with a tiny hypothetical sample that can be checked by hand. Write the unit of observation, outcome, explanatory variable or treatment, and the comparison being made. Before estimating anything, ask what would make the comparison informative and what could make it misleading.</w:t>
      </w:r>
    </w:p>
    <w:tbl>
      <w:tblPr>
        <w:tblStyle w:val="TableGrid"/>
        <w:tblW w:type="auto" w:w="0"/>
        <w:jc w:val="center"/>
        <w:tblLook w:firstColumn="1" w:firstRow="1" w:lastColumn="0" w:lastRow="0" w:noHBand="0" w:noVBand="1" w:val="04A0"/>
      </w:tblPr>
      <w:tblGrid>
        <w:gridCol w:w="2520"/>
        <w:gridCol w:w="2520"/>
        <w:gridCol w:w="2520"/>
        <w:gridCol w:w="2520"/>
      </w:tblGrid>
      <w:tr>
        <w:tc>
          <w:tcPr>
            <w:tcW w:type="dxa" w:w="2520"/>
          </w:tcPr>
          <w:p>
            <w:r>
              <w:t>Observation</w:t>
            </w:r>
          </w:p>
        </w:tc>
        <w:tc>
          <w:tcPr>
            <w:tcW w:type="dxa" w:w="2520"/>
          </w:tcPr>
          <w:p>
            <w:r>
              <w:t>X / Treatment</w:t>
            </w:r>
          </w:p>
        </w:tc>
        <w:tc>
          <w:tcPr>
            <w:tcW w:type="dxa" w:w="2520"/>
          </w:tcPr>
          <w:p>
            <w:r>
              <w:t>Outcome Y</w:t>
            </w:r>
          </w:p>
        </w:tc>
        <w:tc>
          <w:tcPr>
            <w:tcW w:type="dxa" w:w="2520"/>
          </w:tcPr>
          <w:p>
            <w:r>
              <w:t>Interpretive note</w:t>
            </w:r>
          </w:p>
        </w:tc>
        <w:trPr>
          <w:tblHeader/>
        </w:trPr>
      </w:tr>
      <w:tr>
        <w:tc>
          <w:tcPr>
            <w:tcW w:type="dxa" w:w="2520"/>
          </w:tcPr>
          <w:p>
            <w:r>
              <w:t>1</w:t>
            </w:r>
          </w:p>
        </w:tc>
        <w:tc>
          <w:tcPr>
            <w:tcW w:type="dxa" w:w="2520"/>
          </w:tcPr>
          <w:p>
            <w:r>
              <w:t>0</w:t>
            </w:r>
          </w:p>
        </w:tc>
        <w:tc>
          <w:tcPr>
            <w:tcW w:type="dxa" w:w="2520"/>
          </w:tcPr>
          <w:p>
            <w:r>
              <w:t>10</w:t>
            </w:r>
          </w:p>
        </w:tc>
        <w:tc>
          <w:tcPr>
            <w:tcW w:type="dxa" w:w="2520"/>
          </w:tcPr>
          <w:p>
            <w:r>
              <w:t>baseline</w:t>
            </w:r>
          </w:p>
        </w:tc>
      </w:tr>
      <w:tr>
        <w:tc>
          <w:tcPr>
            <w:tcW w:type="dxa" w:w="2520"/>
          </w:tcPr>
          <w:p>
            <w:r>
              <w:t>2</w:t>
            </w:r>
          </w:p>
        </w:tc>
        <w:tc>
          <w:tcPr>
            <w:tcW w:type="dxa" w:w="2520"/>
          </w:tcPr>
          <w:p>
            <w:r>
              <w:t>0</w:t>
            </w:r>
          </w:p>
        </w:tc>
        <w:tc>
          <w:tcPr>
            <w:tcW w:type="dxa" w:w="2520"/>
          </w:tcPr>
          <w:p>
            <w:r>
              <w:t>12</w:t>
            </w:r>
          </w:p>
        </w:tc>
        <w:tc>
          <w:tcPr>
            <w:tcW w:type="dxa" w:w="2520"/>
          </w:tcPr>
          <w:p>
            <w:r>
              <w:t>comparison</w:t>
            </w:r>
          </w:p>
        </w:tc>
      </w:tr>
      <w:tr>
        <w:tc>
          <w:tcPr>
            <w:tcW w:type="dxa" w:w="2520"/>
          </w:tcPr>
          <w:p>
            <w:r>
              <w:t>3</w:t>
            </w:r>
          </w:p>
        </w:tc>
        <w:tc>
          <w:tcPr>
            <w:tcW w:type="dxa" w:w="2520"/>
          </w:tcPr>
          <w:p>
            <w:r>
              <w:t>1</w:t>
            </w:r>
          </w:p>
        </w:tc>
        <w:tc>
          <w:tcPr>
            <w:tcW w:type="dxa" w:w="2520"/>
          </w:tcPr>
          <w:p>
            <w:r>
              <w:t>15</w:t>
            </w:r>
          </w:p>
        </w:tc>
        <w:tc>
          <w:tcPr>
            <w:tcW w:type="dxa" w:w="2520"/>
          </w:tcPr>
          <w:p>
            <w:r>
              <w:t>exposed</w:t>
            </w:r>
          </w:p>
        </w:tc>
      </w:tr>
      <w:tr>
        <w:tc>
          <w:tcPr>
            <w:tcW w:type="dxa" w:w="2520"/>
          </w:tcPr>
          <w:p>
            <w:r>
              <w:t>4</w:t>
            </w:r>
          </w:p>
        </w:tc>
        <w:tc>
          <w:tcPr>
            <w:tcW w:type="dxa" w:w="2520"/>
          </w:tcPr>
          <w:p>
            <w:r>
              <w:t>1</w:t>
            </w:r>
          </w:p>
        </w:tc>
        <w:tc>
          <w:tcPr>
            <w:tcW w:type="dxa" w:w="2520"/>
          </w:tcPr>
          <w:p>
            <w:r>
              <w:t>17</w:t>
            </w:r>
          </w:p>
        </w:tc>
        <w:tc>
          <w:tcPr>
            <w:tcW w:type="dxa" w:w="2520"/>
          </w:tcPr>
          <w:p>
            <w:r>
              <w:t>exposed</w:t>
            </w:r>
          </w:p>
        </w:tc>
      </w:tr>
    </w:tbl>
    <w:p>
      <w:r>
        <w:t>The difference in group averages is easy to compute, but whether it is a causal effect depends on how exposure was assigned and whether the groups are otherwise comparable. This distinction is the heartbeat of modern applied econometrics.</w:t>
      </w:r>
    </w:p>
    <w:p>
      <w:pPr>
        <w:pStyle w:val="Heading2"/>
      </w:pPr>
      <w:r>
        <w:t>34.4 Formal framework</w:t>
      </w:r>
    </w:p>
    <w:p>
      <w:r>
        <w:t>Write the empirical model in a form that makes the target explicit. A generic conditional-mean representation is</w:t>
      </w:r>
    </w:p>
    <w:p>
      <w:pPr>
        <w:jc w:val="center"/>
      </w:pPr>
      <w:r>
        <w:t>E[Y | X] = m(X),     or in a linear approximation,     Y_i = β₀ + β₁X_i + u_i.</w:t>
      </w:r>
    </w:p>
    <w:p>
      <w:r>
        <w:t>Here Y is the outcome, X denotes observed information, β parameters summarize the chosen model, and u collects other determinants of the outcome. The crucial question is not only whether β can be estimated, but what β means under the design and assumptions.</w:t>
      </w:r>
    </w:p>
    <w:p>
      <w:pPr>
        <w:pStyle w:val="Heading2"/>
      </w:pPr>
      <w:r>
        <w:t>34.5 Python demonstration</w:t>
      </w:r>
    </w:p>
    <w:p>
      <w:pPr>
        <w:spacing w:after="0"/>
        <w:ind w:left="360"/>
      </w:pPr>
      <w:r>
        <w:rPr>
          <w:rFonts w:ascii="Liberation Mono" w:hAnsi="Liberation Mono"/>
          <w:sz w:val="17"/>
        </w:rPr>
        <w:t>import numpy as np, statsmodels.api as sm</w:t>
      </w:r>
    </w:p>
    <w:p>
      <w:pPr>
        <w:spacing w:after="0"/>
        <w:ind w:left="360"/>
      </w:pPr>
      <w:r>
        <w:rPr>
          <w:rFonts w:ascii="Liberation Mono" w:hAnsi="Liberation Mono"/>
          <w:sz w:val="17"/>
        </w:rPr>
        <w:t>from sklearn.ensemble import RandomForestRegressor</w:t>
      </w:r>
    </w:p>
    <w:p>
      <w:pPr>
        <w:spacing w:after="0"/>
        <w:ind w:left="360"/>
      </w:pPr>
      <w:r>
        <w:rPr>
          <w:rFonts w:ascii="Liberation Mono" w:hAnsi="Liberation Mono"/>
          <w:sz w:val="17"/>
        </w:rPr>
        <w:t>rng=np.random.default_rng(34); Z=rng.normal(size=(1000,6)); d=Z[:,0]-Z[:,1]+rng.normal(size=1000); y=2*d+Z[:,0]+.5*Z[:,2]+rng.normal(size=1000)</w:t>
      </w:r>
    </w:p>
    <w:p>
      <w:pPr>
        <w:spacing w:after="0"/>
        <w:ind w:left="360"/>
      </w:pPr>
      <w:r>
        <w:rPr>
          <w:rFonts w:ascii="Liberation Mono" w:hAnsi="Liberation Mono"/>
          <w:sz w:val="17"/>
        </w:rPr>
        <w:t>md=RandomForestRegressor(n_estimators=200,random_state=1,min_samples_leaf=10).fit(Z,d); my=RandomForestRegressor(n_estimators=200,random_state=2,min_samples_leaf=10).fit(Z,y)</w:t>
      </w:r>
    </w:p>
    <w:p>
      <w:pPr>
        <w:spacing w:after="0"/>
        <w:ind w:left="360"/>
      </w:pPr>
      <w:r>
        <w:rPr>
          <w:rFonts w:ascii="Liberation Mono" w:hAnsi="Liberation Mono"/>
          <w:sz w:val="17"/>
        </w:rPr>
        <w:t>rd=d-md.predict(Z); ry=y-my.predict(Z); print(sm.OLS(ry,sm.add_constant(rd)).fit().params[1])</w:t>
      </w:r>
    </w:p>
    <w:p>
      <w:r>
        <w:t>Run the code in a clean notebook and inspect both the numerical output and the data-generating assumptions. The associated notebook in the student package reproduces the example with a fixed random seed.</w:t>
      </w:r>
    </w:p>
    <w:p>
      <w:r>
        <w:drawing>
          <wp:inline>
            <wp:extent cx="5669280" cy="3186684"/>
            <wp:docPr id="18" name="Picture 18" descr="Image: image19.png"/>
            <wp:cNvGraphicFramePr>
              <a:graphicFrameLocks noChangeAspect="1"/>
            </wp:cNvGraphicFramePr>
            <a:graphic>
              <a:graphicData uri="http://schemas.openxmlformats.org/drawingml/2006/picture">
                <pic:pic>
                  <pic:nvPicPr>
                    <pic:cNvPr id="0" name="ch34_dml.png"/>
                    <pic:cNvPicPr/>
                  </pic:nvPicPr>
                  <pic:blipFill>
                    <a:blip r:embed="rId35"/>
                    <a:stretch>
                      <a:fillRect/>
                    </a:stretch>
                  </pic:blipFill>
                  <pic:spPr>
                    <a:xfrm>
                      <a:off x="0" y="0"/>
                      <a:ext cx="5669280" cy="3186684"/>
                    </a:xfrm>
                    <a:prstGeom prst="rect"/>
                  </pic:spPr>
                </pic:pic>
              </a:graphicData>
            </a:graphic>
          </wp:inline>
        </w:drawing>
      </w:r>
    </w:p>
    <w:p>
      <w:pPr>
        <w:jc w:val="center"/>
      </w:pPr>
      <w:r>
        <w:t>Figure 34.1. How can flexible prediction tools help estimate causal parameters without replacing identification assumptions?</w:t>
      </w:r>
    </w:p>
    <w:p>
      <w:pPr>
        <w:pStyle w:val="Heading2"/>
      </w:pPr>
      <w:r>
        <w:t>34.6 Interpretation</w:t>
      </w:r>
    </w:p>
    <w:p>
      <w:r>
        <w:t>Interpret results in the units of the variables. Report sign, magnitude, uncertainty, and the population or time period to which the estimate applies. If a variable is logged, categorical, interacted, standardized, or transformed, translate the coefficient accordingly rather than reading it as a raw one-unit effect.</w:t>
      </w:r>
    </w:p>
    <w:p>
      <w:r>
        <w:t>Then separate statistical significance from economic significance. A precise estimate may be too small to matter economically; an economically important estimate may be imprecise. Both dimensions belong in the conclusion.</w:t>
      </w:r>
    </w:p>
    <w:p>
      <w:pPr>
        <w:pStyle w:val="Heading2"/>
      </w:pPr>
      <w:r>
        <w:t>34.7 Assumptions, diagnostics, and threats to validity</w:t>
      </w:r>
    </w:p>
    <w:p>
      <w:pPr>
        <w:pStyle w:val="ListBullet"/>
      </w:pPr>
      <w:r>
        <w:t>Is the unit of observation appropriate for the question?</w:t>
      </w:r>
    </w:p>
    <w:p>
      <w:pPr>
        <w:pStyle w:val="ListBullet"/>
      </w:pPr>
      <w:r>
        <w:t>Are timing and information sets respected?</w:t>
      </w:r>
    </w:p>
    <w:p>
      <w:pPr>
        <w:pStyle w:val="ListBullet"/>
      </w:pPr>
      <w:r>
        <w:t>Could selection, confounding, measurement error, or reverse causality matter?</w:t>
      </w:r>
    </w:p>
    <w:p>
      <w:pPr>
        <w:pStyle w:val="ListBullet"/>
      </w:pPr>
      <w:r>
        <w:t>Does the uncertainty estimator match the sampling or dependence structure?</w:t>
      </w:r>
    </w:p>
    <w:p>
      <w:pPr>
        <w:pStyle w:val="ListBullet"/>
      </w:pPr>
      <w:r>
        <w:t>Would the result survive reasonable alternative specifications?</w:t>
      </w:r>
    </w:p>
    <w:p>
      <w:pPr>
        <w:pStyle w:val="ListBullet"/>
      </w:pPr>
      <w:r>
        <w:t>Is the task predictive, descriptive, or causal?</w:t>
      </w:r>
    </w:p>
    <w:tbl>
      <w:tblPr>
        <w:tblW w:type="auto" w:w="0"/>
        <w:jc w:val="center"/>
        <w:tblLook w:firstColumn="1" w:firstRow="1" w:lastColumn="0" w:lastRow="0" w:noHBand="0" w:noVBand="1" w:val="04A0"/>
      </w:tblPr>
      <w:tblGrid>
        <w:gridCol w:w="10080"/>
      </w:tblGrid>
      <w:tr>
        <w:tc>
          <w:tcPr>
            <w:tcW w:type="dxa" w:w="10080"/>
          </w:tcPr>
          <w:p>
            <w:r/>
            <w:r>
              <w:rPr>
                <w:b/>
              </w:rPr>
              <w:t xml:space="preserve">Causal caution: </w:t>
            </w:r>
            <w:r>
              <w:t>High predictive accuracy, feature importance, or a small p-value does not by itself identify a causal effect. Causal language requires a defensible identification strategy.</w:t>
            </w:r>
          </w:p>
        </w:tc>
        <w:trPr>
          <w:tblHeader/>
        </w:trPr>
      </w:tr>
    </w:tbl>
    <w:tbl>
      <w:tblPr>
        <w:tblW w:type="auto" w:w="0"/>
        <w:jc w:val="center"/>
        <w:tblLook w:firstColumn="1" w:firstRow="1" w:lastColumn="0" w:lastRow="0" w:noHBand="0" w:noVBand="1" w:val="04A0"/>
      </w:tblPr>
      <w:tblGrid>
        <w:gridCol w:w="10080"/>
      </w:tblGrid>
      <w:tr>
        <w:tc>
          <w:tcPr>
            <w:tcW w:type="dxa" w:w="10080"/>
          </w:tcPr>
          <w:p>
            <w:r/>
            <w:r>
              <w:rPr>
                <w:b/>
              </w:rPr>
              <w:t xml:space="preserve">Ceteris LAB Tip: </w:t>
            </w:r>
            <w:r>
              <w:t>Write the research question and estimand in words before opening Python. If you cannot state what quantity you want to learn, adding packages will not rescue the analysis.</w:t>
            </w:r>
          </w:p>
        </w:tc>
        <w:trPr>
          <w:tblHeader/>
        </w:trPr>
      </w:tr>
    </w:tbl>
    <w:tbl>
      <w:tblPr>
        <w:tblW w:type="auto" w:w="0"/>
        <w:jc w:val="center"/>
        <w:tblLook w:firstColumn="1" w:firstRow="1" w:lastColumn="0" w:lastRow="0" w:noHBand="0" w:noVBand="1" w:val="04A0"/>
      </w:tblPr>
      <w:tblGrid>
        <w:gridCol w:w="10080"/>
      </w:tblGrid>
      <w:tr>
        <w:tc>
          <w:tcPr>
            <w:tcW w:type="dxa" w:w="10080"/>
          </w:tcPr>
          <w:p>
            <w:r/>
            <w:r>
              <w:rPr>
                <w:b/>
              </w:rPr>
              <w:t xml:space="preserve">Common mistake: </w:t>
            </w:r>
            <w:r>
              <w:t>Treating a software default as an econometric assumption. Defaults are conveniences; assumptions must be chosen and defended.</w:t>
            </w:r>
          </w:p>
        </w:tc>
        <w:trPr>
          <w:tblHeader/>
        </w:trPr>
      </w:tr>
    </w:tbl>
    <w:p>
      <w:pPr>
        <w:pStyle w:val="Heading2"/>
      </w:pPr>
      <w:r>
        <w:t>34.8 Guided practice</w:t>
      </w:r>
    </w:p>
    <w:p>
      <w:r>
        <w:t>Modify the notebook so that one assumption is deliberately violated. Re-estimate the model, compare the result, and explain why the estimate changed. This turns diagnostics from a checklist into an experiment.</w:t>
      </w:r>
    </w:p>
    <w:p>
      <w:pPr>
        <w:pStyle w:val="Heading2"/>
      </w:pPr>
      <w:r>
        <w:t>34.9 Exercises</w:t>
      </w:r>
    </w:p>
    <w:p>
      <w:pPr>
        <w:pStyle w:val="ListNumber"/>
      </w:pPr>
      <w:r>
        <w:t>Concept: In one paragraph, distinguish association, prediction, and causation for the chapter topic.</w:t>
      </w:r>
    </w:p>
    <w:p>
      <w:pPr>
        <w:pStyle w:val="ListNumber"/>
      </w:pPr>
      <w:r>
        <w:t>Python: Reproduce the demonstration with a different documented random seed and verify that the qualitative conclusion is stable.</w:t>
      </w:r>
    </w:p>
    <w:p>
      <w:pPr>
        <w:pStyle w:val="ListNumber"/>
      </w:pPr>
      <w:r>
        <w:t>Applied econometrics: Replace the simulated outcome with a legally shareable economic variable and document its units, source, and sample.</w:t>
      </w:r>
    </w:p>
    <w:p>
      <w:pPr>
        <w:pStyle w:val="ListNumber"/>
      </w:pPr>
      <w:r>
        <w:t>Interpretation: Write a 150-word results paragraph that reports magnitude and uncertainty without exaggerating the evidence.</w:t>
      </w:r>
    </w:p>
    <w:p>
      <w:pPr>
        <w:pStyle w:val="ListNumber"/>
      </w:pPr>
      <w:r>
        <w:t>Research challenge: Propose one alternative design or robustness check that would address the most important threat to validity.</w:t>
      </w:r>
    </w:p>
    <w:p>
      <w:pPr>
        <w:pStyle w:val="Heading2"/>
      </w:pPr>
      <w:r>
        <w:t>34.10 Chapter summary</w:t>
      </w:r>
    </w:p>
    <w:p>
      <w:r>
        <w:t>Causal Machine Learning and Double Machine Learning is most useful when the economic question, statistical target, assumptions, code, and interpretation point in the same direction. Python makes the workflow reproducible; econometric reasoning determines what the output can mean.</w:t>
      </w:r>
    </w:p>
    <w:p>
      <w:pPr>
        <w:pStyle w:val="Heading2"/>
      </w:pPr>
      <w:r>
        <w:t>34.11 Key Python tools</w:t>
      </w:r>
    </w:p>
    <w:p>
      <w:r>
        <w:t>Core tools used across these chapters include NumPy for simulation, pandas for data structures, statsmodels for statistical inference, scikit-learn for predictive modeling, and Matplotlib for transparent visual diagnostics. Use the simplest maintained tool that answers the question.</w:t>
      </w:r>
    </w:p>
    <w:p>
      <w:r>
        <w:br w:type="page"/>
      </w:r>
    </w:p>
    <w:p>
      <w:pPr>
        <w:pStyle w:val="Heading1"/>
      </w:pPr>
      <w:r>
        <w:t>35</w:t>
        <w:tab/>
        <w:t>Explainability, Uncertainty, and Model Governance</w:t>
      </w:r>
    </w:p>
    <w:p>
      <w:pPr>
        <w:pStyle w:val="Subtitle"/>
      </w:pPr>
      <w:r>
        <w:t>How do we decide whether a powerful prediction model is trustworthy enough to use?</w:t>
      </w:r>
    </w:p>
    <w:p>
      <w:pPr>
        <w:pStyle w:val="Heading2"/>
      </w:pPr>
      <w:r>
        <w:t>35.1 Learning objectives</w:t>
      </w:r>
    </w:p>
    <w:p>
      <w:pPr>
        <w:pStyle w:val="ListBullet"/>
      </w:pPr>
      <w:r>
        <w:t>Explain and apply coefficients versus feature importance.</w:t>
      </w:r>
    </w:p>
    <w:p>
      <w:pPr>
        <w:pStyle w:val="ListBullet"/>
      </w:pPr>
      <w:r>
        <w:t>Explain and apply permutation importance.</w:t>
      </w:r>
    </w:p>
    <w:p>
      <w:pPr>
        <w:pStyle w:val="ListBullet"/>
      </w:pPr>
      <w:r>
        <w:t>Explain and apply partial dependence.</w:t>
      </w:r>
    </w:p>
    <w:p>
      <w:pPr>
        <w:pStyle w:val="ListBullet"/>
      </w:pPr>
      <w:r>
        <w:t>Explain and apply SHAP as an optional tool.</w:t>
      </w:r>
    </w:p>
    <w:p>
      <w:pPr>
        <w:pStyle w:val="ListBullet"/>
      </w:pPr>
      <w:r>
        <w:t>Explain and apply calibration.</w:t>
      </w:r>
    </w:p>
    <w:p>
      <w:pPr>
        <w:pStyle w:val="ListBullet"/>
      </w:pPr>
      <w:r>
        <w:t>Explain and apply bootstrap uncertainty.</w:t>
      </w:r>
    </w:p>
    <w:p>
      <w:pPr>
        <w:pStyle w:val="ListBullet"/>
      </w:pPr>
      <w:r>
        <w:t>Explain and apply conformal prediction.</w:t>
      </w:r>
    </w:p>
    <w:p>
      <w:pPr>
        <w:pStyle w:val="ListBullet"/>
      </w:pPr>
      <w:r>
        <w:t>Explain and apply distribution shift.</w:t>
      </w:r>
    </w:p>
    <w:p>
      <w:pPr>
        <w:pStyle w:val="ListBullet"/>
      </w:pPr>
      <w:r>
        <w:t>Explain and apply model cards and audit trails.</w:t>
      </w:r>
    </w:p>
    <w:tbl>
      <w:tblPr>
        <w:tblW w:type="auto" w:w="0"/>
        <w:jc w:val="center"/>
        <w:tblLook w:firstColumn="1" w:firstRow="1" w:lastColumn="0" w:lastRow="0" w:noHBand="0" w:noVBand="1" w:val="04A0"/>
      </w:tblPr>
      <w:tblGrid>
        <w:gridCol w:w="10080"/>
      </w:tblGrid>
      <w:tr>
        <w:tc>
          <w:tcPr>
            <w:tcW w:type="dxa" w:w="10080"/>
          </w:tcPr>
          <w:p>
            <w:r/>
            <w:r>
              <w:rPr>
                <w:b/>
              </w:rPr>
              <w:t xml:space="preserve">Concept in one sentence: </w:t>
            </w:r>
            <w:r>
              <w:t>Responsible model use requires error analysis, uncertainty, documentation, and governance, not just a high validation score.</w:t>
            </w:r>
          </w:p>
        </w:tc>
        <w:trPr>
          <w:tblHeader/>
        </w:trPr>
      </w:tr>
    </w:tbl>
    <w:p>
      <w:pPr>
        <w:pStyle w:val="Heading2"/>
      </w:pPr>
      <w:r>
        <w:t>35.2 Economic intuition</w:t>
      </w:r>
    </w:p>
    <w:p>
      <w:r>
        <w:t>This chapter begins from the economic question rather than from software syntax. The goal is to understand what information the data can legitimately provide about explainability, uncertainty, and model governance. Python is used as a transparent laboratory: we state the question, define the target, inspect the data, estimate the model, and then challenge the result.</w:t>
      </w:r>
    </w:p>
    <w:p>
      <w:r>
        <w:t>A recurring distinction in econometrics is the difference between describing a pattern, predicting an outcome, and estimating a causal effect. These goals can use similar equations but require different assumptions. A model may forecast well while offering little causal interpretation, and a credible causal design may deliberately use a simple estimator because identification comes from the research design rather than algorithmic complexity.</w:t>
      </w:r>
    </w:p>
    <w:p>
      <w:r>
        <w:t>Throughout the chapter, pay attention to units, timing, sample construction, and the information set available to the analyst. Economic data are produced by institutions, markets, households, and firms. They are not abstract arrays. A good empirical workflow therefore combines statistical discipline with substantive economic reasoning.</w:t>
      </w:r>
    </w:p>
    <w:p>
      <w:pPr>
        <w:pStyle w:val="Heading2"/>
      </w:pPr>
      <w:r>
        <w:t>35.3 A small numerical example</w:t>
      </w:r>
    </w:p>
    <w:p>
      <w:r>
        <w:t>Start with a tiny hypothetical sample that can be checked by hand. Write the unit of observation, outcome, explanatory variable or treatment, and the comparison being made. Before estimating anything, ask what would make the comparison informative and what could make it misleading.</w:t>
      </w:r>
    </w:p>
    <w:tbl>
      <w:tblPr>
        <w:tblStyle w:val="TableGrid"/>
        <w:tblW w:type="auto" w:w="0"/>
        <w:jc w:val="center"/>
        <w:tblLook w:firstColumn="1" w:firstRow="1" w:lastColumn="0" w:lastRow="0" w:noHBand="0" w:noVBand="1" w:val="04A0"/>
      </w:tblPr>
      <w:tblGrid>
        <w:gridCol w:w="2520"/>
        <w:gridCol w:w="2520"/>
        <w:gridCol w:w="2520"/>
        <w:gridCol w:w="2520"/>
      </w:tblGrid>
      <w:tr>
        <w:tc>
          <w:tcPr>
            <w:tcW w:type="dxa" w:w="2520"/>
          </w:tcPr>
          <w:p>
            <w:r>
              <w:t>Observation</w:t>
            </w:r>
          </w:p>
        </w:tc>
        <w:tc>
          <w:tcPr>
            <w:tcW w:type="dxa" w:w="2520"/>
          </w:tcPr>
          <w:p>
            <w:r>
              <w:t>X / Treatment</w:t>
            </w:r>
          </w:p>
        </w:tc>
        <w:tc>
          <w:tcPr>
            <w:tcW w:type="dxa" w:w="2520"/>
          </w:tcPr>
          <w:p>
            <w:r>
              <w:t>Outcome Y</w:t>
            </w:r>
          </w:p>
        </w:tc>
        <w:tc>
          <w:tcPr>
            <w:tcW w:type="dxa" w:w="2520"/>
          </w:tcPr>
          <w:p>
            <w:r>
              <w:t>Interpretive note</w:t>
            </w:r>
          </w:p>
        </w:tc>
        <w:trPr>
          <w:tblHeader/>
        </w:trPr>
      </w:tr>
      <w:tr>
        <w:tc>
          <w:tcPr>
            <w:tcW w:type="dxa" w:w="2520"/>
          </w:tcPr>
          <w:p>
            <w:r>
              <w:t>1</w:t>
            </w:r>
          </w:p>
        </w:tc>
        <w:tc>
          <w:tcPr>
            <w:tcW w:type="dxa" w:w="2520"/>
          </w:tcPr>
          <w:p>
            <w:r>
              <w:t>0</w:t>
            </w:r>
          </w:p>
        </w:tc>
        <w:tc>
          <w:tcPr>
            <w:tcW w:type="dxa" w:w="2520"/>
          </w:tcPr>
          <w:p>
            <w:r>
              <w:t>10</w:t>
            </w:r>
          </w:p>
        </w:tc>
        <w:tc>
          <w:tcPr>
            <w:tcW w:type="dxa" w:w="2520"/>
          </w:tcPr>
          <w:p>
            <w:r>
              <w:t>baseline</w:t>
            </w:r>
          </w:p>
        </w:tc>
      </w:tr>
      <w:tr>
        <w:tc>
          <w:tcPr>
            <w:tcW w:type="dxa" w:w="2520"/>
          </w:tcPr>
          <w:p>
            <w:r>
              <w:t>2</w:t>
            </w:r>
          </w:p>
        </w:tc>
        <w:tc>
          <w:tcPr>
            <w:tcW w:type="dxa" w:w="2520"/>
          </w:tcPr>
          <w:p>
            <w:r>
              <w:t>0</w:t>
            </w:r>
          </w:p>
        </w:tc>
        <w:tc>
          <w:tcPr>
            <w:tcW w:type="dxa" w:w="2520"/>
          </w:tcPr>
          <w:p>
            <w:r>
              <w:t>12</w:t>
            </w:r>
          </w:p>
        </w:tc>
        <w:tc>
          <w:tcPr>
            <w:tcW w:type="dxa" w:w="2520"/>
          </w:tcPr>
          <w:p>
            <w:r>
              <w:t>comparison</w:t>
            </w:r>
          </w:p>
        </w:tc>
      </w:tr>
      <w:tr>
        <w:tc>
          <w:tcPr>
            <w:tcW w:type="dxa" w:w="2520"/>
          </w:tcPr>
          <w:p>
            <w:r>
              <w:t>3</w:t>
            </w:r>
          </w:p>
        </w:tc>
        <w:tc>
          <w:tcPr>
            <w:tcW w:type="dxa" w:w="2520"/>
          </w:tcPr>
          <w:p>
            <w:r>
              <w:t>1</w:t>
            </w:r>
          </w:p>
        </w:tc>
        <w:tc>
          <w:tcPr>
            <w:tcW w:type="dxa" w:w="2520"/>
          </w:tcPr>
          <w:p>
            <w:r>
              <w:t>15</w:t>
            </w:r>
          </w:p>
        </w:tc>
        <w:tc>
          <w:tcPr>
            <w:tcW w:type="dxa" w:w="2520"/>
          </w:tcPr>
          <w:p>
            <w:r>
              <w:t>exposed</w:t>
            </w:r>
          </w:p>
        </w:tc>
      </w:tr>
      <w:tr>
        <w:tc>
          <w:tcPr>
            <w:tcW w:type="dxa" w:w="2520"/>
          </w:tcPr>
          <w:p>
            <w:r>
              <w:t>4</w:t>
            </w:r>
          </w:p>
        </w:tc>
        <w:tc>
          <w:tcPr>
            <w:tcW w:type="dxa" w:w="2520"/>
          </w:tcPr>
          <w:p>
            <w:r>
              <w:t>1</w:t>
            </w:r>
          </w:p>
        </w:tc>
        <w:tc>
          <w:tcPr>
            <w:tcW w:type="dxa" w:w="2520"/>
          </w:tcPr>
          <w:p>
            <w:r>
              <w:t>17</w:t>
            </w:r>
          </w:p>
        </w:tc>
        <w:tc>
          <w:tcPr>
            <w:tcW w:type="dxa" w:w="2520"/>
          </w:tcPr>
          <w:p>
            <w:r>
              <w:t>exposed</w:t>
            </w:r>
          </w:p>
        </w:tc>
      </w:tr>
    </w:tbl>
    <w:p>
      <w:r>
        <w:t>The difference in group averages is easy to compute, but whether it is a causal effect depends on how exposure was assigned and whether the groups are otherwise comparable. This distinction is the heartbeat of modern applied econometrics.</w:t>
      </w:r>
    </w:p>
    <w:p>
      <w:pPr>
        <w:pStyle w:val="Heading2"/>
      </w:pPr>
      <w:r>
        <w:t>35.4 Formal framework</w:t>
      </w:r>
    </w:p>
    <w:p>
      <w:r>
        <w:t>Write the empirical model in a form that makes the target explicit. A generic conditional-mean representation is</w:t>
      </w:r>
    </w:p>
    <w:p>
      <w:pPr>
        <w:jc w:val="center"/>
      </w:pPr>
      <w:r>
        <w:t>E[Y | X] = m(X),     or in a linear approximation,     Y_i = β₀ + β₁X_i + u_i.</w:t>
      </w:r>
    </w:p>
    <w:p>
      <w:r>
        <w:t>Here Y is the outcome, X denotes observed information, β parameters summarize the chosen model, and u collects other determinants of the outcome. The crucial question is not only whether β can be estimated, but what β means under the design and assumptions.</w:t>
      </w:r>
    </w:p>
    <w:p>
      <w:pPr>
        <w:pStyle w:val="Heading2"/>
      </w:pPr>
      <w:r>
        <w:t>35.5 Python demonstration</w:t>
      </w:r>
    </w:p>
    <w:p>
      <w:pPr>
        <w:spacing w:after="0"/>
        <w:ind w:left="360"/>
      </w:pPr>
      <w:r>
        <w:rPr>
          <w:rFonts w:ascii="Liberation Mono" w:hAnsi="Liberation Mono"/>
          <w:sz w:val="17"/>
        </w:rPr>
        <w:t>import numpy as np</w:t>
      </w:r>
    </w:p>
    <w:p>
      <w:pPr>
        <w:spacing w:after="0"/>
        <w:ind w:left="360"/>
      </w:pPr>
      <w:r>
        <w:rPr>
          <w:rFonts w:ascii="Liberation Mono" w:hAnsi="Liberation Mono"/>
          <w:sz w:val="17"/>
        </w:rPr>
        <w:t>rng=np.random.default_rng(35); pred=rng.normal(100,10,300); actual=pred+rng.normal(0,5,300)</w:t>
      </w:r>
    </w:p>
    <w:p>
      <w:pPr>
        <w:spacing w:after="0"/>
        <w:ind w:left="360"/>
      </w:pPr>
      <w:r>
        <w:rPr>
          <w:rFonts w:ascii="Liberation Mono" w:hAnsi="Liberation Mono"/>
          <w:sz w:val="17"/>
        </w:rPr>
        <w:t>err=actual-pred</w:t>
      </w:r>
    </w:p>
    <w:p>
      <w:pPr>
        <w:spacing w:after="0"/>
        <w:ind w:left="360"/>
      </w:pPr>
      <w:r>
        <w:rPr>
          <w:rFonts w:ascii="Liberation Mono" w:hAnsi="Liberation Mono"/>
          <w:sz w:val="17"/>
        </w:rPr>
        <w:t>print('mean error',err.mean()); print('RMSE',np.sqrt(np.mean(err**2))); print('90% empirical error interval',np.quantile(err,[.05,.95]))</w:t>
      </w:r>
    </w:p>
    <w:p>
      <w:r>
        <w:t>Run the code in a clean notebook and inspect both the numerical output and the data-generating assumptions. The associated notebook in the student package reproduces the example with a fixed random seed.</w:t>
      </w:r>
    </w:p>
    <w:p>
      <w:r>
        <w:drawing>
          <wp:inline>
            <wp:extent cx="5669280" cy="3184116"/>
            <wp:docPr id="19" name="Picture 19" descr="Image: image21.png"/>
            <wp:cNvGraphicFramePr>
              <a:graphicFrameLocks noChangeAspect="1"/>
            </wp:cNvGraphicFramePr>
            <a:graphic>
              <a:graphicData uri="http://schemas.openxmlformats.org/drawingml/2006/picture">
                <pic:pic>
                  <pic:nvPicPr>
                    <pic:cNvPr id="0" name="ch35_governance.png"/>
                    <pic:cNvPicPr/>
                  </pic:nvPicPr>
                  <pic:blipFill>
                    <a:blip r:embed="rId36"/>
                    <a:stretch>
                      <a:fillRect/>
                    </a:stretch>
                  </pic:blipFill>
                  <pic:spPr>
                    <a:xfrm>
                      <a:off x="0" y="0"/>
                      <a:ext cx="5669280" cy="3184116"/>
                    </a:xfrm>
                    <a:prstGeom prst="rect"/>
                  </pic:spPr>
                </pic:pic>
              </a:graphicData>
            </a:graphic>
          </wp:inline>
        </w:drawing>
      </w:r>
    </w:p>
    <w:p>
      <w:pPr>
        <w:jc w:val="center"/>
      </w:pPr>
      <w:r>
        <w:t>Figure 35.1. How do we decide whether a powerful prediction model is trustworthy enough to use?</w:t>
      </w:r>
    </w:p>
    <w:p>
      <w:pPr>
        <w:pStyle w:val="Heading2"/>
      </w:pPr>
      <w:r>
        <w:t>35.6 Interpretation</w:t>
      </w:r>
    </w:p>
    <w:p>
      <w:r>
        <w:t>Interpret results in the units of the variables. Report sign, magnitude, uncertainty, and the population or time period to which the estimate applies. If a variable is logged, categorical, interacted, standardized, or transformed, translate the coefficient accordingly rather than reading it as a raw one-unit effect.</w:t>
      </w:r>
    </w:p>
    <w:p>
      <w:r>
        <w:t>Then separate statistical significance from economic significance. A precise estimate may be too small to matter economically; an economically important estimate may be imprecise. Both dimensions belong in the conclusion.</w:t>
      </w:r>
    </w:p>
    <w:p>
      <w:pPr>
        <w:pStyle w:val="Heading2"/>
      </w:pPr>
      <w:r>
        <w:t>35.7 Assumptions, diagnostics, and threats to validity</w:t>
      </w:r>
    </w:p>
    <w:p>
      <w:pPr>
        <w:pStyle w:val="ListBullet"/>
      </w:pPr>
      <w:r>
        <w:t>Is the unit of observation appropriate for the question?</w:t>
      </w:r>
    </w:p>
    <w:p>
      <w:pPr>
        <w:pStyle w:val="ListBullet"/>
      </w:pPr>
      <w:r>
        <w:t>Are timing and information sets respected?</w:t>
      </w:r>
    </w:p>
    <w:p>
      <w:pPr>
        <w:pStyle w:val="ListBullet"/>
      </w:pPr>
      <w:r>
        <w:t>Could selection, confounding, measurement error, or reverse causality matter?</w:t>
      </w:r>
    </w:p>
    <w:p>
      <w:pPr>
        <w:pStyle w:val="ListBullet"/>
      </w:pPr>
      <w:r>
        <w:t>Does the uncertainty estimator match the sampling or dependence structure?</w:t>
      </w:r>
    </w:p>
    <w:p>
      <w:pPr>
        <w:pStyle w:val="ListBullet"/>
      </w:pPr>
      <w:r>
        <w:t>Would the result survive reasonable alternative specifications?</w:t>
      </w:r>
    </w:p>
    <w:p>
      <w:pPr>
        <w:pStyle w:val="ListBullet"/>
      </w:pPr>
      <w:r>
        <w:t>Is the task predictive, descriptive, or causal?</w:t>
      </w:r>
    </w:p>
    <w:tbl>
      <w:tblPr>
        <w:tblW w:type="auto" w:w="0"/>
        <w:jc w:val="center"/>
        <w:tblLook w:firstColumn="1" w:firstRow="1" w:lastColumn="0" w:lastRow="0" w:noHBand="0" w:noVBand="1" w:val="04A0"/>
      </w:tblPr>
      <w:tblGrid>
        <w:gridCol w:w="10080"/>
      </w:tblGrid>
      <w:tr>
        <w:tc>
          <w:tcPr>
            <w:tcW w:type="dxa" w:w="10080"/>
          </w:tcPr>
          <w:p>
            <w:r/>
            <w:r>
              <w:rPr>
                <w:b/>
              </w:rPr>
              <w:t xml:space="preserve">Causal caution: </w:t>
            </w:r>
            <w:r>
              <w:t>High predictive accuracy, feature importance, or a small p-value does not by itself identify a causal effect. Causal language requires a defensible identification strategy.</w:t>
            </w:r>
          </w:p>
        </w:tc>
        <w:trPr>
          <w:tblHeader/>
        </w:trPr>
      </w:tr>
    </w:tbl>
    <w:tbl>
      <w:tblPr>
        <w:tblW w:type="auto" w:w="0"/>
        <w:jc w:val="center"/>
        <w:tblLook w:firstColumn="1" w:firstRow="1" w:lastColumn="0" w:lastRow="0" w:noHBand="0" w:noVBand="1" w:val="04A0"/>
      </w:tblPr>
      <w:tblGrid>
        <w:gridCol w:w="10080"/>
      </w:tblGrid>
      <w:tr>
        <w:tc>
          <w:tcPr>
            <w:tcW w:type="dxa" w:w="10080"/>
          </w:tcPr>
          <w:p>
            <w:r/>
            <w:r>
              <w:rPr>
                <w:b/>
              </w:rPr>
              <w:t xml:space="preserve">Ceteris LAB Tip: </w:t>
            </w:r>
            <w:r>
              <w:t>Write the research question and estimand in words before opening Python. If you cannot state what quantity you want to learn, adding packages will not rescue the analysis.</w:t>
            </w:r>
          </w:p>
        </w:tc>
        <w:trPr>
          <w:tblHeader/>
        </w:trPr>
      </w:tr>
    </w:tbl>
    <w:tbl>
      <w:tblPr>
        <w:tblW w:type="auto" w:w="0"/>
        <w:jc w:val="center"/>
        <w:tblLook w:firstColumn="1" w:firstRow="1" w:lastColumn="0" w:lastRow="0" w:noHBand="0" w:noVBand="1" w:val="04A0"/>
      </w:tblPr>
      <w:tblGrid>
        <w:gridCol w:w="10080"/>
      </w:tblGrid>
      <w:tr>
        <w:tc>
          <w:tcPr>
            <w:tcW w:type="dxa" w:w="10080"/>
          </w:tcPr>
          <w:p>
            <w:r/>
            <w:r>
              <w:rPr>
                <w:b/>
              </w:rPr>
              <w:t xml:space="preserve">Common mistake: </w:t>
            </w:r>
            <w:r>
              <w:t>Treating a software default as an econometric assumption. Defaults are conveniences; assumptions must be chosen and defended.</w:t>
            </w:r>
          </w:p>
        </w:tc>
        <w:trPr>
          <w:tblHeader/>
        </w:trPr>
      </w:tr>
    </w:tbl>
    <w:p>
      <w:pPr>
        <w:pStyle w:val="Heading2"/>
      </w:pPr>
      <w:r>
        <w:t>35.8 Guided practice</w:t>
      </w:r>
    </w:p>
    <w:p>
      <w:r>
        <w:t>Modify the notebook so that one assumption is deliberately violated. Re-estimate the model, compare the result, and explain why the estimate changed. This turns diagnostics from a checklist into an experiment.</w:t>
      </w:r>
    </w:p>
    <w:p>
      <w:pPr>
        <w:pStyle w:val="Heading2"/>
      </w:pPr>
      <w:r>
        <w:t>35.9 Exercises</w:t>
      </w:r>
    </w:p>
    <w:p>
      <w:pPr>
        <w:pStyle w:val="ListNumber"/>
      </w:pPr>
      <w:r>
        <w:t>Concept: In one paragraph, distinguish association, prediction, and causation for the chapter topic.</w:t>
      </w:r>
    </w:p>
    <w:p>
      <w:pPr>
        <w:pStyle w:val="ListNumber"/>
      </w:pPr>
      <w:r>
        <w:t>Python: Reproduce the demonstration with a different documented random seed and verify that the qualitative conclusion is stable.</w:t>
      </w:r>
    </w:p>
    <w:p>
      <w:pPr>
        <w:pStyle w:val="ListNumber"/>
      </w:pPr>
      <w:r>
        <w:t>Applied econometrics: Replace the simulated outcome with a legally shareable economic variable and document its units, source, and sample.</w:t>
      </w:r>
    </w:p>
    <w:p>
      <w:pPr>
        <w:pStyle w:val="ListNumber"/>
      </w:pPr>
      <w:r>
        <w:t>Interpretation: Write a 150-word results paragraph that reports magnitude and uncertainty without exaggerating the evidence.</w:t>
      </w:r>
    </w:p>
    <w:p>
      <w:pPr>
        <w:pStyle w:val="ListNumber"/>
      </w:pPr>
      <w:r>
        <w:t>Research challenge: Propose one alternative design or robustness check that would address the most important threat to validity.</w:t>
      </w:r>
    </w:p>
    <w:p>
      <w:pPr>
        <w:pStyle w:val="Heading2"/>
      </w:pPr>
      <w:r>
        <w:t>35.10 Chapter summary</w:t>
      </w:r>
    </w:p>
    <w:p>
      <w:r>
        <w:t>Explainability, Uncertainty, and Model Governance is most useful when the economic question, statistical target, assumptions, code, and interpretation point in the same direction. Python makes the workflow reproducible; econometric reasoning determines what the output can mean.</w:t>
      </w:r>
    </w:p>
    <w:p>
      <w:pPr>
        <w:pStyle w:val="Heading2"/>
      </w:pPr>
      <w:r>
        <w:t>35.11 Key Python tools</w:t>
      </w:r>
    </w:p>
    <w:p>
      <w:r>
        <w:t>Core tools used across these chapters include NumPy for simulation, pandas for data structures, statsmodels for statistical inference, scikit-learn for predictive modeling, and Matplotlib for transparent visual diagnostics. Use the simplest maintained tool that answers the question.</w:t>
      </w:r>
    </w:p>
    <w:p>
      <w:pPr>
        <w:pStyle w:val="Heading1"/>
        <w:keepNext/>
        <w:pageBreakBefore/>
      </w:pPr>
      <w:r>
        <w:t>36</w:t>
        <w:tab/>
        <w:t>Introduction to Time-Series Data</w:t>
      </w:r>
    </w:p>
    <w:p>
      <w:pPr>
        <w:pStyle w:val="FirstParagraph"/>
      </w:pPr>
      <w:r>
        <w:rPr>
          <w:i/>
          <w:iCs/>
        </w:rPr>
        <w:t xml:space="preserve">Opening question:</w:t>
      </w:r>
      <w:r>
        <w:t xml:space="preserve"> </w:t>
      </w:r>
      <w:r>
        <w:rPr>
          <w:b/>
          <w:bCs/>
        </w:rPr>
        <w:t xml:space="preserve">What changes when observations are ordered in time and yesterday can influence today?</w:t>
      </w:r>
    </w:p>
    <w:bookmarkStart w:id="321" w:name="learning-objectives-16"/>
    <w:p>
      <w:pPr>
        <w:pStyle w:val="Heading2"/>
        <w:keepNext/>
      </w:pPr>
      <w:r>
        <w:t>36.1</w:t>
        <w:tab/>
        <w:t>Learning objectives</w:t>
      </w:r>
    </w:p>
    <w:p>
      <w:pPr>
        <w:pStyle w:val="Compact"/>
        <w:numPr>
          <w:ilvl w:val="0"/>
          <w:numId w:val="1067"/>
        </w:numPr>
      </w:pPr>
      <w:r>
        <w:t xml:space="preserve">Create and validate time indexes.</w:t>
      </w:r>
    </w:p>
    <w:p>
      <w:pPr>
        <w:pStyle w:val="Compact"/>
        <w:numPr>
          <w:ilvl w:val="0"/>
          <w:numId w:val="1067"/>
        </w:numPr>
      </w:pPr>
      <w:r>
        <w:t xml:space="preserve">Distinguish levels, changes, growth rates, and returns.</w:t>
      </w:r>
    </w:p>
    <w:p>
      <w:pPr>
        <w:pStyle w:val="Compact"/>
        <w:numPr>
          <w:ilvl w:val="0"/>
          <w:numId w:val="1067"/>
        </w:numPr>
      </w:pPr>
      <w:r>
        <w:t xml:space="preserve">Resample data with appropriate aggregation.</w:t>
      </w:r>
    </w:p>
    <w:p>
      <w:pPr>
        <w:pStyle w:val="Compact"/>
        <w:numPr>
          <w:ilvl w:val="0"/>
          <w:numId w:val="1067"/>
        </w:numPr>
      </w:pPr>
      <w:r>
        <w:t xml:space="preserve">Handle missing dates and trading calendars.</w:t>
      </w:r>
    </w:p>
    <w:p>
      <w:pPr>
        <w:pStyle w:val="FirstParagraph"/>
      </w:pPr>
      <w:r>
        <w:rPr>
          <w:b/>
          <w:bCs/>
        </w:rPr>
        <w:t xml:space="preserve">Prerequisites:</w:t>
      </w:r>
      <w:r>
        <w:t xml:space="preserve"> </w:t>
      </w:r>
      <w:r>
        <w:t xml:space="preserve">Chapters 9, 10, and 16.</w:t>
      </w:r>
    </w:p>
    <w:p>
      <w:pPr>
        <w:pStyle w:val="BodyText"/>
      </w:pPr>
      <w:r>
        <w:rPr>
          <w:b/>
          <w:bCs/>
        </w:rPr>
        <w:t xml:space="preserve">Key terms:</w:t>
      </w:r>
      <w:r>
        <w:t xml:space="preserve"> </w:t>
      </w:r>
      <w:r>
        <w:t xml:space="preserve">time index, frequency, resampling, simple return, log return, adjusted price.</w:t>
      </w:r>
    </w:p>
    <w:bookmarkEnd w:id="321"/>
    <w:bookmarkStart w:id="322" w:name="time-order-is-part-of-the-model"/>
    <w:p>
      <w:pPr>
        <w:pStyle w:val="Heading2"/>
        <w:keepNext/>
      </w:pPr>
      <w:r>
        <w:t>36.2</w:t>
        <w:tab/>
        <w:t>Time order is part of the model</w:t>
      </w:r>
    </w:p>
    <w:p>
      <w:pPr>
        <w:pStyle w:val="FirstParagraph"/>
      </w:pPr>
      <w:r>
        <w:t xml:space="preserve">A time series combines values with an ordered calendar or event index. Shuffling rows destroys lags, seasonality, and forecast origins. Before calculating changes, sort the index, inspect duplicates, and determine whether gaps represent missing data, weekends, holidays, or genuine non-observation. pandas date indexes support resampling, rolling windows, and aligned arithmetic, but the analyst must choose the economically meaningful frequency.</w:t>
      </w:r>
    </w:p>
    <w:bookmarkEnd w:id="322"/>
    <w:bookmarkStart w:id="323" w:name="X37e499f42868f9e454d343e519b881210fca635"/>
    <w:p>
      <w:pPr>
        <w:pStyle w:val="Heading2"/>
        <w:keepNext/>
      </w:pPr>
      <w:r>
        <w:t>36.3</w:t>
        <w:tab/>
        <w:t>Levels and changes answer different questions</w:t>
      </w:r>
    </w:p>
    <w:p>
      <w:pPr>
        <w:pStyle w:val="FirstParagraph"/>
      </w:pPr>
      <w:r>
        <w:t xml:space="preserve">A price level describes value at a point in time; a simple return measures proportional change; a log return measures the difference in log prices and adds across adjacent periods. Growth rates for macroeconomic variables may be month-over-month, year-over-year, annualized, nominal, or real. These transformations are not interchangeable. The label and formula should travel together.</w:t>
      </w:r>
    </w:p>
    <w:bookmarkEnd w:id="323"/>
    <w:bookmarkStart w:id="324" w:name="Xe6e07dda819754bb8360b8905fbb106f3072049"/>
    <w:p>
      <w:pPr>
        <w:pStyle w:val="Heading2"/>
        <w:keepNext/>
      </w:pPr>
      <w:r>
        <w:t>36.4</w:t>
        <w:tab/>
        <w:t>Aggregation requires a stock-flow decision</w:t>
      </w:r>
    </w:p>
    <w:p>
      <w:pPr>
        <w:pStyle w:val="FirstParagraph"/>
      </w:pPr>
      <w:r>
        <w:t xml:space="preserve">Monthly data derived from daily observations may use a period-end value, average, sum, maximum, or compounded return. Interest rates are often averaged or sampled at period end; transaction volumes are summed; price returns are compounded rather than averaged. Resampling is therefore an economic operation, not merely a date convenience.</w:t>
      </w:r>
    </w:p>
    <w:bookmarkEnd w:id="324"/>
    <w:bookmarkStart w:id="325" w:name="core-equations-4"/>
    <w:p>
      <w:pPr>
        <w:pStyle w:val="Heading2"/>
        <w:keepNext/>
      </w:pPr>
      <w:r>
        <w:t>36.5</w:t>
        <w:tab/>
        <w:t>Core equations</w:t>
      </w:r>
    </w:p>
    <w:p>
      <w:pPr>
        <w:pStyle w:val="FirstParagraph"/>
      </w:pPr>
      <w:r>
        <w:rPr>
          <w:b/>
          <w:bCs/>
        </w:rPr>
        <w:t xml:space="preserve">Simple return</w:t>
      </w:r>
    </w:p>
    <w:p>
      <w:pPr>
        <w:pStyle w:val="BodyText"/>
      </w:pPr>
      <m:oMathPara>
        <m:oMathParaPr>
          <m:jc m:val="center"/>
        </m:oMathParaPr>
        <m:oMath>
          <m:sSub>
            <m:e>
              <m:r>
                <m:t>R</m:t>
              </m:r>
            </m:e>
            <m:sub>
              <m:r>
                <m:t>t</m:t>
              </m:r>
            </m:sub>
          </m:sSub>
          <m:r>
            <m:rPr>
              <m:sty m:val="p"/>
            </m:rPr>
            <m:t>=</m:t>
          </m:r>
          <m:f>
            <m:fPr>
              <m:type m:val="bar"/>
            </m:fPr>
            <m:num>
              <m:sSub>
                <m:e>
                  <m:r>
                    <m:t>P</m:t>
                  </m:r>
                </m:e>
                <m:sub>
                  <m:r>
                    <m:t>t</m:t>
                  </m:r>
                </m:sub>
              </m:sSub>
              <m:r>
                <m:rPr>
                  <m:sty m:val="p"/>
                </m:rPr>
                <m:t>−</m:t>
              </m:r>
              <m:sSub>
                <m:e>
                  <m:r>
                    <m:t>P</m:t>
                  </m:r>
                </m:e>
                <m:sub>
                  <m:r>
                    <m:t>t</m:t>
                  </m:r>
                  <m:r>
                    <m:rPr>
                      <m:sty m:val="p"/>
                    </m:rPr>
                    <m:t>−</m:t>
                  </m:r>
                  <m:r>
                    <m:t>1</m:t>
                  </m:r>
                </m:sub>
              </m:sSub>
            </m:num>
            <m:den>
              <m:sSub>
                <m:e>
                  <m:r>
                    <m:t>P</m:t>
                  </m:r>
                </m:e>
                <m:sub>
                  <m:r>
                    <m:t>t</m:t>
                  </m:r>
                  <m:r>
                    <m:rPr>
                      <m:sty m:val="p"/>
                    </m:rPr>
                    <m:t>−</m:t>
                  </m:r>
                  <m:r>
                    <m:t>1</m:t>
                  </m:r>
                </m:sub>
              </m:sSub>
            </m:den>
          </m:f>
        </m:oMath>
      </m:oMathPara>
    </w:p>
    <w:p>
      <w:pPr>
        <w:pStyle w:val="FirstParagraph"/>
      </w:pPr>
      <w:r>
        <w:t xml:space="preserve">The proportional price change over one period.</w:t>
      </w:r>
    </w:p>
    <w:p>
      <w:pPr>
        <w:pStyle w:val="BodyText"/>
      </w:pPr>
      <w:r>
        <w:rPr>
          <w:b/>
          <w:bCs/>
        </w:rPr>
        <w:t xml:space="preserve">Log return</w:t>
      </w:r>
    </w:p>
    <w:p>
      <w:pPr>
        <w:pStyle w:val="BodyText"/>
      </w:pPr>
      <m:oMathPara>
        <m:oMathParaPr>
          <m:jc m:val="center"/>
        </m:oMathParaPr>
        <m:oMath>
          <m:sSub>
            <m:e>
              <m:r>
                <m:t>r</m:t>
              </m:r>
            </m:e>
            <m:sub>
              <m:r>
                <m:t>t</m:t>
              </m:r>
            </m:sub>
          </m:sSub>
          <m:r>
            <m:rPr>
              <m:sty m:val="p"/>
            </m:rPr>
            <m:t>=</m:t>
          </m:r>
          <m:r>
            <m:rPr>
              <m:sty m:val="p"/>
            </m:rPr>
            <m:t>ln</m:t>
          </m:r>
          <m:d>
            <m:dPr>
              <m:begChr m:val="("/>
              <m:endChr m:val=")"/>
              <m:sepChr m:val=""/>
              <m:grow/>
            </m:dPr>
            <m:e>
              <m:sSub>
                <m:e>
                  <m:r>
                    <m:t>P</m:t>
                  </m:r>
                </m:e>
                <m:sub>
                  <m:r>
                    <m:t>t</m:t>
                  </m:r>
                </m:sub>
              </m:sSub>
            </m:e>
          </m:d>
          <m:r>
            <m:rPr>
              <m:sty m:val="p"/>
            </m:rPr>
            <m:t>−</m:t>
          </m:r>
          <m:r>
            <m:rPr>
              <m:sty m:val="p"/>
            </m:rPr>
            <m:t>ln</m:t>
          </m:r>
          <m:d>
            <m:dPr>
              <m:begChr m:val="("/>
              <m:endChr m:val=")"/>
              <m:sepChr m:val=""/>
              <m:grow/>
            </m:dPr>
            <m:e>
              <m:sSub>
                <m:e>
                  <m:r>
                    <m:t>P</m:t>
                  </m:r>
                </m:e>
                <m:sub>
                  <m:r>
                    <m:t>t</m:t>
                  </m:r>
                  <m:r>
                    <m:rPr>
                      <m:sty m:val="p"/>
                    </m:rPr>
                    <m:t>−</m:t>
                  </m:r>
                  <m:r>
                    <m:t>1</m:t>
                  </m:r>
                </m:sub>
              </m:sSub>
            </m:e>
          </m:d>
        </m:oMath>
      </m:oMathPara>
    </w:p>
    <w:p>
      <w:pPr>
        <w:pStyle w:val="FirstParagraph"/>
      </w:pPr>
      <w:r>
        <w:t xml:space="preserve">Log returns add across adjacent periods and approximate simple returns when changes are small.</w:t>
      </w:r>
    </w:p>
    <w:bookmarkEnd w:id="325"/>
    <w:bookmarkStart w:id="328" w:name="python-demonstrations-16"/>
    <w:p>
      <w:pPr>
        <w:pStyle w:val="Heading2"/>
        <w:keepNext/>
      </w:pPr>
      <w:r>
        <w:t>36.6</w:t>
        <w:tab/>
        <w:t>Python demonstrations</w:t>
      </w:r>
    </w:p>
    <w:bookmarkStart w:id="326" w:name="Xcd7dd858b0500376f4c5c833d36e921cdb06e9d"/>
    <w:p>
      <w:pPr>
        <w:pStyle w:val="Heading3"/>
        <w:keepNext/>
      </w:pPr>
      <w:r>
        <w:t>36.6.1</w:t>
        <w:tab/>
        <w:t>Demonstration 17.1: Calculate simple and log returns</w:t>
      </w:r>
    </w:p>
    <w:p>
      <w:pPr>
        <w:pStyle w:val="SourceCode"/>
        <w:shd w:fill="F6F8FA" w:val="clear"/>
      </w:pPr>
      <w:r>
        <w:rPr>
          <w:rStyle w:val="ImportTok"/>
        </w:rPr>
        <w:t xml:space="preserve">import</w:t>
      </w:r>
      <w:r>
        <w:rPr>
          <w:rStyle w:val="NormalTok"/>
        </w:rPr>
        <w:t xml:space="preserve"> numpy </w:t>
      </w:r>
      <w:r>
        <w:rPr>
          <w:rStyle w:val="ImportTok"/>
        </w:rPr>
        <w:t xml:space="preserve">as</w:t>
      </w:r>
      <w:r>
        <w:rPr>
          <w:rStyle w:val="NormalTok"/>
        </w:rPr>
        <w:t xml:space="preserve"> np</w:t>
      </w:r>
      <w:r>
        <w:br/>
      </w:r>
      <w:r>
        <w:rPr>
          <w:rStyle w:val="ImportTok"/>
        </w:rPr>
        <w:t xml:space="preserve">import</w:t>
      </w:r>
      <w:r>
        <w:rPr>
          <w:rStyle w:val="NormalTok"/>
        </w:rPr>
        <w:t xml:space="preserve"> pandas </w:t>
      </w:r>
      <w:r>
        <w:rPr>
          <w:rStyle w:val="ImportTok"/>
        </w:rPr>
        <w:t xml:space="preserve">as</w:t>
      </w:r>
      <w:r>
        <w:rPr>
          <w:rStyle w:val="NormalTok"/>
        </w:rPr>
        <w:t xml:space="preserve"> pd</w:t>
      </w:r>
      <w:r>
        <w:br/>
      </w:r>
      <w:r>
        <w:br/>
      </w:r>
      <w:r>
        <w:rPr>
          <w:rStyle w:val="NormalTok"/>
        </w:rPr>
        <w:t xml:space="preserve">prices </w:t>
      </w:r>
      <w:r>
        <w:rPr>
          <w:rStyle w:val="OperatorTok"/>
        </w:rPr>
        <w:t xml:space="preserve">=</w:t>
      </w:r>
      <w:r>
        <w:rPr>
          <w:rStyle w:val="NormalTok"/>
        </w:rPr>
        <w:t xml:space="preserve"> pd.Series([</w:t>
      </w:r>
      <w:r>
        <w:rPr>
          <w:rStyle w:val="DecValTok"/>
        </w:rPr>
        <w:t xml:space="preserve">100</w:t>
      </w:r>
      <w:r>
        <w:rPr>
          <w:rStyle w:val="NormalTok"/>
        </w:rPr>
        <w:t xml:space="preserve">, </w:t>
      </w:r>
      <w:r>
        <w:rPr>
          <w:rStyle w:val="DecValTok"/>
        </w:rPr>
        <w:t xml:space="preserve">102</w:t>
      </w:r>
      <w:r>
        <w:rPr>
          <w:rStyle w:val="NormalTok"/>
        </w:rPr>
        <w:t xml:space="preserve">, </w:t>
      </w:r>
      <w:r>
        <w:rPr>
          <w:rStyle w:val="DecValTok"/>
        </w:rPr>
        <w:t xml:space="preserve">101</w:t>
      </w:r>
      <w:r>
        <w:rPr>
          <w:rStyle w:val="NormalTok"/>
        </w:rPr>
        <w:t xml:space="preserve">, </w:t>
      </w:r>
      <w:r>
        <w:rPr>
          <w:rStyle w:val="DecValTok"/>
        </w:rPr>
        <w:t xml:space="preserve">104</w:t>
      </w:r>
      <w:r>
        <w:rPr>
          <w:rStyle w:val="NormalTok"/>
        </w:rPr>
        <w:t xml:space="preserve">], index</w:t>
      </w:r>
      <w:r>
        <w:rPr>
          <w:rStyle w:val="OperatorTok"/>
        </w:rPr>
        <w:t xml:space="preserve">=</w:t>
      </w:r>
      <w:r>
        <w:rPr>
          <w:rStyle w:val="NormalTok"/>
        </w:rPr>
        <w:t xml:space="preserve">pd.date_range(</w:t>
      </w:r>
      <w:r>
        <w:rPr>
          <w:rStyle w:val="StringTok"/>
        </w:rPr>
        <w:t xml:space="preserve">"2026-01-01"</w:t>
      </w:r>
      <w:r>
        <w:rPr>
          <w:rStyle w:val="NormalTok"/>
        </w:rPr>
        <w:t xml:space="preserve">, periods</w:t>
      </w:r>
      <w:r>
        <w:rPr>
          <w:rStyle w:val="OperatorTok"/>
        </w:rPr>
        <w:t xml:space="preserve">=</w:t>
      </w:r>
      <w:r>
        <w:rPr>
          <w:rStyle w:val="DecValTok"/>
        </w:rPr>
        <w:t xml:space="preserve">4</w:t>
      </w:r>
      <w:r>
        <w:rPr>
          <w:rStyle w:val="NormalTok"/>
        </w:rPr>
        <w:t xml:space="preserve">, freq</w:t>
      </w:r>
      <w:r>
        <w:rPr>
          <w:rStyle w:val="OperatorTok"/>
        </w:rPr>
        <w:t xml:space="preserve">=</w:t>
      </w:r>
      <w:r>
        <w:rPr>
          <w:rStyle w:val="StringTok"/>
        </w:rPr>
        <w:t xml:space="preserve">"D"</w:t>
      </w:r>
      <w:r>
        <w:rPr>
          <w:rStyle w:val="NormalTok"/>
        </w:rPr>
        <w:t xml:space="preserve">))</w:t>
      </w:r>
      <w:r>
        <w:br/>
      </w:r>
      <w:r>
        <w:rPr>
          <w:rStyle w:val="NormalTok"/>
        </w:rPr>
        <w:t xml:space="preserve">simple </w:t>
      </w:r>
      <w:r>
        <w:rPr>
          <w:rStyle w:val="OperatorTok"/>
        </w:rPr>
        <w:t xml:space="preserve">=</w:t>
      </w:r>
      <w:r>
        <w:rPr>
          <w:rStyle w:val="NormalTok"/>
        </w:rPr>
        <w:t xml:space="preserve"> prices.pct_change()</w:t>
      </w:r>
      <w:r>
        <w:br/>
      </w:r>
      <w:r>
        <w:rPr>
          <w:rStyle w:val="NormalTok"/>
        </w:rPr>
        <w:t xml:space="preserve">log_return </w:t>
      </w:r>
      <w:r>
        <w:rPr>
          <w:rStyle w:val="OperatorTok"/>
        </w:rPr>
        <w:t xml:space="preserve">=</w:t>
      </w:r>
      <w:r>
        <w:rPr>
          <w:rStyle w:val="NormalTok"/>
        </w:rPr>
        <w:t xml:space="preserve"> np.log(prices).diff()</w:t>
      </w:r>
      <w:r>
        <w:br/>
      </w:r>
      <w:r>
        <w:rPr>
          <w:rStyle w:val="BuiltInTok"/>
        </w:rPr>
        <w:t xml:space="preserve">print</w:t>
      </w:r>
      <w:r>
        <w:rPr>
          <w:rStyle w:val="NormalTok"/>
        </w:rPr>
        <w:t xml:space="preserve">(simple.dropna().</w:t>
      </w:r>
      <w:r>
        <w:rPr>
          <w:rStyle w:val="BuiltInTok"/>
        </w:rPr>
        <w:t xml:space="preserve">round</w:t>
      </w:r>
      <w:r>
        <w:rPr>
          <w:rStyle w:val="NormalTok"/>
        </w:rPr>
        <w:t xml:space="preserve">(</w:t>
      </w:r>
      <w:r>
        <w:rPr>
          <w:rStyle w:val="DecValTok"/>
        </w:rPr>
        <w:t xml:space="preserve">4</w:t>
      </w:r>
      <w:r>
        <w:rPr>
          <w:rStyle w:val="NormalTok"/>
        </w:rPr>
        <w:t xml:space="preserve">).tolist())</w:t>
      </w:r>
      <w:r>
        <w:br/>
      </w:r>
      <w:r>
        <w:rPr>
          <w:rStyle w:val="BuiltInTok"/>
        </w:rPr>
        <w:t xml:space="preserve">print</w:t>
      </w:r>
      <w:r>
        <w:rPr>
          <w:rStyle w:val="NormalTok"/>
        </w:rPr>
        <w:t xml:space="preserve">(log_return.dropna().</w:t>
      </w:r>
      <w:r>
        <w:rPr>
          <w:rStyle w:val="BuiltInTok"/>
        </w:rPr>
        <w:t xml:space="preserve">round</w:t>
      </w:r>
      <w:r>
        <w:rPr>
          <w:rStyle w:val="NormalTok"/>
        </w:rPr>
        <w:t xml:space="preserve">(</w:t>
      </w:r>
      <w:r>
        <w:rPr>
          <w:rStyle w:val="DecValTok"/>
        </w:rPr>
        <w:t xml:space="preserve">4</w:t>
      </w:r>
      <w:r>
        <w:rPr>
          <w:rStyle w:val="NormalTok"/>
        </w:rPr>
        <w:t xml:space="preserve">).tolist())</w:t>
      </w:r>
    </w:p>
    <w:p>
      <w:pPr>
        <w:pStyle w:val="FirstParagraph"/>
      </w:pPr>
      <w:r>
        <w:rPr>
          <w:b/>
          <w:bCs/>
        </w:rPr>
        <w:t xml:space="preserve">Verified output</w:t>
      </w:r>
    </w:p>
    <w:p>
      <w:pPr>
        <w:pStyle w:val="SourceCode"/>
        <w:keepLines/>
        <w:shd w:fill="F6F8FA" w:val="clear"/>
      </w:pPr>
      <w:r>
        <w:rPr>
          <w:rStyle w:val="VerbatimChar"/>
        </w:rPr>
        <w:t xml:space="preserve">[0.02, -0.0098, 0.0297]</w:t>
      </w:r>
      <w:r>
        <w:br/>
      </w:r>
      <w:r>
        <w:rPr>
          <w:rStyle w:val="VerbatimChar"/>
        </w:rPr>
        <w:t xml:space="preserve">[0.0198, -0.0099, 0.0293]</w:t>
      </w:r>
    </w:p>
    <w:p>
      <w:pPr>
        <w:pStyle w:val="FirstParagraph"/>
      </w:pPr>
      <w:r>
        <w:rPr>
          <w:b/>
          <w:bCs/>
        </w:rPr>
        <w:t xml:space="preserve">Interpretation.</w:t>
      </w:r>
      <w:r>
        <w:t xml:space="preserve"> </w:t>
      </w:r>
      <w:r>
        <w:t xml:space="preserve">The two measures are close for small changes but are not numerically identical.</w:t>
      </w:r>
    </w:p>
    <w:bookmarkEnd w:id="326"/>
    <w:bookmarkStart w:id="327" w:name="X95d177504b6cad53e614b395319b1a16ef20172"/>
    <w:p>
      <w:pPr>
        <w:pStyle w:val="Heading3"/>
        <w:keepNext/>
      </w:pPr>
      <w:r>
        <w:t>36.6.2</w:t>
        <w:tab/>
        <w:t>Demonstration 17.2: Resample with explicit rules</w:t>
      </w:r>
    </w:p>
    <w:p>
      <w:pPr>
        <w:pStyle w:val="SourceCode"/>
        <w:shd w:fill="F6F8FA" w:val="clear"/>
      </w:pPr>
      <w:r>
        <w:rPr>
          <w:rStyle w:val="ImportTok"/>
        </w:rPr>
        <w:t xml:space="preserve">import</w:t>
      </w:r>
      <w:r>
        <w:rPr>
          <w:rStyle w:val="NormalTok"/>
        </w:rPr>
        <w:t xml:space="preserve"> pandas </w:t>
      </w:r>
      <w:r>
        <w:rPr>
          <w:rStyle w:val="ImportTok"/>
        </w:rPr>
        <w:t xml:space="preserve">as</w:t>
      </w:r>
      <w:r>
        <w:rPr>
          <w:rStyle w:val="NormalTok"/>
        </w:rPr>
        <w:t xml:space="preserve"> pd</w:t>
      </w:r>
      <w:r>
        <w:br/>
      </w:r>
      <w:r>
        <w:br/>
      </w:r>
      <w:r>
        <w:rPr>
          <w:rStyle w:val="NormalTok"/>
        </w:rPr>
        <w:t xml:space="preserve">idx </w:t>
      </w:r>
      <w:r>
        <w:rPr>
          <w:rStyle w:val="OperatorTok"/>
        </w:rPr>
        <w:t xml:space="preserve">=</w:t>
      </w:r>
      <w:r>
        <w:rPr>
          <w:rStyle w:val="NormalTok"/>
        </w:rPr>
        <w:t xml:space="preserve"> pd.date_range(</w:t>
      </w:r>
      <w:r>
        <w:rPr>
          <w:rStyle w:val="StringTok"/>
        </w:rPr>
        <w:t xml:space="preserve">"2026-01-01"</w:t>
      </w:r>
      <w:r>
        <w:rPr>
          <w:rStyle w:val="NormalTok"/>
        </w:rPr>
        <w:t xml:space="preserve">, periods</w:t>
      </w:r>
      <w:r>
        <w:rPr>
          <w:rStyle w:val="OperatorTok"/>
        </w:rPr>
        <w:t xml:space="preserve">=</w:t>
      </w:r>
      <w:r>
        <w:rPr>
          <w:rStyle w:val="DecValTok"/>
        </w:rPr>
        <w:t xml:space="preserve">60</w:t>
      </w:r>
      <w:r>
        <w:rPr>
          <w:rStyle w:val="NormalTok"/>
        </w:rPr>
        <w:t xml:space="preserve">, freq</w:t>
      </w:r>
      <w:r>
        <w:rPr>
          <w:rStyle w:val="OperatorTok"/>
        </w:rPr>
        <w:t xml:space="preserve">=</w:t>
      </w:r>
      <w:r>
        <w:rPr>
          <w:rStyle w:val="StringTok"/>
        </w:rPr>
        <w:t xml:space="preserve">"D"</w:t>
      </w:r>
      <w:r>
        <w:rPr>
          <w:rStyle w:val="NormalTok"/>
        </w:rPr>
        <w:t xml:space="preserve">)</w:t>
      </w:r>
      <w:r>
        <w:br/>
      </w:r>
      <w:r>
        <w:rPr>
          <w:rStyle w:val="NormalTok"/>
        </w:rPr>
        <w:t xml:space="preserve">daily </w:t>
      </w:r>
      <w:r>
        <w:rPr>
          <w:rStyle w:val="OperatorTok"/>
        </w:rPr>
        <w:t xml:space="preserve">=</w:t>
      </w:r>
      <w:r>
        <w:rPr>
          <w:rStyle w:val="NormalTok"/>
        </w:rPr>
        <w:t xml:space="preserve"> pd.DataFrame({</w:t>
      </w:r>
      <w:r>
        <w:rPr>
          <w:rStyle w:val="StringTok"/>
        </w:rPr>
        <w:t xml:space="preserve">"rate"</w:t>
      </w:r>
      <w:r>
        <w:rPr>
          <w:rStyle w:val="NormalTok"/>
        </w:rPr>
        <w:t xml:space="preserve">: </w:t>
      </w:r>
      <w:r>
        <w:rPr>
          <w:rStyle w:val="BuiltInTok"/>
        </w:rPr>
        <w:t xml:space="preserve">range</w:t>
      </w:r>
      <w:r>
        <w:rPr>
          <w:rStyle w:val="NormalTok"/>
        </w:rPr>
        <w:t xml:space="preserve">(</w:t>
      </w:r>
      <w:r>
        <w:rPr>
          <w:rStyle w:val="DecValTok"/>
        </w:rPr>
        <w:t xml:space="preserve">60</w:t>
      </w:r>
      <w:r>
        <w:rPr>
          <w:rStyle w:val="NormalTok"/>
        </w:rPr>
        <w:t xml:space="preserve">), </w:t>
      </w:r>
      <w:r>
        <w:rPr>
          <w:rStyle w:val="StringTok"/>
        </w:rPr>
        <w:t xml:space="preserve">"volume"</w:t>
      </w:r>
      <w:r>
        <w:rPr>
          <w:rStyle w:val="NormalTok"/>
        </w:rPr>
        <w:t xml:space="preserve">: [</w:t>
      </w:r>
      <w:r>
        <w:rPr>
          <w:rStyle w:val="DecValTok"/>
        </w:rPr>
        <w:t xml:space="preserve">100</w:t>
      </w:r>
      <w:r>
        <w:rPr>
          <w:rStyle w:val="NormalTok"/>
        </w:rPr>
        <w:t xml:space="preserve">]</w:t>
      </w:r>
      <w:r>
        <w:rPr>
          <w:rStyle w:val="OperatorTok"/>
        </w:rPr>
        <w:t xml:space="preserve">*</w:t>
      </w:r>
      <w:r>
        <w:rPr>
          <w:rStyle w:val="DecValTok"/>
        </w:rPr>
        <w:t xml:space="preserve">60</w:t>
      </w:r>
      <w:r>
        <w:rPr>
          <w:rStyle w:val="NormalTok"/>
        </w:rPr>
        <w:t xml:space="preserve">}, index</w:t>
      </w:r>
      <w:r>
        <w:rPr>
          <w:rStyle w:val="OperatorTok"/>
        </w:rPr>
        <w:t xml:space="preserve">=</w:t>
      </w:r>
      <w:r>
        <w:rPr>
          <w:rStyle w:val="NormalTok"/>
        </w:rPr>
        <w:t xml:space="preserve">idx)</w:t>
      </w:r>
      <w:r>
        <w:br/>
      </w:r>
      <w:r>
        <w:rPr>
          <w:rStyle w:val="NormalTok"/>
        </w:rPr>
        <w:t xml:space="preserve">monthly </w:t>
      </w:r>
      <w:r>
        <w:rPr>
          <w:rStyle w:val="OperatorTok"/>
        </w:rPr>
        <w:t xml:space="preserve">=</w:t>
      </w:r>
      <w:r>
        <w:rPr>
          <w:rStyle w:val="NormalTok"/>
        </w:rPr>
        <w:t xml:space="preserve"> daily.resample(</w:t>
      </w:r>
      <w:r>
        <w:rPr>
          <w:rStyle w:val="StringTok"/>
        </w:rPr>
        <w:t xml:space="preserve">"ME"</w:t>
      </w:r>
      <w:r>
        <w:rPr>
          <w:rStyle w:val="NormalTok"/>
        </w:rPr>
        <w:t xml:space="preserve">).agg(rate</w:t>
      </w:r>
      <w:r>
        <w:rPr>
          <w:rStyle w:val="OperatorTok"/>
        </w:rPr>
        <w:t xml:space="preserve">=</w:t>
      </w:r>
      <w:r>
        <w:rPr>
          <w:rStyle w:val="NormalTok"/>
        </w:rPr>
        <w:t xml:space="preserve">(</w:t>
      </w:r>
      <w:r>
        <w:rPr>
          <w:rStyle w:val="StringTok"/>
        </w:rPr>
        <w:t xml:space="preserve">"rate"</w:t>
      </w:r>
      <w:r>
        <w:rPr>
          <w:rStyle w:val="NormalTok"/>
        </w:rPr>
        <w:t xml:space="preserve">, </w:t>
      </w:r>
      <w:r>
        <w:rPr>
          <w:rStyle w:val="StringTok"/>
        </w:rPr>
        <w:t xml:space="preserve">"last"</w:t>
      </w:r>
      <w:r>
        <w:rPr>
          <w:rStyle w:val="NormalTok"/>
        </w:rPr>
        <w:t xml:space="preserve">), volume</w:t>
      </w:r>
      <w:r>
        <w:rPr>
          <w:rStyle w:val="OperatorTok"/>
        </w:rPr>
        <w:t xml:space="preserve">=</w:t>
      </w:r>
      <w:r>
        <w:rPr>
          <w:rStyle w:val="NormalTok"/>
        </w:rPr>
        <w:t xml:space="preserve">(</w:t>
      </w:r>
      <w:r>
        <w:rPr>
          <w:rStyle w:val="StringTok"/>
        </w:rPr>
        <w:t xml:space="preserve">"volume"</w:t>
      </w:r>
      <w:r>
        <w:rPr>
          <w:rStyle w:val="NormalTok"/>
        </w:rPr>
        <w:t xml:space="preserve">, </w:t>
      </w:r>
      <w:r>
        <w:rPr>
          <w:rStyle w:val="StringTok"/>
        </w:rPr>
        <w:t xml:space="preserve">"sum"</w:t>
      </w:r>
      <w:r>
        <w:rPr>
          <w:rStyle w:val="NormalTok"/>
        </w:rPr>
        <w:t xml:space="preserve">))</w:t>
      </w:r>
      <w:r>
        <w:br/>
      </w:r>
      <w:r>
        <w:rPr>
          <w:rStyle w:val="BuiltInTok"/>
        </w:rPr>
        <w:t xml:space="preserve">print</w:t>
      </w:r>
      <w:r>
        <w:rPr>
          <w:rStyle w:val="NormalTok"/>
        </w:rPr>
        <w:t xml:space="preserve">(monthly)</w:t>
      </w:r>
    </w:p>
    <w:p>
      <w:pPr>
        <w:pStyle w:val="FirstParagraph"/>
      </w:pPr>
      <w:r>
        <w:rPr>
          <w:b/>
          <w:bCs/>
        </w:rPr>
        <w:t xml:space="preserve">Verified output</w:t>
      </w:r>
    </w:p>
    <w:p>
      <w:pPr>
        <w:pStyle w:val="SourceCode"/>
        <w:keepLines/>
        <w:shd w:fill="F6F8FA" w:val="clear"/>
      </w:pPr>
      <w:r>
        <w:rPr>
          <w:rStyle w:val="VerbatimChar"/>
        </w:rPr>
        <w:t xml:space="preserve">rate  volume</w:t>
      </w:r>
      <w:r>
        <w:br/>
      </w:r>
      <w:r>
        <w:rPr>
          <w:rStyle w:val="VerbatimChar"/>
        </w:rPr>
        <w:t xml:space="preserve">2026-01-31    30    3100</w:t>
      </w:r>
      <w:r>
        <w:br/>
      </w:r>
      <w:r>
        <w:rPr>
          <w:rStyle w:val="VerbatimChar"/>
        </w:rPr>
        <w:t xml:space="preserve">2026-02-28    58    2800</w:t>
      </w:r>
      <w:r>
        <w:br/>
      </w:r>
      <w:r>
        <w:rPr>
          <w:rStyle w:val="VerbatimChar"/>
        </w:rPr>
        <w:t xml:space="preserve">2026-03-31    59     100</w:t>
      </w:r>
    </w:p>
    <w:p>
      <w:pPr>
        <w:pStyle w:val="FirstParagraph"/>
      </w:pPr>
      <w:r>
        <w:rPr>
          <w:b/>
          <w:bCs/>
        </w:rPr>
        <w:t xml:space="preserve">Interpretation.</w:t>
      </w:r>
      <w:r>
        <w:t xml:space="preserve"> </w:t>
      </w:r>
      <w:r>
        <w:t xml:space="preserve">The rate uses the last observation while volume is summed, reflecting different measurement concepts.</w:t>
      </w:r>
    </w:p>
    <w:bookmarkEnd w:id="327"/>
    <w:bookmarkEnd w:id="328"/>
    <w:bookmarkStart w:id="335" w:name="visual-evidence-16"/>
    <w:p>
      <w:pPr>
        <w:pStyle w:val="Heading2"/>
        <w:keepNext/>
      </w:pPr>
      <w:r>
        <w:t>36.7</w:t>
        <w:tab/>
        <w:t>Visual evidence</w:t>
      </w:r>
    </w:p>
    <w:p>
      <w:pPr>
        <w:pStyle w:val="FirstParagraph"/>
      </w:pPr>
      <w:r>
        <w:drawing>
          <wp:inline>
            <wp:extent cx="4907280" cy="2977986"/>
            <wp:effectExtent b="0" l="0" r="0" t="0"/>
            <wp:docPr descr="Image: rId329.png" title="" id="330" name="Picture"/>
            <a:graphic>
              <a:graphicData uri="http://schemas.openxmlformats.org/drawingml/2006/picture">
                <pic:pic>
                  <pic:nvPicPr>
                    <pic:cNvPr descr="figures/fig_18_price_volume.png" id="331" name="Picture"/>
                    <pic:cNvPicPr>
                      <a:picLocks noChangeArrowheads="1" noChangeAspect="1"/>
                    </pic:cNvPicPr>
                  </pic:nvPicPr>
                  <pic:blipFill>
                    <a:blip r:embed="rId329"/>
                    <a:stretch>
                      <a:fillRect/>
                    </a:stretch>
                  </pic:blipFill>
                  <pic:spPr bwMode="auto">
                    <a:xfrm>
                      <a:off x="0" y="0"/>
                      <a:ext cx="4907280" cy="2977986"/>
                    </a:xfrm>
                    <a:prstGeom prst="rect">
                      <a:avLst/>
                    </a:prstGeom>
                    <a:noFill/>
                    <a:ln w="9525">
                      <a:noFill/>
                      <a:headEnd/>
                      <a:tailEnd/>
                    </a:ln>
                  </pic:spPr>
                </pic:pic>
              </a:graphicData>
            </a:graphic>
          </wp:inline>
        </w:drawing>
      </w:r>
    </w:p>
    <w:p>
      <w:pPr>
        <w:pStyle w:val="Caption"/>
        <w:keepNext w:val="0"/>
        <w:jc w:val="center"/>
      </w:pPr>
      <w:r>
        <w:rPr>
          <w:b/>
          <w:bCs/>
        </w:rPr>
        <w:t xml:space="preserve">Figure 18.</w:t>
      </w:r>
      <w:r>
        <w:t xml:space="preserve"> </w:t>
      </w:r>
      <w:r>
        <w:t xml:space="preserve">A price-and-volume panel generated from a deterministic financial simulation.</w:t>
      </w:r>
    </w:p>
    <w:p>
      <w:pPr>
        <w:pStyle w:val="BodyText"/>
      </w:pPr>
      <w:r>
        <w:drawing>
          <wp:inline>
            <wp:extent cx="4907280" cy="2038640"/>
            <wp:effectExtent b="0" l="0" r="0" t="0"/>
            <wp:docPr descr="Image: rId332.png" title="" id="333" name="Picture"/>
            <a:graphic>
              <a:graphicData uri="http://schemas.openxmlformats.org/drawingml/2006/picture">
                <pic:pic>
                  <pic:nvPicPr>
                    <pic:cNvPr descr="figures/fig_19_returns_density.png" id="334" name="Picture"/>
                    <pic:cNvPicPr>
                      <a:picLocks noChangeArrowheads="1" noChangeAspect="1"/>
                    </pic:cNvPicPr>
                  </pic:nvPicPr>
                  <pic:blipFill>
                    <a:blip r:embed="rId332"/>
                    <a:stretch>
                      <a:fillRect/>
                    </a:stretch>
                  </pic:blipFill>
                  <pic:spPr bwMode="auto">
                    <a:xfrm>
                      <a:off x="0" y="0"/>
                      <a:ext cx="4907280" cy="2038640"/>
                    </a:xfrm>
                    <a:prstGeom prst="rect">
                      <a:avLst/>
                    </a:prstGeom>
                    <a:noFill/>
                    <a:ln w="9525">
                      <a:noFill/>
                      <a:headEnd/>
                      <a:tailEnd/>
                    </a:ln>
                  </pic:spPr>
                </pic:pic>
              </a:graphicData>
            </a:graphic>
          </wp:inline>
        </w:drawing>
      </w:r>
    </w:p>
    <w:p>
      <w:pPr>
        <w:pStyle w:val="Caption"/>
        <w:keepNext w:val="0"/>
        <w:jc w:val="center"/>
      </w:pPr>
      <w:r>
        <w:rPr>
          <w:b/>
          <w:bCs/>
        </w:rPr>
        <w:t xml:space="preserve">Figure 19.</w:t>
      </w:r>
      <w:r>
        <w:t xml:space="preserve"> </w:t>
      </w:r>
      <w:r>
        <w:t xml:space="preserve">Simulated returns display volatility clustering and heavier tails than a normal benchmark.</w:t>
      </w:r>
    </w:p>
    <w:bookmarkEnd w:id="335"/>
    <w:bookmarkStart w:id="336" w:name="reference-table-16"/>
    <w:p>
      <w:pPr>
        <w:pStyle w:val="Heading2"/>
        <w:keepNext/>
      </w:pPr>
      <w:r>
        <w:t>36.8</w:t>
        <w:tab/>
        <w:t>Reference table</w:t>
      </w:r>
    </w:p>
    <w:p>
      <w:pPr>
        <w:pStyle w:val="Caption"/>
        <w:keepNext/>
        <w:jc w:val="center"/>
      </w:pPr>
      <w:r>
        <w:rPr>
          <w:b/>
          <w:bCs/>
        </w:rPr>
        <w:t xml:space="preserve">Table 17. Chapter reference.</w:t>
      </w:r>
    </w:p>
    <w:tbl>
      <w:tblPr>
        <w:tblStyle w:val="Table"/>
        <w:tblW w:type="auto" w:w="0"/>
        <w:jc w:val="center"/>
        <w:tblLayout w:type="autofit"/>
        <w:tblLook w:firstRow="1" w:lastRow="0" w:firstColumn="0" w:lastColumn="0" w:noHBand="0" w:noVBand="0" w:val="0020"/>
      </w:tblPr>
      <w:tblGrid>
        <w:gridCol w:w="2640"/>
        <w:gridCol w:w="2640"/>
        <w:gridCol w:w="2640"/>
      </w:tblGrid>
      <w:tr>
        <w:trPr>
          <w:tblHeader w:val="on"/>
          <w:tblHeader w:val="true"/>
          <w:cantSplit/>
        </w:trPr>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0A2342" w:val="clear"/>
          </w:tcPr>
          <w:p>
            <w:pPr>
              <w:pStyle w:val="Compact"/>
              <w:spacing w:before="30" w:after="30" w:line="240" w:lineRule="auto"/>
              <w:jc w:val="left"/>
            </w:pPr>
            <w:r>
              <w:rPr>
                <w:rFonts w:ascii="Noto Sans" w:hAnsi="Noto Sans" w:eastAsia="Noto Sans" w:cs="Noto Sans"/>
                <w:b/>
                <w:color w:val="FFFFFF"/>
                <w:sz w:val="16"/>
              </w:rPr>
              <w:t xml:space="preserve">Quantity</w:t>
            </w:r>
          </w:p>
        </w:tc>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0A2342" w:val="clear"/>
          </w:tcPr>
          <w:p>
            <w:pPr>
              <w:pStyle w:val="Compact"/>
              <w:spacing w:before="30" w:after="30" w:line="240" w:lineRule="auto"/>
              <w:jc w:val="left"/>
            </w:pPr>
            <w:r>
              <w:rPr>
                <w:rFonts w:ascii="Noto Sans" w:hAnsi="Noto Sans" w:eastAsia="Noto Sans" w:cs="Noto Sans"/>
                <w:b/>
                <w:color w:val="FFFFFF"/>
                <w:sz w:val="16"/>
              </w:rPr>
              <w:t xml:space="preserve">Formula or rule</w:t>
            </w:r>
          </w:p>
        </w:tc>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0A2342" w:val="clear"/>
          </w:tcPr>
          <w:p>
            <w:pPr>
              <w:pStyle w:val="Compact"/>
              <w:spacing w:before="30" w:after="30" w:line="240" w:lineRule="auto"/>
              <w:jc w:val="left"/>
            </w:pPr>
            <w:r>
              <w:rPr>
                <w:rFonts w:ascii="Noto Sans" w:hAnsi="Noto Sans" w:eastAsia="Noto Sans" w:cs="Noto Sans"/>
                <w:b/>
                <w:color w:val="FFFFFF"/>
                <w:sz w:val="16"/>
              </w:rPr>
              <w:t xml:space="preserve">Aggregation</w:t>
            </w:r>
          </w:p>
        </w:tc>
      </w:tr>
      <w:tr>
        <w:trPr>
          <w:cantSplit/>
        </w:trPr>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EEF4F8" w:val="clear"/>
          </w:tcPr>
          <w:p>
            <w:pPr>
              <w:pStyle w:val="Compact"/>
              <w:spacing w:before="30" w:after="30" w:line="240" w:lineRule="auto"/>
              <w:jc w:val="left"/>
            </w:pPr>
            <w:r>
              <w:rPr>
                <w:rFonts w:ascii="Noto Sans" w:hAnsi="Noto Sans" w:eastAsia="Noto Sans" w:cs="Noto Sans"/>
                <w:b w:val="0"/>
                <w:color w:val="18212B"/>
                <w:sz w:val="16"/>
              </w:rPr>
              <w:t xml:space="preserve">price level</w:t>
            </w:r>
          </w:p>
        </w:tc>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EEF4F8" w:val="clear"/>
          </w:tcPr>
          <w:p>
            <w:pPr>
              <w:pStyle w:val="Compact"/>
              <w:spacing w:before="30" w:after="30" w:line="240" w:lineRule="auto"/>
              <w:jc w:val="left"/>
            </w:pPr>
            <w:r>
              <w:rPr>
                <w:rFonts w:ascii="Noto Sans" w:hAnsi="Noto Sans" w:eastAsia="Noto Sans" w:cs="Noto Sans"/>
                <w:b w:val="0"/>
                <w:color w:val="18212B"/>
                <w:sz w:val="16"/>
              </w:rPr>
              <w:t xml:space="preserve">P_t</w:t>
            </w:r>
          </w:p>
        </w:tc>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EEF4F8" w:val="clear"/>
          </w:tcPr>
          <w:p>
            <w:pPr>
              <w:pStyle w:val="Compact"/>
              <w:spacing w:before="30" w:after="30" w:line="240" w:lineRule="auto"/>
              <w:jc w:val="left"/>
            </w:pPr>
            <w:r>
              <w:rPr>
                <w:rFonts w:ascii="Noto Sans" w:hAnsi="Noto Sans" w:eastAsia="Noto Sans" w:cs="Noto Sans"/>
                <w:b w:val="0"/>
                <w:color w:val="18212B"/>
                <w:sz w:val="16"/>
              </w:rPr>
              <w:t xml:space="preserve">last or average, depending question</w:t>
            </w:r>
          </w:p>
        </w:tc>
      </w:tr>
      <w:tr>
        <w:trPr>
          <w:cantSplit/>
        </w:trPr>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FFFFFF" w:val="clear"/>
          </w:tcPr>
          <w:p>
            <w:pPr>
              <w:pStyle w:val="Compact"/>
              <w:spacing w:before="30" w:after="30" w:line="240" w:lineRule="auto"/>
              <w:jc w:val="left"/>
            </w:pPr>
            <w:r>
              <w:rPr>
                <w:rFonts w:ascii="Noto Sans" w:hAnsi="Noto Sans" w:eastAsia="Noto Sans" w:cs="Noto Sans"/>
                <w:b w:val="0"/>
                <w:color w:val="18212B"/>
                <w:sz w:val="16"/>
              </w:rPr>
              <w:t xml:space="preserve">simple return</w:t>
            </w:r>
          </w:p>
        </w:tc>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FFFFFF" w:val="clear"/>
          </w:tcPr>
          <w:p>
            <w:pPr>
              <w:pStyle w:val="Compact"/>
              <w:spacing w:before="30" w:after="30" w:line="240" w:lineRule="auto"/>
              <w:jc w:val="left"/>
            </w:pPr>
            <w:r>
              <w:rPr>
                <w:rFonts w:ascii="Noto Sans" w:hAnsi="Noto Sans" w:eastAsia="Noto Sans" w:cs="Noto Sans"/>
                <w:b w:val="0"/>
                <w:color w:val="18212B"/>
                <w:sz w:val="16"/>
              </w:rPr>
              <w:t xml:space="preserve">P_t/P_{t-1}-1</w:t>
            </w:r>
          </w:p>
        </w:tc>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FFFFFF" w:val="clear"/>
          </w:tcPr>
          <w:p>
            <w:pPr>
              <w:pStyle w:val="Compact"/>
              <w:spacing w:before="30" w:after="30" w:line="240" w:lineRule="auto"/>
              <w:jc w:val="left"/>
            </w:pPr>
            <w:r>
              <w:rPr>
                <w:rFonts w:ascii="Noto Sans" w:hAnsi="Noto Sans" w:eastAsia="Noto Sans" w:cs="Noto Sans"/>
                <w:b w:val="0"/>
                <w:color w:val="18212B"/>
                <w:sz w:val="16"/>
              </w:rPr>
              <w:t xml:space="preserve">compound geometrically</w:t>
            </w:r>
          </w:p>
        </w:tc>
      </w:tr>
      <w:tr>
        <w:trPr>
          <w:cantSplit/>
        </w:trPr>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EEF4F8" w:val="clear"/>
          </w:tcPr>
          <w:p>
            <w:pPr>
              <w:pStyle w:val="Compact"/>
              <w:spacing w:before="30" w:after="30" w:line="240" w:lineRule="auto"/>
              <w:jc w:val="left"/>
            </w:pPr>
            <w:r>
              <w:rPr>
                <w:rFonts w:ascii="Noto Sans" w:hAnsi="Noto Sans" w:eastAsia="Noto Sans" w:cs="Noto Sans"/>
                <w:b w:val="0"/>
                <w:color w:val="18212B"/>
                <w:sz w:val="16"/>
              </w:rPr>
              <w:t xml:space="preserve">log return</w:t>
            </w:r>
          </w:p>
        </w:tc>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EEF4F8" w:val="clear"/>
          </w:tcPr>
          <w:p>
            <w:pPr>
              <w:pStyle w:val="Compact"/>
              <w:spacing w:before="30" w:after="30" w:line="240" w:lineRule="auto"/>
              <w:jc w:val="left"/>
            </w:pPr>
            <w:r>
              <w:rPr>
                <w:rFonts w:ascii="Noto Sans" w:hAnsi="Noto Sans" w:eastAsia="Noto Sans" w:cs="Noto Sans"/>
                <w:b w:val="0"/>
                <w:color w:val="18212B"/>
                <w:sz w:val="16"/>
              </w:rPr>
              <w:t xml:space="preserve">log(P_t)-log(P_{t-1})</w:t>
            </w:r>
          </w:p>
        </w:tc>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EEF4F8" w:val="clear"/>
          </w:tcPr>
          <w:p>
            <w:pPr>
              <w:pStyle w:val="Compact"/>
              <w:spacing w:before="30" w:after="30" w:line="240" w:lineRule="auto"/>
              <w:jc w:val="left"/>
            </w:pPr>
            <w:r>
              <w:rPr>
                <w:rFonts w:ascii="Noto Sans" w:hAnsi="Noto Sans" w:eastAsia="Noto Sans" w:cs="Noto Sans"/>
                <w:b w:val="0"/>
                <w:color w:val="18212B"/>
                <w:sz w:val="16"/>
              </w:rPr>
              <w:t xml:space="preserve">sum</w:t>
            </w:r>
          </w:p>
        </w:tc>
      </w:tr>
      <w:tr>
        <w:trPr>
          <w:cantSplit/>
        </w:trPr>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FFFFFF" w:val="clear"/>
          </w:tcPr>
          <w:p>
            <w:pPr>
              <w:pStyle w:val="Compact"/>
              <w:spacing w:before="30" w:after="30" w:line="240" w:lineRule="auto"/>
              <w:jc w:val="left"/>
            </w:pPr>
            <w:r>
              <w:rPr>
                <w:rFonts w:ascii="Noto Sans" w:hAnsi="Noto Sans" w:eastAsia="Noto Sans" w:cs="Noto Sans"/>
                <w:b w:val="0"/>
                <w:color w:val="18212B"/>
                <w:sz w:val="16"/>
              </w:rPr>
              <w:t xml:space="preserve">volume</w:t>
            </w:r>
          </w:p>
        </w:tc>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FFFFFF" w:val="clear"/>
          </w:tcPr>
          <w:p>
            <w:pPr>
              <w:pStyle w:val="Compact"/>
              <w:spacing w:before="30" w:after="30" w:line="240" w:lineRule="auto"/>
              <w:jc w:val="left"/>
            </w:pPr>
            <w:r>
              <w:rPr>
                <w:rFonts w:ascii="Noto Sans" w:hAnsi="Noto Sans" w:eastAsia="Noto Sans" w:cs="Noto Sans"/>
                <w:b w:val="0"/>
                <w:color w:val="18212B"/>
                <w:sz w:val="16"/>
              </w:rPr>
              <w:t xml:space="preserve">count or quantity</w:t>
            </w:r>
          </w:p>
        </w:tc>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FFFFFF" w:val="clear"/>
          </w:tcPr>
          <w:p>
            <w:pPr>
              <w:pStyle w:val="Compact"/>
              <w:spacing w:before="30" w:after="30" w:line="240" w:lineRule="auto"/>
              <w:jc w:val="left"/>
            </w:pPr>
            <w:r>
              <w:rPr>
                <w:rFonts w:ascii="Noto Sans" w:hAnsi="Noto Sans" w:eastAsia="Noto Sans" w:cs="Noto Sans"/>
                <w:b w:val="0"/>
                <w:color w:val="18212B"/>
                <w:sz w:val="16"/>
              </w:rPr>
              <w:t xml:space="preserve">sum</w:t>
            </w:r>
          </w:p>
        </w:tc>
      </w:tr>
      <w:tr>
        <w:trPr>
          <w:cantSplit/>
        </w:trPr>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EEF4F8" w:val="clear"/>
          </w:tcPr>
          <w:p>
            <w:pPr>
              <w:pStyle w:val="Compact"/>
              <w:spacing w:before="30" w:after="30" w:line="240" w:lineRule="auto"/>
              <w:jc w:val="left"/>
            </w:pPr>
            <w:r>
              <w:rPr>
                <w:rFonts w:ascii="Noto Sans" w:hAnsi="Noto Sans" w:eastAsia="Noto Sans" w:cs="Noto Sans"/>
                <w:b w:val="0"/>
                <w:color w:val="18212B"/>
                <w:sz w:val="16"/>
              </w:rPr>
              <w:t xml:space="preserve">rate</w:t>
            </w:r>
          </w:p>
        </w:tc>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EEF4F8" w:val="clear"/>
          </w:tcPr>
          <w:p>
            <w:pPr>
              <w:pStyle w:val="Compact"/>
              <w:spacing w:before="30" w:after="30" w:line="240" w:lineRule="auto"/>
              <w:jc w:val="left"/>
            </w:pPr>
            <w:r>
              <w:rPr>
                <w:rFonts w:ascii="Noto Sans" w:hAnsi="Noto Sans" w:eastAsia="Noto Sans" w:cs="Noto Sans"/>
                <w:b w:val="0"/>
                <w:color w:val="18212B"/>
                <w:sz w:val="16"/>
              </w:rPr>
              <w:t xml:space="preserve">percentage level</w:t>
            </w:r>
          </w:p>
        </w:tc>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EEF4F8" w:val="clear"/>
          </w:tcPr>
          <w:p>
            <w:pPr>
              <w:pStyle w:val="Compact"/>
              <w:spacing w:before="30" w:after="30" w:line="240" w:lineRule="auto"/>
              <w:jc w:val="left"/>
            </w:pPr>
            <w:r>
              <w:rPr>
                <w:rFonts w:ascii="Noto Sans" w:hAnsi="Noto Sans" w:eastAsia="Noto Sans" w:cs="Noto Sans"/>
                <w:b w:val="0"/>
                <w:color w:val="18212B"/>
                <w:sz w:val="16"/>
              </w:rPr>
              <w:t xml:space="preserve">average or period end</w:t>
            </w:r>
          </w:p>
        </w:tc>
      </w:tr>
    </w:tbl>
    <w:p>
      <w:pPr>
        <w:pStyle w:val="BlockText"/>
        <w:shd w:fill="EAF7F5" w:val="clear"/>
        <w:pBdr>
          <w:left w:val="single" w:sz="18" w:space="8" w:color="008F87"/>
        </w:pBdr>
      </w:pPr>
      <w:r>
        <w:rPr>
          <w:b/>
          <w:bCs/>
        </w:rPr>
        <w:t xml:space="preserve">Why This Matters</w:t>
      </w:r>
    </w:p>
    <w:p>
      <w:pPr>
        <w:pStyle w:val="BlockText"/>
        <w:shd w:fill="EAF7F5" w:val="clear"/>
        <w:pBdr>
          <w:left w:val="single" w:sz="18" w:space="8" w:color="008F87"/>
        </w:pBdr>
      </w:pPr>
      <w:r>
        <w:t xml:space="preserve">Time-series transformations determine what a model is trying to explain or forecast.</w:t>
      </w:r>
    </w:p>
    <w:p>
      <w:pPr>
        <w:pStyle w:val="BlockText"/>
        <w:shd w:fill="EAF7F5" w:val="clear"/>
        <w:pBdr>
          <w:left w:val="single" w:sz="18" w:space="8" w:color="008F87"/>
        </w:pBdr>
      </w:pPr>
      <w:r>
        <w:rPr>
          <w:b/>
          <w:bCs/>
        </w:rPr>
        <w:t xml:space="preserve">Common Mistake</w:t>
      </w:r>
    </w:p>
    <w:p>
      <w:pPr>
        <w:pStyle w:val="BlockText"/>
        <w:shd w:fill="EAF7F5" w:val="clear"/>
        <w:pBdr>
          <w:left w:val="single" w:sz="18" w:space="8" w:color="008F87"/>
        </w:pBdr>
      </w:pPr>
      <w:r>
        <w:t xml:space="preserve">Averaging daily returns to obtain a monthly return. Compounding or summing log returns is the coherent aggregation.</w:t>
      </w:r>
    </w:p>
    <w:p>
      <w:pPr>
        <w:pStyle w:val="BlockText"/>
        <w:shd w:fill="EAF7F5" w:val="clear"/>
        <w:pBdr>
          <w:left w:val="single" w:sz="18" w:space="8" w:color="008F87"/>
        </w:pBdr>
      </w:pPr>
      <w:r>
        <w:rPr>
          <w:b/>
          <w:bCs/>
        </w:rPr>
        <w:t xml:space="preserve">Ceteris LAB Tip</w:t>
      </w:r>
    </w:p>
    <w:p>
      <w:pPr>
        <w:pStyle w:val="BlockText"/>
        <w:shd w:fill="EAF7F5" w:val="clear"/>
        <w:pBdr>
          <w:left w:val="single" w:sz="18" w:space="8" w:color="008F87"/>
        </w:pBdr>
      </w:pPr>
      <w:r>
        <w:t xml:space="preserve">Write the frequency and transformation directly in the variable name or metadata, such as</w:t>
      </w:r>
      <w:r>
        <w:t xml:space="preserve"> </w:t>
      </w:r>
      <w:r>
        <w:rPr>
          <w:rStyle w:val="VerbatimChar"/>
        </w:rPr>
        <w:t xml:space="preserve">cpi_yoy_pct</w:t>
      </w:r>
      <w:r>
        <w:t xml:space="preserve">.</w:t>
      </w:r>
    </w:p>
    <w:p>
      <w:pPr>
        <w:pStyle w:val="BlockText"/>
        <w:shd w:fill="EAF7F5" w:val="clear"/>
        <w:pBdr>
          <w:left w:val="single" w:sz="18" w:space="8" w:color="008F87"/>
        </w:pBdr>
      </w:pPr>
      <w:r>
        <w:rPr>
          <w:b/>
          <w:bCs/>
        </w:rPr>
        <w:t xml:space="preserve">R-to-Python / Source Bridge</w:t>
      </w:r>
    </w:p>
    <w:p>
      <w:pPr>
        <w:pStyle w:val="BlockText"/>
        <w:shd w:fill="EAF7F5" w:val="clear"/>
        <w:pBdr>
          <w:left w:val="single" w:sz="18" w:space="8" w:color="008F87"/>
        </w:pBdr>
      </w:pPr>
      <w:r>
        <w:t xml:space="preserve">The first financial time-series lecture introduced prices, returns, exchange rates, interest rates, earnings, claims, and transactions. This chapter modernizes those examples with pandas time indexes and explicit aggregation</w:t>
      </w:r>
      <w:r>
        <w:t xml:space="preserve"> </w:t>
      </w:r>
      <w:r>
        <w:t xml:space="preserve">(Tsay 2013)</w:t>
      </w:r>
      <w:r>
        <w:t xml:space="preserve">.</w:t>
      </w:r>
    </w:p>
    <w:bookmarkEnd w:id="336"/>
    <w:bookmarkStart w:id="337" w:name="guided-practice-16"/>
    <w:p>
      <w:pPr>
        <w:pStyle w:val="Heading2"/>
        <w:keepNext/>
      </w:pPr>
      <w:r>
        <w:t>36.9</w:t>
        <w:tab/>
        <w:t>Guided practice</w:t>
      </w:r>
    </w:p>
    <w:p>
      <w:pPr>
        <w:pStyle w:val="Compact"/>
        <w:numPr>
          <w:ilvl w:val="0"/>
          <w:numId w:val="1068"/>
        </w:numPr>
      </w:pPr>
      <w:r>
        <w:t xml:space="preserve">Re-run Demonstration 17.1 and change one input while keeping the analytical question fixed.</w:t>
      </w:r>
    </w:p>
    <w:p>
      <w:pPr>
        <w:pStyle w:val="Compact"/>
        <w:numPr>
          <w:ilvl w:val="0"/>
          <w:numId w:val="1068"/>
        </w:numPr>
      </w:pPr>
      <w:r>
        <w:t xml:space="preserve">Explain in two sentences how the output supports, or fails to support, the chapter opening question.</w:t>
      </w:r>
    </w:p>
    <w:p>
      <w:pPr>
        <w:pStyle w:val="Compact"/>
        <w:numPr>
          <w:ilvl w:val="0"/>
          <w:numId w:val="1068"/>
        </w:numPr>
      </w:pPr>
      <w:r>
        <w:t xml:space="preserve">Add one validation check that would prevent a plausible error.</w:t>
      </w:r>
    </w:p>
    <w:bookmarkEnd w:id="337"/>
    <w:bookmarkStart w:id="338" w:name="exercises-16"/>
    <w:p>
      <w:pPr>
        <w:pStyle w:val="Heading2"/>
        <w:keepNext/>
      </w:pPr>
      <w:r>
        <w:t>36.10</w:t>
        <w:tab/>
        <w:t>Exercises</w:t>
      </w:r>
    </w:p>
    <w:p>
      <w:pPr>
        <w:pStyle w:val="Compact"/>
        <w:numPr>
          <w:ilvl w:val="0"/>
          <w:numId w:val="1069"/>
        </w:numPr>
      </w:pPr>
      <w:r>
        <w:t xml:space="preserve">Calculate simple and log returns for a price series.</w:t>
      </w:r>
    </w:p>
    <w:p>
      <w:pPr>
        <w:pStyle w:val="Compact"/>
        <w:numPr>
          <w:ilvl w:val="0"/>
          <w:numId w:val="1069"/>
        </w:numPr>
      </w:pPr>
      <w:r>
        <w:t xml:space="preserve">Verify that summed log returns equal the total log return.</w:t>
      </w:r>
    </w:p>
    <w:p>
      <w:pPr>
        <w:pStyle w:val="Compact"/>
        <w:numPr>
          <w:ilvl w:val="0"/>
          <w:numId w:val="1069"/>
        </w:numPr>
      </w:pPr>
      <w:r>
        <w:t xml:space="preserve">Resample daily volume to monthly totals.</w:t>
      </w:r>
    </w:p>
    <w:p>
      <w:pPr>
        <w:pStyle w:val="Compact"/>
        <w:numPr>
          <w:ilvl w:val="0"/>
          <w:numId w:val="1069"/>
        </w:numPr>
      </w:pPr>
      <w:r>
        <w:t xml:space="preserve">Explain how a missing trading day differs from a missing quote.</w:t>
      </w:r>
    </w:p>
    <w:bookmarkEnd w:id="338"/>
    <w:bookmarkStart w:id="339" w:name="chapter-summary-16"/>
    <w:p>
      <w:pPr>
        <w:pStyle w:val="Heading2"/>
        <w:keepNext/>
      </w:pPr>
      <w:r>
        <w:t>36.11</w:t>
        <w:tab/>
        <w:t>Chapter summary</w:t>
      </w:r>
    </w:p>
    <w:p>
      <w:pPr>
        <w:pStyle w:val="Compact"/>
        <w:numPr>
          <w:ilvl w:val="0"/>
          <w:numId w:val="1070"/>
        </w:numPr>
      </w:pPr>
      <w:r>
        <w:t xml:space="preserve">Time order and frequency are analytical structure.</w:t>
      </w:r>
    </w:p>
    <w:p>
      <w:pPr>
        <w:pStyle w:val="Compact"/>
        <w:numPr>
          <w:ilvl w:val="0"/>
          <w:numId w:val="1070"/>
        </w:numPr>
      </w:pPr>
      <w:r>
        <w:t xml:space="preserve">Levels, changes, simple returns, and log returns serve different purposes.</w:t>
      </w:r>
    </w:p>
    <w:p>
      <w:pPr>
        <w:pStyle w:val="Compact"/>
        <w:numPr>
          <w:ilvl w:val="0"/>
          <w:numId w:val="1070"/>
        </w:numPr>
      </w:pPr>
      <w:r>
        <w:t xml:space="preserve">Aggregation rules depend on whether a variable is a stock, flow, rate, or return.</w:t>
      </w:r>
    </w:p>
    <w:bookmarkEnd w:id="339"/>
    <w:bookmarkStart w:id="340" w:name="key-python-commands-16"/>
    <w:p>
      <w:pPr>
        <w:pStyle w:val="Heading2"/>
        <w:keepNext/>
      </w:pPr>
      <w:r>
        <w:t>36.12</w:t>
        <w:tab/>
        <w:t>Key Python commands</w:t>
      </w:r>
    </w:p>
    <w:p>
      <w:pPr>
        <w:pStyle w:val="SourceCode"/>
        <w:keepLines/>
        <w:shd w:fill="F6F8FA" w:val="clear"/>
      </w:pPr>
      <w:r>
        <w:rPr>
          <w:rStyle w:val="ImportTok"/>
        </w:rPr>
        <w:t xml:space="preserve">import</w:t>
      </w:r>
      <w:r>
        <w:rPr>
          <w:rStyle w:val="NormalTok"/>
        </w:rPr>
        <w:t xml:space="preserve"> numpy </w:t>
      </w:r>
      <w:r>
        <w:rPr>
          <w:rStyle w:val="ImportTok"/>
        </w:rPr>
        <w:t xml:space="preserve">as</w:t>
      </w:r>
      <w:r>
        <w:rPr>
          <w:rStyle w:val="NormalTok"/>
        </w:rPr>
        <w:t xml:space="preserve"> np</w:t>
      </w:r>
      <w:r>
        <w:br/>
      </w:r>
      <w:r>
        <w:rPr>
          <w:rStyle w:val="ImportTok"/>
        </w:rPr>
        <w:t xml:space="preserve">import</w:t>
      </w:r>
      <w:r>
        <w:rPr>
          <w:rStyle w:val="NormalTok"/>
        </w:rPr>
        <w:t xml:space="preserve"> pandas </w:t>
      </w:r>
      <w:r>
        <w:rPr>
          <w:rStyle w:val="ImportTok"/>
        </w:rPr>
        <w:t xml:space="preserve">as</w:t>
      </w:r>
      <w:r>
        <w:rPr>
          <w:rStyle w:val="NormalTok"/>
        </w:rPr>
        <w:t xml:space="preserve"> pd</w:t>
      </w:r>
      <w:r>
        <w:br/>
      </w:r>
      <w:r>
        <w:rPr>
          <w:rStyle w:val="NormalTok"/>
        </w:rPr>
        <w:t xml:space="preserve">simple </w:t>
      </w:r>
      <w:r>
        <w:rPr>
          <w:rStyle w:val="OperatorTok"/>
        </w:rPr>
        <w:t xml:space="preserve">=</w:t>
      </w:r>
      <w:r>
        <w:rPr>
          <w:rStyle w:val="NormalTok"/>
        </w:rPr>
        <w:t xml:space="preserve"> prices.pct_change()</w:t>
      </w:r>
      <w:r>
        <w:br/>
      </w:r>
      <w:r>
        <w:rPr>
          <w:rStyle w:val="NormalTok"/>
        </w:rPr>
        <w:t xml:space="preserve">log_return </w:t>
      </w:r>
      <w:r>
        <w:rPr>
          <w:rStyle w:val="OperatorTok"/>
        </w:rPr>
        <w:t xml:space="preserve">=</w:t>
      </w:r>
      <w:r>
        <w:rPr>
          <w:rStyle w:val="NormalTok"/>
        </w:rPr>
        <w:t xml:space="preserve"> np.log(prices).diff()</w:t>
      </w:r>
      <w:r>
        <w:br/>
      </w:r>
      <w:r>
        <w:rPr>
          <w:rStyle w:val="BuiltInTok"/>
        </w:rPr>
        <w:t xml:space="preserve">print</w:t>
      </w:r>
      <w:r>
        <w:rPr>
          <w:rStyle w:val="NormalTok"/>
        </w:rPr>
        <w:t xml:space="preserve">(simple.dropna().</w:t>
      </w:r>
      <w:r>
        <w:rPr>
          <w:rStyle w:val="BuiltInTok"/>
        </w:rPr>
        <w:t xml:space="preserve">round</w:t>
      </w:r>
      <w:r>
        <w:rPr>
          <w:rStyle w:val="NormalTok"/>
        </w:rPr>
        <w:t xml:space="preserve">(</w:t>
      </w:r>
      <w:r>
        <w:rPr>
          <w:rStyle w:val="DecValTok"/>
        </w:rPr>
        <w:t xml:space="preserve">4</w:t>
      </w:r>
      <w:r>
        <w:rPr>
          <w:rStyle w:val="NormalTok"/>
        </w:rPr>
        <w:t xml:space="preserve">).tolist())</w:t>
      </w:r>
      <w:r>
        <w:br/>
      </w:r>
      <w:r>
        <w:rPr>
          <w:rStyle w:val="BuiltInTok"/>
        </w:rPr>
        <w:t xml:space="preserve">print</w:t>
      </w:r>
      <w:r>
        <w:rPr>
          <w:rStyle w:val="NormalTok"/>
        </w:rPr>
        <w:t xml:space="preserve">(log_return.dropna().</w:t>
      </w:r>
      <w:r>
        <w:rPr>
          <w:rStyle w:val="BuiltInTok"/>
        </w:rPr>
        <w:t xml:space="preserve">round</w:t>
      </w:r>
      <w:r>
        <w:rPr>
          <w:rStyle w:val="NormalTok"/>
        </w:rPr>
        <w:t xml:space="preserve">(</w:t>
      </w:r>
      <w:r>
        <w:rPr>
          <w:rStyle w:val="DecValTok"/>
        </w:rPr>
        <w:t xml:space="preserve">4</w:t>
      </w:r>
      <w:r>
        <w:rPr>
          <w:rStyle w:val="NormalTok"/>
        </w:rPr>
        <w:t xml:space="preserve">).tolist())</w:t>
      </w:r>
    </w:p>
    <w:bookmarkEnd w:id="340"/>
    <w:bookmarkEnd w:id="341"/>
    <w:bookmarkStart w:id="362" w:name="dependence-stationarity-and-white-noise"/>
    <w:p>
      <w:pPr>
        <w:pStyle w:val="Heading1"/>
        <w:keepNext/>
        <w:pageBreakBefore/>
      </w:pPr>
      <w:r>
        <w:t>37</w:t>
        <w:tab/>
        <w:t>Dependence, Stationarity, and White Noise</w:t>
      </w:r>
    </w:p>
    <w:p>
      <w:pPr>
        <w:pStyle w:val="FirstParagraph"/>
      </w:pPr>
      <w:r>
        <w:rPr>
          <w:i/>
          <w:iCs/>
        </w:rPr>
        <w:t xml:space="preserve">Opening question:</w:t>
      </w:r>
      <w:r>
        <w:t xml:space="preserve"> </w:t>
      </w:r>
      <w:r>
        <w:rPr>
          <w:b/>
          <w:bCs/>
        </w:rPr>
        <w:t xml:space="preserve">How can we tell whether a time series contains predictable linear structure rather than random fluctuation?</w:t>
      </w:r>
    </w:p>
    <w:bookmarkStart w:id="342" w:name="learning-objectives-17"/>
    <w:p>
      <w:pPr>
        <w:pStyle w:val="Heading2"/>
        <w:keepNext/>
      </w:pPr>
      <w:r>
        <w:t>37.1</w:t>
        <w:tab/>
        <w:t>Learning objectives</w:t>
      </w:r>
    </w:p>
    <w:p>
      <w:pPr>
        <w:pStyle w:val="Compact"/>
        <w:numPr>
          <w:ilvl w:val="0"/>
          <w:numId w:val="1071"/>
        </w:numPr>
      </w:pPr>
      <w:r>
        <w:t xml:space="preserve">Define weak stationarity and white noise.</w:t>
      </w:r>
    </w:p>
    <w:p>
      <w:pPr>
        <w:pStyle w:val="Compact"/>
        <w:numPr>
          <w:ilvl w:val="0"/>
          <w:numId w:val="1071"/>
        </w:numPr>
      </w:pPr>
      <w:r>
        <w:t xml:space="preserve">Compute and interpret ACF and PACF.</w:t>
      </w:r>
    </w:p>
    <w:p>
      <w:pPr>
        <w:pStyle w:val="Compact"/>
        <w:numPr>
          <w:ilvl w:val="0"/>
          <w:numId w:val="1071"/>
        </w:numPr>
      </w:pPr>
      <w:r>
        <w:t xml:space="preserve">Apply Ljung-Box and unit-root diagnostics.</w:t>
      </w:r>
    </w:p>
    <w:p>
      <w:pPr>
        <w:pStyle w:val="Compact"/>
        <w:numPr>
          <w:ilvl w:val="0"/>
          <w:numId w:val="1071"/>
        </w:numPr>
      </w:pPr>
      <w:r>
        <w:t xml:space="preserve">Recognize volatility clustering and nonlinear dependence.</w:t>
      </w:r>
    </w:p>
    <w:p>
      <w:pPr>
        <w:pStyle w:val="FirstParagraph"/>
      </w:pPr>
      <w:r>
        <w:rPr>
          <w:b/>
          <w:bCs/>
        </w:rPr>
        <w:t xml:space="preserve">Prerequisites:</w:t>
      </w:r>
      <w:r>
        <w:t xml:space="preserve"> </w:t>
      </w:r>
      <w:r>
        <w:t xml:space="preserve">Chapter 17 and basic probability.</w:t>
      </w:r>
    </w:p>
    <w:p>
      <w:pPr>
        <w:pStyle w:val="BodyText"/>
      </w:pPr>
      <w:r>
        <w:rPr>
          <w:b/>
          <w:bCs/>
        </w:rPr>
        <w:t xml:space="preserve">Key terms:</w:t>
      </w:r>
      <w:r>
        <w:t xml:space="preserve"> </w:t>
      </w:r>
      <w:r>
        <w:t xml:space="preserve">stationarity, white noise, autocorrelation, partial autocorrelation, Ljung-Box, volatility clustering.</w:t>
      </w:r>
    </w:p>
    <w:bookmarkEnd w:id="342"/>
    <w:bookmarkStart w:id="343" w:name="X7231da818e1518bd0616d8f1f07de61863938a4"/>
    <w:p>
      <w:pPr>
        <w:pStyle w:val="Heading2"/>
        <w:keepNext/>
      </w:pPr>
      <w:r>
        <w:t>37.2</w:t>
        <w:tab/>
        <w:t>Stationarity stabilizes the probabilistic frame</w:t>
      </w:r>
    </w:p>
    <w:p>
      <w:pPr>
        <w:pStyle w:val="FirstParagraph"/>
      </w:pPr>
      <w:r>
        <w:t xml:space="preserve">A weakly stationary series has a constant mean, constant finite variance, and autocovariances that depend on lag rather than calendar date. Stationarity does not mean that every segment looks identical or that shocks are small. It supplies a stable reference for estimating dependence and long-run variance. Prices often appear nonstationary, while returns are closer to stationary, although their conditional variance may still change over time.</w:t>
      </w:r>
    </w:p>
    <w:bookmarkEnd w:id="343"/>
    <w:bookmarkStart w:id="344" w:name="acf-and-pacf-are-diagnostic-fingerprints"/>
    <w:p>
      <w:pPr>
        <w:pStyle w:val="Heading2"/>
        <w:keepNext/>
      </w:pPr>
      <w:r>
        <w:t>37.3</w:t>
        <w:tab/>
        <w:t>ACF and PACF are diagnostic fingerprints</w:t>
      </w:r>
    </w:p>
    <w:p>
      <w:pPr>
        <w:pStyle w:val="FirstParagraph"/>
      </w:pPr>
      <w:r>
        <w:t xml:space="preserve">The autocorrelation function measures linear association between observations separated by each lag. The partial autocorrelation removes the linear contribution of shorter lags. Sample values fluctuate even under white noise, so isolated spikes should be interpreted with approximate uncertainty bands and domain context. ACF patterns guide model specification but should not replace estimation and residual checks.</w:t>
      </w:r>
    </w:p>
    <w:bookmarkEnd w:id="344"/>
    <w:bookmarkStart w:id="345" w:name="uncorrelated-does-not-mean-independent"/>
    <w:p>
      <w:pPr>
        <w:pStyle w:val="Heading2"/>
        <w:keepNext/>
      </w:pPr>
      <w:r>
        <w:t>37.4</w:t>
        <w:tab/>
        <w:t>Uncorrelated does not mean independent</w:t>
      </w:r>
    </w:p>
    <w:p>
      <w:pPr>
        <w:pStyle w:val="FirstParagraph"/>
      </w:pPr>
      <w:r>
        <w:t xml:space="preserve">Financial returns may show little autocorrelation while squared or absolute returns show strong persistence. The mean can therefore be difficult to predict even when volatility is predictable. Ljung-Box tests summarize groups of autocorrelations, but p-values depend on lag choice and model estimation. Diagnostics should be applied to raw series, residuals, and transformed residuals according to the model question.</w:t>
      </w:r>
    </w:p>
    <w:bookmarkEnd w:id="345"/>
    <w:bookmarkStart w:id="346" w:name="core-equations-5"/>
    <w:p>
      <w:pPr>
        <w:pStyle w:val="Heading2"/>
        <w:keepNext/>
      </w:pPr>
      <w:r>
        <w:t>37.5</w:t>
        <w:tab/>
        <w:t>Core equations</w:t>
      </w:r>
    </w:p>
    <w:p>
      <w:pPr>
        <w:pStyle w:val="FirstParagraph"/>
      </w:pPr>
      <w:r>
        <w:rPr>
          <w:b/>
          <w:bCs/>
        </w:rPr>
        <w:t xml:space="preserve">Autocorrelation</w:t>
      </w:r>
    </w:p>
    <w:p>
      <w:pPr>
        <w:pStyle w:val="BodyText"/>
      </w:pPr>
      <m:oMathPara>
        <m:oMathParaPr>
          <m:jc m:val="center"/>
        </m:oMathParaPr>
        <m:oMath>
          <m:sSub>
            <m:e>
              <m:r>
                <m:t>ρ</m:t>
              </m:r>
            </m:e>
            <m:sub>
              <m:r>
                <m:t>k</m:t>
              </m:r>
            </m:sub>
          </m:sSub>
          <m:r>
            <m:rPr>
              <m:sty m:val="p"/>
            </m:rPr>
            <m:t>=</m:t>
          </m:r>
          <m:f>
            <m:fPr>
              <m:type m:val="bar"/>
            </m:fPr>
            <m:num>
              <m:r>
                <m:rPr>
                  <m:sty m:val="p"/>
                </m:rPr>
                <m:t>C</m:t>
              </m:r>
              <m:r>
                <m:rPr>
                  <m:sty m:val="p"/>
                </m:rPr>
                <m:t>o</m:t>
              </m:r>
              <m:r>
                <m:rPr>
                  <m:sty m:val="p"/>
                </m:rPr>
                <m:t>v</m:t>
              </m:r>
              <m:d>
                <m:dPr>
                  <m:begChr m:val="("/>
                  <m:endChr m:val=")"/>
                  <m:sepChr m:val=""/>
                  <m:grow/>
                </m:dPr>
                <m:e>
                  <m:sSub>
                    <m:e>
                      <m:r>
                        <m:t>X</m:t>
                      </m:r>
                    </m:e>
                    <m:sub>
                      <m:r>
                        <m:t>t</m:t>
                      </m:r>
                    </m:sub>
                  </m:sSub>
                  <m:r>
                    <m:rPr>
                      <m:sty m:val="p"/>
                    </m:rPr>
                    <m:t>,</m:t>
                  </m:r>
                  <m:sSub>
                    <m:e>
                      <m:r>
                        <m:t>X</m:t>
                      </m:r>
                    </m:e>
                    <m:sub>
                      <m:r>
                        <m:t>t</m:t>
                      </m:r>
                      <m:r>
                        <m:rPr>
                          <m:sty m:val="p"/>
                        </m:rPr>
                        <m:t>−</m:t>
                      </m:r>
                      <m:r>
                        <m:t>k</m:t>
                      </m:r>
                    </m:sub>
                  </m:sSub>
                </m:e>
              </m:d>
            </m:num>
            <m:den>
              <m:r>
                <m:rPr>
                  <m:sty m:val="p"/>
                </m:rPr>
                <m:t>V</m:t>
              </m:r>
              <m:r>
                <m:rPr>
                  <m:sty m:val="p"/>
                </m:rPr>
                <m:t>a</m:t>
              </m:r>
              <m:r>
                <m:rPr>
                  <m:sty m:val="p"/>
                </m:rPr>
                <m:t>r</m:t>
              </m:r>
              <m:d>
                <m:dPr>
                  <m:begChr m:val="("/>
                  <m:endChr m:val=")"/>
                  <m:sepChr m:val=""/>
                  <m:grow/>
                </m:dPr>
                <m:e>
                  <m:sSub>
                    <m:e>
                      <m:r>
                        <m:t>X</m:t>
                      </m:r>
                    </m:e>
                    <m:sub>
                      <m:r>
                        <m:t>t</m:t>
                      </m:r>
                    </m:sub>
                  </m:sSub>
                </m:e>
              </m:d>
            </m:den>
          </m:f>
        </m:oMath>
      </m:oMathPara>
    </w:p>
    <w:p>
      <w:pPr>
        <w:pStyle w:val="FirstParagraph"/>
      </w:pPr>
      <w:r>
        <w:t xml:space="preserve">For a stationary series, the denominator is constant and dependence is indexed by lag k.</w:t>
      </w:r>
    </w:p>
    <w:bookmarkEnd w:id="346"/>
    <w:bookmarkStart w:id="349" w:name="python-demonstrations-17"/>
    <w:p>
      <w:pPr>
        <w:pStyle w:val="Heading2"/>
        <w:keepNext/>
      </w:pPr>
      <w:r>
        <w:t>37.6</w:t>
        <w:tab/>
        <w:t>Python demonstrations</w:t>
      </w:r>
    </w:p>
    <w:bookmarkStart w:id="347" w:name="demonstration-18.1-acf-and-ljung-box"/>
    <w:p>
      <w:pPr>
        <w:pStyle w:val="Heading3"/>
        <w:keepNext/>
      </w:pPr>
      <w:r>
        <w:t>37.6.1</w:t>
        <w:tab/>
        <w:t>Demonstration 18.1: ACF and Ljung-Box</w:t>
      </w:r>
    </w:p>
    <w:p>
      <w:pPr>
        <w:pStyle w:val="SourceCode"/>
        <w:shd w:fill="F6F8FA" w:val="clear"/>
      </w:pPr>
      <w:r>
        <w:rPr>
          <w:rStyle w:val="ImportTok"/>
        </w:rPr>
        <w:t xml:space="preserve">import</w:t>
      </w:r>
      <w:r>
        <w:rPr>
          <w:rStyle w:val="NormalTok"/>
        </w:rPr>
        <w:t xml:space="preserve"> numpy </w:t>
      </w:r>
      <w:r>
        <w:rPr>
          <w:rStyle w:val="ImportTok"/>
        </w:rPr>
        <w:t xml:space="preserve">as</w:t>
      </w:r>
      <w:r>
        <w:rPr>
          <w:rStyle w:val="NormalTok"/>
        </w:rPr>
        <w:t xml:space="preserve"> np</w:t>
      </w:r>
      <w:r>
        <w:br/>
      </w:r>
      <w:r>
        <w:rPr>
          <w:rStyle w:val="ImportTok"/>
        </w:rPr>
        <w:t xml:space="preserve">from</w:t>
      </w:r>
      <w:r>
        <w:rPr>
          <w:rStyle w:val="NormalTok"/>
        </w:rPr>
        <w:t xml:space="preserve"> statsmodels.stats.diagnostic </w:t>
      </w:r>
      <w:r>
        <w:rPr>
          <w:rStyle w:val="ImportTok"/>
        </w:rPr>
        <w:t xml:space="preserve">import</w:t>
      </w:r>
      <w:r>
        <w:rPr>
          <w:rStyle w:val="NormalTok"/>
        </w:rPr>
        <w:t xml:space="preserve"> acorr_ljungbox</w:t>
      </w:r>
      <w:r>
        <w:br/>
      </w:r>
      <w:r>
        <w:rPr>
          <w:rStyle w:val="ImportTok"/>
        </w:rPr>
        <w:t xml:space="preserve">from</w:t>
      </w:r>
      <w:r>
        <w:rPr>
          <w:rStyle w:val="NormalTok"/>
        </w:rPr>
        <w:t xml:space="preserve"> statsmodels.tsa.stattools </w:t>
      </w:r>
      <w:r>
        <w:rPr>
          <w:rStyle w:val="ImportTok"/>
        </w:rPr>
        <w:t xml:space="preserve">import</w:t>
      </w:r>
      <w:r>
        <w:rPr>
          <w:rStyle w:val="NormalTok"/>
        </w:rPr>
        <w:t xml:space="preserve"> acf</w:t>
      </w:r>
      <w:r>
        <w:br/>
      </w:r>
      <w:r>
        <w:br/>
      </w:r>
      <w:r>
        <w:rPr>
          <w:rStyle w:val="NormalTok"/>
        </w:rPr>
        <w:t xml:space="preserve">rng </w:t>
      </w:r>
      <w:r>
        <w:rPr>
          <w:rStyle w:val="OperatorTok"/>
        </w:rPr>
        <w:t xml:space="preserve">=</w:t>
      </w:r>
      <w:r>
        <w:rPr>
          <w:rStyle w:val="NormalTok"/>
        </w:rPr>
        <w:t xml:space="preserve"> np.random.default_rng(</w:t>
      </w:r>
      <w:r>
        <w:rPr>
          <w:rStyle w:val="DecValTok"/>
        </w:rPr>
        <w:t xml:space="preserve">18</w:t>
      </w:r>
      <w:r>
        <w:rPr>
          <w:rStyle w:val="NormalTok"/>
        </w:rPr>
        <w:t xml:space="preserve">)</w:t>
      </w:r>
      <w:r>
        <w:br/>
      </w:r>
      <w:r>
        <w:rPr>
          <w:rStyle w:val="NormalTok"/>
        </w:rPr>
        <w:t xml:space="preserve">x </w:t>
      </w:r>
      <w:r>
        <w:rPr>
          <w:rStyle w:val="OperatorTok"/>
        </w:rPr>
        <w:t xml:space="preserve">=</w:t>
      </w:r>
      <w:r>
        <w:rPr>
          <w:rStyle w:val="NormalTok"/>
        </w:rPr>
        <w:t xml:space="preserve"> rng.normal(size</w:t>
      </w:r>
      <w:r>
        <w:rPr>
          <w:rStyle w:val="OperatorTok"/>
        </w:rPr>
        <w:t xml:space="preserve">=</w:t>
      </w:r>
      <w:r>
        <w:rPr>
          <w:rStyle w:val="DecValTok"/>
        </w:rPr>
        <w:t xml:space="preserve">500</w:t>
      </w:r>
      <w:r>
        <w:rPr>
          <w:rStyle w:val="NormalTok"/>
        </w:rPr>
        <w:t xml:space="preserve">)</w:t>
      </w:r>
      <w:r>
        <w:br/>
      </w:r>
      <w:r>
        <w:rPr>
          <w:rStyle w:val="BuiltInTok"/>
        </w:rPr>
        <w:t xml:space="preserve">print</w:t>
      </w:r>
      <w:r>
        <w:rPr>
          <w:rStyle w:val="NormalTok"/>
        </w:rPr>
        <w:t xml:space="preserve">(np.</w:t>
      </w:r>
      <w:r>
        <w:rPr>
          <w:rStyle w:val="BuiltInTok"/>
        </w:rPr>
        <w:t xml:space="preserve">round</w:t>
      </w:r>
      <w:r>
        <w:rPr>
          <w:rStyle w:val="NormalTok"/>
        </w:rPr>
        <w:t xml:space="preserve">(acf(x, nlags</w:t>
      </w:r>
      <w:r>
        <w:rPr>
          <w:rStyle w:val="OperatorTok"/>
        </w:rPr>
        <w:t xml:space="preserve">=</w:t>
      </w:r>
      <w:r>
        <w:rPr>
          <w:rStyle w:val="DecValTok"/>
        </w:rPr>
        <w:t xml:space="preserve">3</w:t>
      </w:r>
      <w:r>
        <w:rPr>
          <w:rStyle w:val="NormalTok"/>
        </w:rPr>
        <w:t xml:space="preserve">, fft</w:t>
      </w:r>
      <w:r>
        <w:rPr>
          <w:rStyle w:val="OperatorTok"/>
        </w:rPr>
        <w:t xml:space="preserve">=</w:t>
      </w:r>
      <w:r>
        <w:rPr>
          <w:rStyle w:val="VariableTok"/>
        </w:rPr>
        <w:t xml:space="preserve">True</w:t>
      </w:r>
      <w:r>
        <w:rPr>
          <w:rStyle w:val="NormalTok"/>
        </w:rPr>
        <w:t xml:space="preserve">), </w:t>
      </w:r>
      <w:r>
        <w:rPr>
          <w:rStyle w:val="DecValTok"/>
        </w:rPr>
        <w:t xml:space="preserve">3</w:t>
      </w:r>
      <w:r>
        <w:rPr>
          <w:rStyle w:val="NormalTok"/>
        </w:rPr>
        <w:t xml:space="preserve">))</w:t>
      </w:r>
      <w:r>
        <w:br/>
      </w:r>
      <w:r>
        <w:rPr>
          <w:rStyle w:val="BuiltInTok"/>
        </w:rPr>
        <w:t xml:space="preserve">print</w:t>
      </w:r>
      <w:r>
        <w:rPr>
          <w:rStyle w:val="NormalTok"/>
        </w:rPr>
        <w:t xml:space="preserve">(</w:t>
      </w:r>
      <w:r>
        <w:rPr>
          <w:rStyle w:val="BuiltInTok"/>
        </w:rPr>
        <w:t xml:space="preserve">round</w:t>
      </w:r>
      <w:r>
        <w:rPr>
          <w:rStyle w:val="NormalTok"/>
        </w:rPr>
        <w:t xml:space="preserve">(acorr_ljungbox(x, lags</w:t>
      </w:r>
      <w:r>
        <w:rPr>
          <w:rStyle w:val="OperatorTok"/>
        </w:rPr>
        <w:t xml:space="preserve">=</w:t>
      </w:r>
      <w:r>
        <w:rPr>
          <w:rStyle w:val="NormalTok"/>
        </w:rPr>
        <w:t xml:space="preserve">[</w:t>
      </w:r>
      <w:r>
        <w:rPr>
          <w:rStyle w:val="DecValTok"/>
        </w:rPr>
        <w:t xml:space="preserve">10</w:t>
      </w:r>
      <w:r>
        <w:rPr>
          <w:rStyle w:val="NormalTok"/>
        </w:rPr>
        <w:t xml:space="preserve">], return_df</w:t>
      </w:r>
      <w:r>
        <w:rPr>
          <w:rStyle w:val="OperatorTok"/>
        </w:rPr>
        <w:t xml:space="preserve">=</w:t>
      </w:r>
      <w:r>
        <w:rPr>
          <w:rStyle w:val="VariableTok"/>
        </w:rPr>
        <w:t xml:space="preserve">True</w:t>
      </w:r>
      <w:r>
        <w:rPr>
          <w:rStyle w:val="NormalTok"/>
        </w:rPr>
        <w:t xml:space="preserve">)[</w:t>
      </w:r>
      <w:r>
        <w:rPr>
          <w:rStyle w:val="StringTok"/>
        </w:rPr>
        <w:t xml:space="preserve">"lb_pvalue"</w:t>
      </w:r>
      <w:r>
        <w:rPr>
          <w:rStyle w:val="NormalTok"/>
        </w:rPr>
        <w:t xml:space="preserve">].iloc[</w:t>
      </w:r>
      <w:r>
        <w:rPr>
          <w:rStyle w:val="DecValTok"/>
        </w:rPr>
        <w:t xml:space="preserve">0</w:t>
      </w:r>
      <w:r>
        <w:rPr>
          <w:rStyle w:val="NormalTok"/>
        </w:rPr>
        <w:t xml:space="preserve">], </w:t>
      </w:r>
      <w:r>
        <w:rPr>
          <w:rStyle w:val="DecValTok"/>
        </w:rPr>
        <w:t xml:space="preserve">3</w:t>
      </w:r>
      <w:r>
        <w:rPr>
          <w:rStyle w:val="NormalTok"/>
        </w:rPr>
        <w:t xml:space="preserve">))</w:t>
      </w:r>
    </w:p>
    <w:p>
      <w:pPr>
        <w:pStyle w:val="FirstParagraph"/>
      </w:pPr>
      <w:r>
        <w:rPr>
          <w:b/>
          <w:bCs/>
        </w:rPr>
        <w:t xml:space="preserve">Verified output</w:t>
      </w:r>
    </w:p>
    <w:p>
      <w:pPr>
        <w:pStyle w:val="SourceCode"/>
        <w:keepLines/>
        <w:shd w:fill="F6F8FA" w:val="clear"/>
      </w:pPr>
      <w:r>
        <w:rPr>
          <w:rStyle w:val="VerbatimChar"/>
        </w:rPr>
        <w:t xml:space="preserve">[1.    0.032 0.046 0.033]</w:t>
      </w:r>
      <w:r>
        <w:br/>
      </w:r>
      <w:r>
        <w:rPr>
          <w:rStyle w:val="VerbatimChar"/>
        </w:rPr>
        <w:t xml:space="preserve">0.844</w:t>
      </w:r>
    </w:p>
    <w:p>
      <w:pPr>
        <w:pStyle w:val="FirstParagraph"/>
      </w:pPr>
      <w:r>
        <w:rPr>
          <w:b/>
          <w:bCs/>
        </w:rPr>
        <w:t xml:space="preserve">Interpretation.</w:t>
      </w:r>
      <w:r>
        <w:t xml:space="preserve"> </w:t>
      </w:r>
      <w:r>
        <w:t xml:space="preserve">The simulated white-noise series has small sample autocorrelations and does not reject joint independence at lag 10 in this run.</w:t>
      </w:r>
    </w:p>
    <w:bookmarkEnd w:id="347"/>
    <w:bookmarkStart w:id="348" w:name="Xe18e162ad2041642b02d4feb89900ad0e905c83"/>
    <w:p>
      <w:pPr>
        <w:pStyle w:val="Heading3"/>
        <w:keepNext/>
      </w:pPr>
      <w:r>
        <w:t>37.6.2</w:t>
        <w:tab/>
        <w:t>Demonstration 18.2: Levels versus differences</w:t>
      </w:r>
    </w:p>
    <w:p>
      <w:pPr>
        <w:pStyle w:val="SourceCode"/>
        <w:shd w:fill="F6F8FA" w:val="clear"/>
      </w:pPr>
      <w:r>
        <w:rPr>
          <w:rStyle w:val="ImportTok"/>
        </w:rPr>
        <w:t xml:space="preserve">import</w:t>
      </w:r>
      <w:r>
        <w:rPr>
          <w:rStyle w:val="NormalTok"/>
        </w:rPr>
        <w:t xml:space="preserve"> numpy </w:t>
      </w:r>
      <w:r>
        <w:rPr>
          <w:rStyle w:val="ImportTok"/>
        </w:rPr>
        <w:t xml:space="preserve">as</w:t>
      </w:r>
      <w:r>
        <w:rPr>
          <w:rStyle w:val="NormalTok"/>
        </w:rPr>
        <w:t xml:space="preserve"> np</w:t>
      </w:r>
      <w:r>
        <w:br/>
      </w:r>
      <w:r>
        <w:rPr>
          <w:rStyle w:val="ImportTok"/>
        </w:rPr>
        <w:t xml:space="preserve">from</w:t>
      </w:r>
      <w:r>
        <w:rPr>
          <w:rStyle w:val="NormalTok"/>
        </w:rPr>
        <w:t xml:space="preserve"> statsmodels.tsa.stattools </w:t>
      </w:r>
      <w:r>
        <w:rPr>
          <w:rStyle w:val="ImportTok"/>
        </w:rPr>
        <w:t xml:space="preserve">import</w:t>
      </w:r>
      <w:r>
        <w:rPr>
          <w:rStyle w:val="NormalTok"/>
        </w:rPr>
        <w:t xml:space="preserve"> adfuller</w:t>
      </w:r>
      <w:r>
        <w:br/>
      </w:r>
      <w:r>
        <w:br/>
      </w:r>
      <w:r>
        <w:rPr>
          <w:rStyle w:val="NormalTok"/>
        </w:rPr>
        <w:t xml:space="preserve">rng </w:t>
      </w:r>
      <w:r>
        <w:rPr>
          <w:rStyle w:val="OperatorTok"/>
        </w:rPr>
        <w:t xml:space="preserve">=</w:t>
      </w:r>
      <w:r>
        <w:rPr>
          <w:rStyle w:val="NormalTok"/>
        </w:rPr>
        <w:t xml:space="preserve"> np.random.default_rng(</w:t>
      </w:r>
      <w:r>
        <w:rPr>
          <w:rStyle w:val="DecValTok"/>
        </w:rPr>
        <w:t xml:space="preserve">1818</w:t>
      </w:r>
      <w:r>
        <w:rPr>
          <w:rStyle w:val="NormalTok"/>
        </w:rPr>
        <w:t xml:space="preserve">)</w:t>
      </w:r>
      <w:r>
        <w:br/>
      </w:r>
      <w:r>
        <w:rPr>
          <w:rStyle w:val="NormalTok"/>
        </w:rPr>
        <w:t xml:space="preserve">level </w:t>
      </w:r>
      <w:r>
        <w:rPr>
          <w:rStyle w:val="OperatorTok"/>
        </w:rPr>
        <w:t xml:space="preserve">=</w:t>
      </w:r>
      <w:r>
        <w:rPr>
          <w:rStyle w:val="NormalTok"/>
        </w:rPr>
        <w:t xml:space="preserve"> np.cumsum(rng.normal(size</w:t>
      </w:r>
      <w:r>
        <w:rPr>
          <w:rStyle w:val="OperatorTok"/>
        </w:rPr>
        <w:t xml:space="preserve">=</w:t>
      </w:r>
      <w:r>
        <w:rPr>
          <w:rStyle w:val="DecValTok"/>
        </w:rPr>
        <w:t xml:space="preserve">600</w:t>
      </w:r>
      <w:r>
        <w:rPr>
          <w:rStyle w:val="NormalTok"/>
        </w:rPr>
        <w:t xml:space="preserve">))</w:t>
      </w:r>
      <w:r>
        <w:br/>
      </w:r>
      <w:r>
        <w:rPr>
          <w:rStyle w:val="NormalTok"/>
        </w:rPr>
        <w:t xml:space="preserve">difference </w:t>
      </w:r>
      <w:r>
        <w:rPr>
          <w:rStyle w:val="OperatorTok"/>
        </w:rPr>
        <w:t xml:space="preserve">=</w:t>
      </w:r>
      <w:r>
        <w:rPr>
          <w:rStyle w:val="NormalTok"/>
        </w:rPr>
        <w:t xml:space="preserve"> np.diff(level)</w:t>
      </w:r>
      <w:r>
        <w:br/>
      </w:r>
      <w:r>
        <w:rPr>
          <w:rStyle w:val="BuiltInTok"/>
        </w:rPr>
        <w:t xml:space="preserve">print</w:t>
      </w:r>
      <w:r>
        <w:rPr>
          <w:rStyle w:val="NormalTok"/>
        </w:rPr>
        <w:t xml:space="preserve">(</w:t>
      </w:r>
      <w:r>
        <w:rPr>
          <w:rStyle w:val="BuiltInTok"/>
        </w:rPr>
        <w:t xml:space="preserve">round</w:t>
      </w:r>
      <w:r>
        <w:rPr>
          <w:rStyle w:val="NormalTok"/>
        </w:rPr>
        <w:t xml:space="preserve">(adfuller(level, regression</w:t>
      </w:r>
      <w:r>
        <w:rPr>
          <w:rStyle w:val="OperatorTok"/>
        </w:rPr>
        <w:t xml:space="preserve">=</w:t>
      </w:r>
      <w:r>
        <w:rPr>
          <w:rStyle w:val="StringTok"/>
        </w:rPr>
        <w:t xml:space="preserve">"c"</w:t>
      </w:r>
      <w:r>
        <w:rPr>
          <w:rStyle w:val="NormalTok"/>
        </w:rPr>
        <w:t xml:space="preserve">)[</w:t>
      </w:r>
      <w:r>
        <w:rPr>
          <w:rStyle w:val="DecValTok"/>
        </w:rPr>
        <w:t xml:space="preserve">1</w:t>
      </w:r>
      <w:r>
        <w:rPr>
          <w:rStyle w:val="NormalTok"/>
        </w:rPr>
        <w:t xml:space="preserve">], </w:t>
      </w:r>
      <w:r>
        <w:rPr>
          <w:rStyle w:val="DecValTok"/>
        </w:rPr>
        <w:t xml:space="preserve">4</w:t>
      </w:r>
      <w:r>
        <w:rPr>
          <w:rStyle w:val="NormalTok"/>
        </w:rPr>
        <w:t xml:space="preserve">))</w:t>
      </w:r>
      <w:r>
        <w:br/>
      </w:r>
      <w:r>
        <w:rPr>
          <w:rStyle w:val="BuiltInTok"/>
        </w:rPr>
        <w:t xml:space="preserve">print</w:t>
      </w:r>
      <w:r>
        <w:rPr>
          <w:rStyle w:val="NormalTok"/>
        </w:rPr>
        <w:t xml:space="preserve">(</w:t>
      </w:r>
      <w:r>
        <w:rPr>
          <w:rStyle w:val="SpecialStringTok"/>
        </w:rPr>
        <w:t xml:space="preserve">f"</w:t>
      </w:r>
      <w:r>
        <w:rPr>
          <w:rStyle w:val="SpecialCharTok"/>
        </w:rPr>
        <w:t xml:space="preserve">{</w:t>
      </w:r>
      <w:r>
        <w:rPr>
          <w:rStyle w:val="NormalTok"/>
        </w:rPr>
        <w:t xml:space="preserve">adfuller(difference, regression</w:t>
      </w:r>
      <w:r>
        <w:rPr>
          <w:rStyle w:val="OperatorTok"/>
        </w:rPr>
        <w:t xml:space="preserve">=</w:t>
      </w:r>
      <w:r>
        <w:rPr>
          <w:rStyle w:val="StringTok"/>
        </w:rPr>
        <w:t xml:space="preserve">'c'</w:t>
      </w:r>
      <w:r>
        <w:rPr>
          <w:rStyle w:val="NormalTok"/>
        </w:rPr>
        <w:t xml:space="preserve">)[</w:t>
      </w:r>
      <w:r>
        <w:rPr>
          <w:rStyle w:val="DecValTok"/>
        </w:rPr>
        <w:t xml:space="preserve">1</w:t>
      </w:r>
      <w:r>
        <w:rPr>
          <w:rStyle w:val="NormalTok"/>
        </w:rPr>
        <w:t xml:space="preserve">]</w:t>
      </w:r>
      <w:r>
        <w:rPr>
          <w:rStyle w:val="SpecialCharTok"/>
        </w:rPr>
        <w:t xml:space="preserve">:.2e}</w:t>
      </w:r>
      <w:r>
        <w:rPr>
          <w:rStyle w:val="SpecialStringTok"/>
        </w:rPr>
        <w:t xml:space="preserve">"</w:t>
      </w:r>
      <w:r>
        <w:rPr>
          <w:rStyle w:val="NormalTok"/>
        </w:rPr>
        <w:t xml:space="preserve">)</w:t>
      </w:r>
    </w:p>
    <w:p>
      <w:pPr>
        <w:pStyle w:val="FirstParagraph"/>
      </w:pPr>
      <w:r>
        <w:rPr>
          <w:b/>
          <w:bCs/>
        </w:rPr>
        <w:t xml:space="preserve">Verified output</w:t>
      </w:r>
    </w:p>
    <w:p>
      <w:pPr>
        <w:pStyle w:val="SourceCode"/>
        <w:keepLines/>
        <w:shd w:fill="F6F8FA" w:val="clear"/>
      </w:pPr>
      <w:r>
        <w:rPr>
          <w:rStyle w:val="VerbatimChar"/>
        </w:rPr>
        <w:t xml:space="preserve">0.8381</w:t>
      </w:r>
      <w:r>
        <w:br/>
      </w:r>
      <w:r>
        <w:rPr>
          <w:rStyle w:val="VerbatimChar"/>
        </w:rPr>
        <w:t xml:space="preserve">0.00e+00</w:t>
      </w:r>
    </w:p>
    <w:p>
      <w:pPr>
        <w:pStyle w:val="FirstParagraph"/>
      </w:pPr>
      <w:r>
        <w:rPr>
          <w:b/>
          <w:bCs/>
        </w:rPr>
        <w:t xml:space="preserve">Interpretation.</w:t>
      </w:r>
      <w:r>
        <w:t xml:space="preserve"> </w:t>
      </w:r>
      <w:r>
        <w:t xml:space="preserve">The random-walk level is consistent with a unit root, while its first difference is strongly stationary in the ADF diagnostic.</w:t>
      </w:r>
    </w:p>
    <w:bookmarkEnd w:id="348"/>
    <w:bookmarkEnd w:id="349"/>
    <w:bookmarkStart w:id="356" w:name="visual-evidence-17"/>
    <w:p>
      <w:pPr>
        <w:pStyle w:val="Heading2"/>
        <w:keepNext/>
      </w:pPr>
      <w:r>
        <w:t>37.7</w:t>
        <w:tab/>
        <w:t>Visual evidence</w:t>
      </w:r>
    </w:p>
    <w:p>
      <w:pPr>
        <w:pStyle w:val="FirstParagraph"/>
      </w:pPr>
      <w:r>
        <w:drawing>
          <wp:inline>
            <wp:extent cx="4907280" cy="2038640"/>
            <wp:effectExtent b="0" l="0" r="0" t="0"/>
            <wp:docPr descr="Image: rId350.png" title="" id="351" name="Picture"/>
            <a:graphic>
              <a:graphicData uri="http://schemas.openxmlformats.org/drawingml/2006/picture">
                <pic:pic>
                  <pic:nvPicPr>
                    <pic:cNvPr descr="figures/fig_20_acf_pacf.png" id="352" name="Picture"/>
                    <pic:cNvPicPr>
                      <a:picLocks noChangeArrowheads="1" noChangeAspect="1"/>
                    </pic:cNvPicPr>
                  </pic:nvPicPr>
                  <pic:blipFill>
                    <a:blip r:embed="rId350"/>
                    <a:stretch>
                      <a:fillRect/>
                    </a:stretch>
                  </pic:blipFill>
                  <pic:spPr bwMode="auto">
                    <a:xfrm>
                      <a:off x="0" y="0"/>
                      <a:ext cx="4907280" cy="2038640"/>
                    </a:xfrm>
                    <a:prstGeom prst="rect">
                      <a:avLst/>
                    </a:prstGeom>
                    <a:noFill/>
                    <a:ln w="9525">
                      <a:noFill/>
                      <a:headEnd/>
                      <a:tailEnd/>
                    </a:ln>
                  </pic:spPr>
                </pic:pic>
              </a:graphicData>
            </a:graphic>
          </wp:inline>
        </w:drawing>
      </w:r>
    </w:p>
    <w:p>
      <w:pPr>
        <w:pStyle w:val="Caption"/>
        <w:keepNext w:val="0"/>
        <w:jc w:val="center"/>
      </w:pPr>
      <w:r>
        <w:rPr>
          <w:b/>
          <w:bCs/>
        </w:rPr>
        <w:t xml:space="preserve">Figure 20.</w:t>
      </w:r>
      <w:r>
        <w:t xml:space="preserve"> </w:t>
      </w:r>
      <w:r>
        <w:t xml:space="preserve">Autocorrelation and partial autocorrelation summarize lag dependence.</w:t>
      </w:r>
    </w:p>
    <w:p>
      <w:pPr>
        <w:pStyle w:val="BodyText"/>
      </w:pPr>
      <w:r>
        <w:drawing>
          <wp:inline>
            <wp:extent cx="4907280" cy="2038640"/>
            <wp:effectExtent b="0" l="0" r="0" t="0"/>
            <wp:docPr descr="Image: rId353.png" title="" id="354" name="Picture"/>
            <a:graphic>
              <a:graphicData uri="http://schemas.openxmlformats.org/drawingml/2006/picture">
                <pic:pic>
                  <pic:nvPicPr>
                    <pic:cNvPr descr="figures/fig_21_stationarity.png" id="355" name="Picture"/>
                    <pic:cNvPicPr>
                      <a:picLocks noChangeArrowheads="1" noChangeAspect="1"/>
                    </pic:cNvPicPr>
                  </pic:nvPicPr>
                  <pic:blipFill>
                    <a:blip r:embed="rId353"/>
                    <a:stretch>
                      <a:fillRect/>
                    </a:stretch>
                  </pic:blipFill>
                  <pic:spPr bwMode="auto">
                    <a:xfrm>
                      <a:off x="0" y="0"/>
                      <a:ext cx="4907280" cy="2038640"/>
                    </a:xfrm>
                    <a:prstGeom prst="rect">
                      <a:avLst/>
                    </a:prstGeom>
                    <a:noFill/>
                    <a:ln w="9525">
                      <a:noFill/>
                      <a:headEnd/>
                      <a:tailEnd/>
                    </a:ln>
                  </pic:spPr>
                </pic:pic>
              </a:graphicData>
            </a:graphic>
          </wp:inline>
        </w:drawing>
      </w:r>
    </w:p>
    <w:p>
      <w:pPr>
        <w:pStyle w:val="Caption"/>
        <w:keepNext w:val="0"/>
        <w:jc w:val="center"/>
      </w:pPr>
      <w:r>
        <w:rPr>
          <w:b/>
          <w:bCs/>
        </w:rPr>
        <w:t xml:space="preserve">Figure 21.</w:t>
      </w:r>
      <w:r>
        <w:t xml:space="preserve"> </w:t>
      </w:r>
      <w:r>
        <w:t xml:space="preserve">A stationary process fluctuates around a stable distribution; a random walk carries shocks forward.</w:t>
      </w:r>
    </w:p>
    <w:bookmarkEnd w:id="356"/>
    <w:bookmarkStart w:id="357" w:name="reference-table-17"/>
    <w:p>
      <w:pPr>
        <w:pStyle w:val="Heading2"/>
        <w:keepNext/>
      </w:pPr>
      <w:r>
        <w:t>37.8</w:t>
        <w:tab/>
        <w:t>Reference table</w:t>
      </w:r>
    </w:p>
    <w:p>
      <w:pPr>
        <w:pStyle w:val="Caption"/>
        <w:keepNext/>
        <w:jc w:val="center"/>
      </w:pPr>
      <w:r>
        <w:rPr>
          <w:b/>
          <w:bCs/>
        </w:rPr>
        <w:t xml:space="preserve">Table 18. Chapter reference.</w:t>
      </w:r>
    </w:p>
    <w:tbl>
      <w:tblPr>
        <w:tblStyle w:val="Table"/>
        <w:tblW w:type="pct" w:w="5000"/>
        <w:jc w:val="center"/>
        <w:tblLayout w:type="autofit"/>
        <w:tblLook w:firstRow="1" w:lastRow="0" w:firstColumn="0" w:lastColumn="0" w:noHBand="0" w:noVBand="0" w:val="0020"/>
      </w:tblPr>
      <w:tblGrid>
        <w:gridCol w:w="2640"/>
        <w:gridCol w:w="2640"/>
        <w:gridCol w:w="2640"/>
      </w:tblGrid>
      <w:tr>
        <w:trPr>
          <w:tblHeader w:val="on"/>
          <w:tblHeader w:val="true"/>
          <w:cantSplit/>
        </w:trPr>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0A2342" w:val="clear"/>
          </w:tcPr>
          <w:p>
            <w:pPr>
              <w:pStyle w:val="Compact"/>
              <w:spacing w:before="30" w:after="30" w:line="240" w:lineRule="auto"/>
              <w:jc w:val="left"/>
            </w:pPr>
            <w:r>
              <w:rPr>
                <w:rFonts w:ascii="Noto Sans" w:hAnsi="Noto Sans" w:eastAsia="Noto Sans" w:cs="Noto Sans"/>
                <w:b/>
                <w:color w:val="FFFFFF"/>
                <w:sz w:val="16"/>
              </w:rPr>
              <w:t xml:space="preserve">Diagnostic</w:t>
            </w:r>
          </w:p>
        </w:tc>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0A2342" w:val="clear"/>
          </w:tcPr>
          <w:p>
            <w:pPr>
              <w:pStyle w:val="Compact"/>
              <w:spacing w:before="30" w:after="30" w:line="240" w:lineRule="auto"/>
              <w:jc w:val="left"/>
            </w:pPr>
            <w:r>
              <w:rPr>
                <w:rFonts w:ascii="Noto Sans" w:hAnsi="Noto Sans" w:eastAsia="Noto Sans" w:cs="Noto Sans"/>
                <w:b/>
                <w:color w:val="FFFFFF"/>
                <w:sz w:val="16"/>
              </w:rPr>
              <w:t xml:space="preserve">Null idea</w:t>
            </w:r>
          </w:p>
        </w:tc>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0A2342" w:val="clear"/>
          </w:tcPr>
          <w:p>
            <w:pPr>
              <w:pStyle w:val="Compact"/>
              <w:spacing w:before="30" w:after="30" w:line="240" w:lineRule="auto"/>
              <w:jc w:val="left"/>
            </w:pPr>
            <w:r>
              <w:rPr>
                <w:rFonts w:ascii="Noto Sans" w:hAnsi="Noto Sans" w:eastAsia="Noto Sans" w:cs="Noto Sans"/>
                <w:b/>
                <w:color w:val="FFFFFF"/>
                <w:sz w:val="16"/>
              </w:rPr>
              <w:t xml:space="preserve">Use</w:t>
            </w:r>
          </w:p>
        </w:tc>
      </w:tr>
      <w:tr>
        <w:trPr>
          <w:cantSplit/>
        </w:trPr>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EEF4F8" w:val="clear"/>
          </w:tcPr>
          <w:p>
            <w:pPr>
              <w:pStyle w:val="Compact"/>
              <w:spacing w:before="30" w:after="30" w:line="240" w:lineRule="auto"/>
              <w:jc w:val="left"/>
            </w:pPr>
            <w:r>
              <w:rPr>
                <w:rFonts w:ascii="Noto Sans" w:hAnsi="Noto Sans" w:eastAsia="Noto Sans" w:cs="Noto Sans"/>
                <w:b w:val="0"/>
                <w:color w:val="18212B"/>
                <w:sz w:val="16"/>
              </w:rPr>
              <w:t xml:space="preserve">ACF</w:t>
            </w:r>
          </w:p>
        </w:tc>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EEF4F8" w:val="clear"/>
          </w:tcPr>
          <w:p>
            <w:pPr>
              <w:pStyle w:val="Compact"/>
              <w:spacing w:before="30" w:after="30" w:line="240" w:lineRule="auto"/>
              <w:jc w:val="left"/>
            </w:pPr>
            <w:r>
              <w:rPr>
                <w:rFonts w:ascii="Noto Sans" w:hAnsi="Noto Sans" w:eastAsia="Noto Sans" w:cs="Noto Sans"/>
                <w:b w:val="0"/>
                <w:color w:val="18212B"/>
                <w:sz w:val="16"/>
              </w:rPr>
              <w:t xml:space="preserve">individual lag correlation near zero</w:t>
            </w:r>
          </w:p>
        </w:tc>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EEF4F8" w:val="clear"/>
          </w:tcPr>
          <w:p>
            <w:pPr>
              <w:pStyle w:val="Compact"/>
              <w:spacing w:before="30" w:after="30" w:line="240" w:lineRule="auto"/>
              <w:jc w:val="left"/>
            </w:pPr>
            <w:r>
              <w:rPr>
                <w:rFonts w:ascii="Noto Sans" w:hAnsi="Noto Sans" w:eastAsia="Noto Sans" w:cs="Noto Sans"/>
                <w:b w:val="0"/>
                <w:color w:val="18212B"/>
                <w:sz w:val="16"/>
              </w:rPr>
              <w:t xml:space="preserve">pattern discovery</w:t>
            </w:r>
          </w:p>
        </w:tc>
      </w:tr>
      <w:tr>
        <w:trPr>
          <w:cantSplit/>
        </w:trPr>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FFFFFF" w:val="clear"/>
          </w:tcPr>
          <w:p>
            <w:pPr>
              <w:pStyle w:val="Compact"/>
              <w:spacing w:before="30" w:after="30" w:line="240" w:lineRule="auto"/>
              <w:jc w:val="left"/>
            </w:pPr>
            <w:r>
              <w:rPr>
                <w:rFonts w:ascii="Noto Sans" w:hAnsi="Noto Sans" w:eastAsia="Noto Sans" w:cs="Noto Sans"/>
                <w:b w:val="0"/>
                <w:color w:val="18212B"/>
                <w:sz w:val="16"/>
              </w:rPr>
              <w:t xml:space="preserve">PACF</w:t>
            </w:r>
          </w:p>
        </w:tc>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FFFFFF" w:val="clear"/>
          </w:tcPr>
          <w:p>
            <w:pPr>
              <w:pStyle w:val="Compact"/>
              <w:spacing w:before="30" w:after="30" w:line="240" w:lineRule="auto"/>
              <w:jc w:val="left"/>
            </w:pPr>
            <w:r>
              <w:rPr>
                <w:rFonts w:ascii="Noto Sans" w:hAnsi="Noto Sans" w:eastAsia="Noto Sans" w:cs="Noto Sans"/>
                <w:b w:val="0"/>
                <w:color w:val="18212B"/>
                <w:sz w:val="16"/>
              </w:rPr>
              <w:t xml:space="preserve">direct lag contribution near zero</w:t>
            </w:r>
          </w:p>
        </w:tc>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FFFFFF" w:val="clear"/>
          </w:tcPr>
          <w:p>
            <w:pPr>
              <w:pStyle w:val="Compact"/>
              <w:spacing w:before="30" w:after="30" w:line="240" w:lineRule="auto"/>
              <w:jc w:val="left"/>
            </w:pPr>
            <w:r>
              <w:rPr>
                <w:rFonts w:ascii="Noto Sans" w:hAnsi="Noto Sans" w:eastAsia="Noto Sans" w:cs="Noto Sans"/>
                <w:b w:val="0"/>
                <w:color w:val="18212B"/>
                <w:sz w:val="16"/>
              </w:rPr>
              <w:t xml:space="preserve">AR order guidance</w:t>
            </w:r>
          </w:p>
        </w:tc>
      </w:tr>
      <w:tr>
        <w:trPr>
          <w:cantSplit/>
        </w:trPr>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EEF4F8" w:val="clear"/>
          </w:tcPr>
          <w:p>
            <w:pPr>
              <w:pStyle w:val="Compact"/>
              <w:spacing w:before="30" w:after="30" w:line="240" w:lineRule="auto"/>
              <w:jc w:val="left"/>
            </w:pPr>
            <w:r>
              <w:rPr>
                <w:rFonts w:ascii="Noto Sans" w:hAnsi="Noto Sans" w:eastAsia="Noto Sans" w:cs="Noto Sans"/>
                <w:b w:val="0"/>
                <w:color w:val="18212B"/>
                <w:sz w:val="16"/>
              </w:rPr>
              <w:t xml:space="preserve">Ljung-Box</w:t>
            </w:r>
          </w:p>
        </w:tc>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EEF4F8" w:val="clear"/>
          </w:tcPr>
          <w:p>
            <w:pPr>
              <w:pStyle w:val="Compact"/>
              <w:spacing w:before="30" w:after="30" w:line="240" w:lineRule="auto"/>
              <w:jc w:val="left"/>
            </w:pPr>
            <w:r>
              <w:rPr>
                <w:rFonts w:ascii="Noto Sans" w:hAnsi="Noto Sans" w:eastAsia="Noto Sans" w:cs="Noto Sans"/>
                <w:b w:val="0"/>
                <w:color w:val="18212B"/>
                <w:sz w:val="16"/>
              </w:rPr>
              <w:t xml:space="preserve">joint zero autocorrelation through lag m</w:t>
            </w:r>
          </w:p>
        </w:tc>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EEF4F8" w:val="clear"/>
          </w:tcPr>
          <w:p>
            <w:pPr>
              <w:pStyle w:val="Compact"/>
              <w:spacing w:before="30" w:after="30" w:line="240" w:lineRule="auto"/>
              <w:jc w:val="left"/>
            </w:pPr>
            <w:r>
              <w:rPr>
                <w:rFonts w:ascii="Noto Sans" w:hAnsi="Noto Sans" w:eastAsia="Noto Sans" w:cs="Noto Sans"/>
                <w:b w:val="0"/>
                <w:color w:val="18212B"/>
                <w:sz w:val="16"/>
              </w:rPr>
              <w:t xml:space="preserve">residual adequacy</w:t>
            </w:r>
          </w:p>
        </w:tc>
      </w:tr>
      <w:tr>
        <w:trPr>
          <w:cantSplit/>
        </w:trPr>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FFFFFF" w:val="clear"/>
          </w:tcPr>
          <w:p>
            <w:pPr>
              <w:pStyle w:val="Compact"/>
              <w:spacing w:before="30" w:after="30" w:line="240" w:lineRule="auto"/>
              <w:jc w:val="left"/>
            </w:pPr>
            <w:r>
              <w:rPr>
                <w:rFonts w:ascii="Noto Sans" w:hAnsi="Noto Sans" w:eastAsia="Noto Sans" w:cs="Noto Sans"/>
                <w:b w:val="0"/>
                <w:color w:val="18212B"/>
                <w:sz w:val="16"/>
              </w:rPr>
              <w:t xml:space="preserve">ADF</w:t>
            </w:r>
          </w:p>
        </w:tc>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FFFFFF" w:val="clear"/>
          </w:tcPr>
          <w:p>
            <w:pPr>
              <w:pStyle w:val="Compact"/>
              <w:spacing w:before="30" w:after="30" w:line="240" w:lineRule="auto"/>
              <w:jc w:val="left"/>
            </w:pPr>
            <w:r>
              <w:rPr>
                <w:rFonts w:ascii="Noto Sans" w:hAnsi="Noto Sans" w:eastAsia="Noto Sans" w:cs="Noto Sans"/>
                <w:b w:val="0"/>
                <w:color w:val="18212B"/>
                <w:sz w:val="16"/>
              </w:rPr>
              <w:t xml:space="preserve">unit-root null</w:t>
            </w:r>
          </w:p>
        </w:tc>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FFFFFF" w:val="clear"/>
          </w:tcPr>
          <w:p>
            <w:pPr>
              <w:pStyle w:val="Compact"/>
              <w:spacing w:before="30" w:after="30" w:line="240" w:lineRule="auto"/>
              <w:jc w:val="left"/>
            </w:pPr>
            <w:r>
              <w:rPr>
                <w:rFonts w:ascii="Noto Sans" w:hAnsi="Noto Sans" w:eastAsia="Noto Sans" w:cs="Noto Sans"/>
                <w:b w:val="0"/>
                <w:color w:val="18212B"/>
                <w:sz w:val="16"/>
              </w:rPr>
              <w:t xml:space="preserve">nonstationarity diagnostic</w:t>
            </w:r>
          </w:p>
        </w:tc>
      </w:tr>
      <w:tr>
        <w:trPr>
          <w:cantSplit/>
        </w:trPr>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EEF4F8" w:val="clear"/>
          </w:tcPr>
          <w:p>
            <w:pPr>
              <w:pStyle w:val="Compact"/>
              <w:spacing w:before="30" w:after="30" w:line="240" w:lineRule="auto"/>
              <w:jc w:val="left"/>
            </w:pPr>
            <w:r>
              <w:rPr>
                <w:rFonts w:ascii="Noto Sans" w:hAnsi="Noto Sans" w:eastAsia="Noto Sans" w:cs="Noto Sans"/>
                <w:b w:val="0"/>
                <w:color w:val="18212B"/>
                <w:sz w:val="16"/>
              </w:rPr>
              <w:t xml:space="preserve">ACF of squared returns</w:t>
            </w:r>
          </w:p>
        </w:tc>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EEF4F8" w:val="clear"/>
          </w:tcPr>
          <w:p>
            <w:pPr>
              <w:pStyle w:val="Compact"/>
              <w:spacing w:before="30" w:after="30" w:line="240" w:lineRule="auto"/>
              <w:jc w:val="left"/>
            </w:pPr>
            <w:r>
              <w:rPr>
                <w:rFonts w:ascii="Noto Sans" w:hAnsi="Noto Sans" w:eastAsia="Noto Sans" w:cs="Noto Sans"/>
                <w:b w:val="0"/>
                <w:color w:val="18212B"/>
                <w:sz w:val="16"/>
              </w:rPr>
              <w:t xml:space="preserve">no linear volatility dependence</w:t>
            </w:r>
          </w:p>
        </w:tc>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EEF4F8" w:val="clear"/>
          </w:tcPr>
          <w:p>
            <w:pPr>
              <w:pStyle w:val="Compact"/>
              <w:spacing w:before="30" w:after="30" w:line="240" w:lineRule="auto"/>
              <w:jc w:val="left"/>
            </w:pPr>
            <w:r>
              <w:rPr>
                <w:rFonts w:ascii="Noto Sans" w:hAnsi="Noto Sans" w:eastAsia="Noto Sans" w:cs="Noto Sans"/>
                <w:b w:val="0"/>
                <w:color w:val="18212B"/>
                <w:sz w:val="16"/>
              </w:rPr>
              <w:t xml:space="preserve">ARCH screening</w:t>
            </w:r>
          </w:p>
        </w:tc>
      </w:tr>
    </w:tbl>
    <w:p>
      <w:pPr>
        <w:pStyle w:val="BlockText"/>
        <w:shd w:fill="EAF7F5" w:val="clear"/>
        <w:pBdr>
          <w:left w:val="single" w:sz="18" w:space="8" w:color="008F87"/>
        </w:pBdr>
      </w:pPr>
      <w:r>
        <w:rPr>
          <w:b/>
          <w:bCs/>
        </w:rPr>
        <w:t xml:space="preserve">Why This Matters</w:t>
      </w:r>
    </w:p>
    <w:p>
      <w:pPr>
        <w:pStyle w:val="BlockText"/>
        <w:shd w:fill="EAF7F5" w:val="clear"/>
        <w:pBdr>
          <w:left w:val="single" w:sz="18" w:space="8" w:color="008F87"/>
        </w:pBdr>
      </w:pPr>
      <w:r>
        <w:t xml:space="preserve">Dependence diagnostics tell us whether a model has left systematic temporal structure unexplained.</w:t>
      </w:r>
    </w:p>
    <w:p>
      <w:pPr>
        <w:pStyle w:val="BlockText"/>
        <w:shd w:fill="EAF7F5" w:val="clear"/>
        <w:pBdr>
          <w:left w:val="single" w:sz="18" w:space="8" w:color="008F87"/>
        </w:pBdr>
      </w:pPr>
      <w:r>
        <w:rPr>
          <w:b/>
          <w:bCs/>
        </w:rPr>
        <w:t xml:space="preserve">Common Mistake</w:t>
      </w:r>
    </w:p>
    <w:p>
      <w:pPr>
        <w:pStyle w:val="BlockText"/>
        <w:shd w:fill="EAF7F5" w:val="clear"/>
        <w:pBdr>
          <w:left w:val="single" w:sz="18" w:space="8" w:color="008F87"/>
        </w:pBdr>
      </w:pPr>
      <w:r>
        <w:t xml:space="preserve">Calling a series white noise because its mean is near zero. White noise concerns dependence and variance, not only location.</w:t>
      </w:r>
    </w:p>
    <w:p>
      <w:pPr>
        <w:pStyle w:val="BlockText"/>
        <w:shd w:fill="EAF7F5" w:val="clear"/>
        <w:pBdr>
          <w:left w:val="single" w:sz="18" w:space="8" w:color="008F87"/>
        </w:pBdr>
      </w:pPr>
      <w:r>
        <w:rPr>
          <w:b/>
          <w:bCs/>
        </w:rPr>
        <w:t xml:space="preserve">Ceteris LAB Tip</w:t>
      </w:r>
    </w:p>
    <w:p>
      <w:pPr>
        <w:pStyle w:val="BlockText"/>
        <w:shd w:fill="EAF7F5" w:val="clear"/>
        <w:pBdr>
          <w:left w:val="single" w:sz="18" w:space="8" w:color="008F87"/>
        </w:pBdr>
      </w:pPr>
      <w:r>
        <w:t xml:space="preserve">Inspect the ACF of both returns and squared returns before choosing a conditional-mean or volatility model.</w:t>
      </w:r>
    </w:p>
    <w:p>
      <w:pPr>
        <w:pStyle w:val="BlockText"/>
        <w:shd w:fill="EAF7F5" w:val="clear"/>
        <w:pBdr>
          <w:left w:val="single" w:sz="18" w:space="8" w:color="008F87"/>
        </w:pBdr>
      </w:pPr>
      <w:r>
        <w:rPr>
          <w:b/>
          <w:bCs/>
        </w:rPr>
        <w:t xml:space="preserve">R-to-Python / Source Bridge</w:t>
      </w:r>
    </w:p>
    <w:p>
      <w:pPr>
        <w:pStyle w:val="BlockText"/>
        <w:shd w:fill="EAF7F5" w:val="clear"/>
        <w:pBdr>
          <w:left w:val="single" w:sz="18" w:space="8" w:color="008F87"/>
        </w:pBdr>
      </w:pPr>
      <w:r>
        <w:t xml:space="preserve">These concepts are central to the first and second source lectures. The Python version retains the diagnostic sequence while adding explicit distinction between linear and nonlinear dependence</w:t>
      </w:r>
      <w:r>
        <w:t xml:space="preserve"> </w:t>
      </w:r>
      <w:r>
        <w:t xml:space="preserve">(Tsay 2013)</w:t>
      </w:r>
      <w:r>
        <w:t xml:space="preserve">.</w:t>
      </w:r>
    </w:p>
    <w:bookmarkEnd w:id="357"/>
    <w:bookmarkStart w:id="358" w:name="guided-practice-17"/>
    <w:p>
      <w:pPr>
        <w:pStyle w:val="Heading2"/>
        <w:keepNext/>
      </w:pPr>
      <w:r>
        <w:t>37.9</w:t>
        <w:tab/>
        <w:t>Guided practice</w:t>
      </w:r>
    </w:p>
    <w:p>
      <w:pPr>
        <w:pStyle w:val="Compact"/>
        <w:numPr>
          <w:ilvl w:val="0"/>
          <w:numId w:val="1072"/>
        </w:numPr>
      </w:pPr>
      <w:r>
        <w:t xml:space="preserve">Re-run Demonstration 18.1 and change one input while keeping the analytical question fixed.</w:t>
      </w:r>
    </w:p>
    <w:p>
      <w:pPr>
        <w:pStyle w:val="Compact"/>
        <w:numPr>
          <w:ilvl w:val="0"/>
          <w:numId w:val="1072"/>
        </w:numPr>
      </w:pPr>
      <w:r>
        <w:t xml:space="preserve">Explain in two sentences how the output supports, or fails to support, the chapter opening question.</w:t>
      </w:r>
    </w:p>
    <w:p>
      <w:pPr>
        <w:pStyle w:val="Compact"/>
        <w:numPr>
          <w:ilvl w:val="0"/>
          <w:numId w:val="1072"/>
        </w:numPr>
      </w:pPr>
      <w:r>
        <w:t xml:space="preserve">Add one validation check that would prevent a plausible error.</w:t>
      </w:r>
    </w:p>
    <w:bookmarkEnd w:id="358"/>
    <w:bookmarkStart w:id="359" w:name="exercises-17"/>
    <w:p>
      <w:pPr>
        <w:pStyle w:val="Heading2"/>
        <w:keepNext/>
      </w:pPr>
      <w:r>
        <w:t>37.10</w:t>
        <w:tab/>
        <w:t>Exercises</w:t>
      </w:r>
    </w:p>
    <w:p>
      <w:pPr>
        <w:pStyle w:val="Compact"/>
        <w:numPr>
          <w:ilvl w:val="0"/>
          <w:numId w:val="1073"/>
        </w:numPr>
      </w:pPr>
      <w:r>
        <w:t xml:space="preserve">Simulate an AR(1) process and compare its ACF with white noise.</w:t>
      </w:r>
    </w:p>
    <w:p>
      <w:pPr>
        <w:pStyle w:val="Compact"/>
        <w:numPr>
          <w:ilvl w:val="0"/>
          <w:numId w:val="1073"/>
        </w:numPr>
      </w:pPr>
      <w:r>
        <w:t xml:space="preserve">Apply Ljung-Box at several lags and discuss multiple testing.</w:t>
      </w:r>
    </w:p>
    <w:p>
      <w:pPr>
        <w:pStyle w:val="Compact"/>
        <w:numPr>
          <w:ilvl w:val="0"/>
          <w:numId w:val="1073"/>
        </w:numPr>
      </w:pPr>
      <w:r>
        <w:t xml:space="preserve">Compare ADF results for a random walk and its difference.</w:t>
      </w:r>
    </w:p>
    <w:p>
      <w:pPr>
        <w:pStyle w:val="Compact"/>
        <w:numPr>
          <w:ilvl w:val="0"/>
          <w:numId w:val="1073"/>
        </w:numPr>
      </w:pPr>
      <w:r>
        <w:t xml:space="preserve">Explain why zero return autocorrelation does not imply independent returns.</w:t>
      </w:r>
    </w:p>
    <w:bookmarkEnd w:id="359"/>
    <w:bookmarkStart w:id="360" w:name="chapter-summary-17"/>
    <w:p>
      <w:pPr>
        <w:pStyle w:val="Heading2"/>
        <w:keepNext/>
      </w:pPr>
      <w:r>
        <w:t>37.11</w:t>
        <w:tab/>
        <w:t>Chapter summary</w:t>
      </w:r>
    </w:p>
    <w:p>
      <w:pPr>
        <w:pStyle w:val="Compact"/>
        <w:numPr>
          <w:ilvl w:val="0"/>
          <w:numId w:val="1074"/>
        </w:numPr>
      </w:pPr>
      <w:r>
        <w:t xml:space="preserve">Stationarity provides a stable dependence framework.</w:t>
      </w:r>
    </w:p>
    <w:p>
      <w:pPr>
        <w:pStyle w:val="Compact"/>
        <w:numPr>
          <w:ilvl w:val="0"/>
          <w:numId w:val="1074"/>
        </w:numPr>
      </w:pPr>
      <w:r>
        <w:t xml:space="preserve">ACF, PACF, and Ljung-Box diagnose linear serial structure.</w:t>
      </w:r>
    </w:p>
    <w:p>
      <w:pPr>
        <w:pStyle w:val="Compact"/>
        <w:numPr>
          <w:ilvl w:val="0"/>
          <w:numId w:val="1074"/>
        </w:numPr>
      </w:pPr>
      <w:r>
        <w:t xml:space="preserve">Volatility dependence may remain when return autocorrelation is weak.</w:t>
      </w:r>
    </w:p>
    <w:bookmarkEnd w:id="360"/>
    <w:bookmarkStart w:id="361" w:name="key-python-commands-17"/>
    <w:p>
      <w:pPr>
        <w:pStyle w:val="Heading2"/>
        <w:keepNext/>
      </w:pPr>
      <w:r>
        <w:t>37.12</w:t>
        <w:tab/>
        <w:t>Key Python commands</w:t>
      </w:r>
    </w:p>
    <w:p>
      <w:pPr>
        <w:pStyle w:val="SourceCode"/>
        <w:keepLines/>
        <w:shd w:fill="F6F8FA" w:val="clear"/>
      </w:pPr>
      <w:r>
        <w:rPr>
          <w:rStyle w:val="ImportTok"/>
        </w:rPr>
        <w:t xml:space="preserve">import</w:t>
      </w:r>
      <w:r>
        <w:rPr>
          <w:rStyle w:val="NormalTok"/>
        </w:rPr>
        <w:t xml:space="preserve"> numpy </w:t>
      </w:r>
      <w:r>
        <w:rPr>
          <w:rStyle w:val="ImportTok"/>
        </w:rPr>
        <w:t xml:space="preserve">as</w:t>
      </w:r>
      <w:r>
        <w:rPr>
          <w:rStyle w:val="NormalTok"/>
        </w:rPr>
        <w:t xml:space="preserve"> np</w:t>
      </w:r>
      <w:r>
        <w:br/>
      </w:r>
      <w:r>
        <w:rPr>
          <w:rStyle w:val="ImportTok"/>
        </w:rPr>
        <w:t xml:space="preserve">from</w:t>
      </w:r>
      <w:r>
        <w:rPr>
          <w:rStyle w:val="NormalTok"/>
        </w:rPr>
        <w:t xml:space="preserve"> statsmodels.stats.diagnostic </w:t>
      </w:r>
      <w:r>
        <w:rPr>
          <w:rStyle w:val="ImportTok"/>
        </w:rPr>
        <w:t xml:space="preserve">import</w:t>
      </w:r>
      <w:r>
        <w:rPr>
          <w:rStyle w:val="NormalTok"/>
        </w:rPr>
        <w:t xml:space="preserve"> acorr_ljungbox</w:t>
      </w:r>
      <w:r>
        <w:br/>
      </w:r>
      <w:r>
        <w:rPr>
          <w:rStyle w:val="ImportTok"/>
        </w:rPr>
        <w:t xml:space="preserve">from</w:t>
      </w:r>
      <w:r>
        <w:rPr>
          <w:rStyle w:val="NormalTok"/>
        </w:rPr>
        <w:t xml:space="preserve"> statsmodels.tsa.stattools </w:t>
      </w:r>
      <w:r>
        <w:rPr>
          <w:rStyle w:val="ImportTok"/>
        </w:rPr>
        <w:t xml:space="preserve">import</w:t>
      </w:r>
      <w:r>
        <w:rPr>
          <w:rStyle w:val="NormalTok"/>
        </w:rPr>
        <w:t xml:space="preserve"> acf</w:t>
      </w:r>
      <w:r>
        <w:br/>
      </w:r>
      <w:r>
        <w:rPr>
          <w:rStyle w:val="NormalTok"/>
        </w:rPr>
        <w:t xml:space="preserve">rng </w:t>
      </w:r>
      <w:r>
        <w:rPr>
          <w:rStyle w:val="OperatorTok"/>
        </w:rPr>
        <w:t xml:space="preserve">=</w:t>
      </w:r>
      <w:r>
        <w:rPr>
          <w:rStyle w:val="NormalTok"/>
        </w:rPr>
        <w:t xml:space="preserve"> np.random.default_rng(</w:t>
      </w:r>
      <w:r>
        <w:rPr>
          <w:rStyle w:val="DecValTok"/>
        </w:rPr>
        <w:t xml:space="preserve">18</w:t>
      </w:r>
      <w:r>
        <w:rPr>
          <w:rStyle w:val="NormalTok"/>
        </w:rPr>
        <w:t xml:space="preserve">)</w:t>
      </w:r>
      <w:r>
        <w:br/>
      </w:r>
      <w:r>
        <w:rPr>
          <w:rStyle w:val="NormalTok"/>
        </w:rPr>
        <w:t xml:space="preserve">x </w:t>
      </w:r>
      <w:r>
        <w:rPr>
          <w:rStyle w:val="OperatorTok"/>
        </w:rPr>
        <w:t xml:space="preserve">=</w:t>
      </w:r>
      <w:r>
        <w:rPr>
          <w:rStyle w:val="NormalTok"/>
        </w:rPr>
        <w:t xml:space="preserve"> rng.normal(size</w:t>
      </w:r>
      <w:r>
        <w:rPr>
          <w:rStyle w:val="OperatorTok"/>
        </w:rPr>
        <w:t xml:space="preserve">=</w:t>
      </w:r>
      <w:r>
        <w:rPr>
          <w:rStyle w:val="DecValTok"/>
        </w:rPr>
        <w:t xml:space="preserve">500</w:t>
      </w:r>
      <w:r>
        <w:rPr>
          <w:rStyle w:val="NormalTok"/>
        </w:rPr>
        <w:t xml:space="preserve">)</w:t>
      </w:r>
      <w:r>
        <w:br/>
      </w:r>
      <w:r>
        <w:rPr>
          <w:rStyle w:val="BuiltInTok"/>
        </w:rPr>
        <w:t xml:space="preserve">print</w:t>
      </w:r>
      <w:r>
        <w:rPr>
          <w:rStyle w:val="NormalTok"/>
        </w:rPr>
        <w:t xml:space="preserve">(np.</w:t>
      </w:r>
      <w:r>
        <w:rPr>
          <w:rStyle w:val="BuiltInTok"/>
        </w:rPr>
        <w:t xml:space="preserve">round</w:t>
      </w:r>
      <w:r>
        <w:rPr>
          <w:rStyle w:val="NormalTok"/>
        </w:rPr>
        <w:t xml:space="preserve">(acf(x, nlags</w:t>
      </w:r>
      <w:r>
        <w:rPr>
          <w:rStyle w:val="OperatorTok"/>
        </w:rPr>
        <w:t xml:space="preserve">=</w:t>
      </w:r>
      <w:r>
        <w:rPr>
          <w:rStyle w:val="DecValTok"/>
        </w:rPr>
        <w:t xml:space="preserve">3</w:t>
      </w:r>
      <w:r>
        <w:rPr>
          <w:rStyle w:val="NormalTok"/>
        </w:rPr>
        <w:t xml:space="preserve">, fft</w:t>
      </w:r>
      <w:r>
        <w:rPr>
          <w:rStyle w:val="OperatorTok"/>
        </w:rPr>
        <w:t xml:space="preserve">=</w:t>
      </w:r>
      <w:r>
        <w:rPr>
          <w:rStyle w:val="VariableTok"/>
        </w:rPr>
        <w:t xml:space="preserve">True</w:t>
      </w:r>
      <w:r>
        <w:rPr>
          <w:rStyle w:val="NormalTok"/>
        </w:rPr>
        <w:t xml:space="preserve">), </w:t>
      </w:r>
      <w:r>
        <w:rPr>
          <w:rStyle w:val="DecValTok"/>
        </w:rPr>
        <w:t xml:space="preserve">3</w:t>
      </w:r>
      <w:r>
        <w:rPr>
          <w:rStyle w:val="NormalTok"/>
        </w:rPr>
        <w:t xml:space="preserve">))</w:t>
      </w:r>
    </w:p>
    <w:bookmarkEnd w:id="361"/>
    <w:bookmarkEnd w:id="362"/>
    <w:bookmarkStart w:id="380" w:name="ar-ma-arma-arima-and-forecasting"/>
    <w:p>
      <w:pPr>
        <w:pStyle w:val="Heading1"/>
        <w:keepNext/>
        <w:pageBreakBefore/>
      </w:pPr>
      <w:r>
        <w:t>38</w:t>
        <w:tab/>
        <w:t>AR, MA, ARMA, ARIMA, and Forecasting</w:t>
      </w:r>
    </w:p>
    <w:p>
      <w:pPr>
        <w:pStyle w:val="FirstParagraph"/>
      </w:pPr>
      <w:r>
        <w:rPr>
          <w:i/>
          <w:iCs/>
        </w:rPr>
        <w:t xml:space="preserve">Opening question:</w:t>
      </w:r>
      <w:r>
        <w:t xml:space="preserve"> </w:t>
      </w:r>
      <w:r>
        <w:rPr>
          <w:b/>
          <w:bCs/>
        </w:rPr>
        <w:t xml:space="preserve">How can past values and past shocks be organized into a model that produces honest forecasts and uncertainty?</w:t>
      </w:r>
    </w:p>
    <w:bookmarkStart w:id="363" w:name="learning-objectives-18"/>
    <w:p>
      <w:pPr>
        <w:pStyle w:val="Heading2"/>
        <w:keepNext/>
      </w:pPr>
      <w:r>
        <w:t>38.1</w:t>
        <w:tab/>
        <w:t>Learning objectives</w:t>
      </w:r>
    </w:p>
    <w:p>
      <w:pPr>
        <w:pStyle w:val="Compact"/>
        <w:numPr>
          <w:ilvl w:val="0"/>
          <w:numId w:val="1075"/>
        </w:numPr>
      </w:pPr>
      <w:r>
        <w:t xml:space="preserve">Interpret AR and MA dynamics.</w:t>
      </w:r>
    </w:p>
    <w:p>
      <w:pPr>
        <w:pStyle w:val="Compact"/>
        <w:numPr>
          <w:ilvl w:val="0"/>
          <w:numId w:val="1075"/>
        </w:numPr>
      </w:pPr>
      <w:r>
        <w:t xml:space="preserve">Use ACF, PACF, AIC, and BIC for model guidance.</w:t>
      </w:r>
    </w:p>
    <w:p>
      <w:pPr>
        <w:pStyle w:val="Compact"/>
        <w:numPr>
          <w:ilvl w:val="0"/>
          <w:numId w:val="1075"/>
        </w:numPr>
      </w:pPr>
      <w:r>
        <w:t xml:space="preserve">Estimate ARIMA models with statsmodels.</w:t>
      </w:r>
    </w:p>
    <w:p>
      <w:pPr>
        <w:pStyle w:val="Compact"/>
        <w:numPr>
          <w:ilvl w:val="0"/>
          <w:numId w:val="1075"/>
        </w:numPr>
      </w:pPr>
      <w:r>
        <w:t xml:space="preserve">Evaluate point and interval forecasts out of sample.</w:t>
      </w:r>
    </w:p>
    <w:p>
      <w:pPr>
        <w:pStyle w:val="FirstParagraph"/>
      </w:pPr>
      <w:r>
        <w:rPr>
          <w:b/>
          <w:bCs/>
        </w:rPr>
        <w:t xml:space="preserve">Prerequisites:</w:t>
      </w:r>
      <w:r>
        <w:t xml:space="preserve"> </w:t>
      </w:r>
      <w:r>
        <w:t xml:space="preserve">Chapter 18.</w:t>
      </w:r>
    </w:p>
    <w:p>
      <w:pPr>
        <w:pStyle w:val="BodyText"/>
      </w:pPr>
      <w:r>
        <w:rPr>
          <w:b/>
          <w:bCs/>
        </w:rPr>
        <w:t xml:space="preserve">Key terms:</w:t>
      </w:r>
      <w:r>
        <w:t xml:space="preserve"> </w:t>
      </w:r>
      <w:r>
        <w:t xml:space="preserve">AR, MA, ARMA, ARIMA, AIC, forecast interval.</w:t>
      </w:r>
    </w:p>
    <w:bookmarkEnd w:id="363"/>
    <w:bookmarkStart w:id="364" w:name="autoregression-describes-persistence"/>
    <w:p>
      <w:pPr>
        <w:pStyle w:val="Heading2"/>
        <w:keepNext/>
      </w:pPr>
      <w:r>
        <w:t>38.2</w:t>
        <w:tab/>
        <w:t>Autoregression describes persistence</w:t>
      </w:r>
    </w:p>
    <w:p>
      <w:pPr>
        <w:pStyle w:val="FirstParagraph"/>
      </w:pPr>
      <w:r>
        <w:t xml:space="preserve">An AR model expresses the current value as a linear function of past values and a new shock. In a stationary AR(1), the coefficient controls persistence and the speed of mean reversion. Values near one produce slow decay; negative values produce alternating adjustment. Higher-order AR models can represent richer cycles but also create unstable roots if selected without care.</w:t>
      </w:r>
    </w:p>
    <w:bookmarkEnd w:id="364"/>
    <w:bookmarkStart w:id="365" w:name="moving-averages-describe-shock-memory"/>
    <w:p>
      <w:pPr>
        <w:pStyle w:val="Heading2"/>
        <w:keepNext/>
      </w:pPr>
      <w:r>
        <w:t>38.3</w:t>
        <w:tab/>
        <w:t>Moving averages describe shock memory</w:t>
      </w:r>
    </w:p>
    <w:p>
      <w:pPr>
        <w:pStyle w:val="FirstParagraph"/>
      </w:pPr>
      <w:r>
        <w:t xml:space="preserve">An MA model expresses the current observation as a combination of current and past innovations. Innovations are not observed directly and are recovered during estimation. Invertibility allows the model to be represented in terms of observed history. Software conventions differ in the sign assigned to MA coefficients, so equations and package parameterization must be checked before comparing R and Python output.</w:t>
      </w:r>
    </w:p>
    <w:bookmarkEnd w:id="365"/>
    <w:bookmarkStart w:id="366" w:name="forecasting-is-an-evaluation-design"/>
    <w:p>
      <w:pPr>
        <w:pStyle w:val="Heading2"/>
        <w:keepNext/>
      </w:pPr>
      <w:r>
        <w:t>38.4</w:t>
        <w:tab/>
        <w:t>Forecasting is an evaluation design</w:t>
      </w:r>
    </w:p>
    <w:p>
      <w:pPr>
        <w:pStyle w:val="FirstParagraph"/>
      </w:pPr>
      <w:r>
        <w:t xml:space="preserve">ARIMA combines autoregressive, differencing, and moving-average components. AIC and BIC compare likelihood with complexity penalties, but the lowest in-sample criterion is not guaranteed to forecast best. A credible evaluation reserves later observations, fits only on available history, produces point and interval forecasts, and reports metrics such as MAE or RMSE alongside a naive benchmark. Rolling-origin evaluation better reflects repeated forecasting than one lucky split.</w:t>
      </w:r>
    </w:p>
    <w:bookmarkEnd w:id="366"/>
    <w:bookmarkStart w:id="367" w:name="core-equations-6"/>
    <w:p>
      <w:pPr>
        <w:pStyle w:val="Heading2"/>
        <w:keepNext/>
      </w:pPr>
      <w:r>
        <w:t>38.5</w:t>
        <w:tab/>
        <w:t>Core equations</w:t>
      </w:r>
    </w:p>
    <w:p>
      <w:pPr>
        <w:pStyle w:val="FirstParagraph"/>
      </w:pPr>
      <w:r>
        <w:rPr>
          <w:b/>
          <w:bCs/>
        </w:rPr>
        <w:t xml:space="preserve">AR(1)</w:t>
      </w:r>
    </w:p>
    <w:p>
      <w:pPr>
        <w:pStyle w:val="BodyText"/>
      </w:pPr>
      <m:oMathPara>
        <m:oMathParaPr>
          <m:jc m:val="center"/>
        </m:oMathParaPr>
        <m:oMath>
          <m:sSub>
            <m:e>
              <m:r>
                <m:t>X</m:t>
              </m:r>
            </m:e>
            <m:sub>
              <m:r>
                <m:t>t</m:t>
              </m:r>
            </m:sub>
          </m:sSub>
          <m:r>
            <m:rPr>
              <m:sty m:val="p"/>
            </m:rPr>
            <m:t>−</m:t>
          </m:r>
          <m:r>
            <m:t>μ</m:t>
          </m:r>
          <m:r>
            <m:rPr>
              <m:sty m:val="p"/>
            </m:rPr>
            <m:t>=</m:t>
          </m:r>
          <m:r>
            <m:t>ϕ</m:t>
          </m:r>
          <m:d>
            <m:dPr>
              <m:begChr m:val="("/>
              <m:endChr m:val=")"/>
              <m:sepChr m:val=""/>
              <m:grow/>
            </m:dPr>
            <m:e>
              <m:sSub>
                <m:e>
                  <m:r>
                    <m:t>X</m:t>
                  </m:r>
                </m:e>
                <m:sub>
                  <m:r>
                    <m:t>t</m:t>
                  </m:r>
                  <m:r>
                    <m:rPr>
                      <m:sty m:val="p"/>
                    </m:rPr>
                    <m:t>−</m:t>
                  </m:r>
                  <m:r>
                    <m:t>1</m:t>
                  </m:r>
                </m:sub>
              </m:sSub>
              <m:r>
                <m:rPr>
                  <m:sty m:val="p"/>
                </m:rPr>
                <m:t>−</m:t>
              </m:r>
              <m:r>
                <m:t>μ</m:t>
              </m:r>
            </m:e>
          </m:d>
          <m:r>
            <m:rPr>
              <m:sty m:val="p"/>
            </m:rPr>
            <m:t>+</m:t>
          </m:r>
          <m:sSub>
            <m:e>
              <m:r>
                <m:t>a</m:t>
              </m:r>
            </m:e>
            <m:sub>
              <m:r>
                <m:t>t</m:t>
              </m:r>
            </m:sub>
          </m:sSub>
          <m:r>
            <m:rPr>
              <m:sty m:val="p"/>
            </m:rPr>
            <m:t>,</m:t>
          </m:r>
          <m:r>
            <m:t> </m:t>
          </m:r>
          <m:d>
            <m:dPr>
              <m:begChr m:val="|"/>
              <m:endChr m:val="|"/>
              <m:sepChr m:val=""/>
              <m:grow/>
            </m:dPr>
            <m:e>
              <m:r>
                <m:t>ϕ</m:t>
              </m:r>
            </m:e>
          </m:d>
          <m:r>
            <m:rPr>
              <m:sty m:val="p"/>
            </m:rPr>
            <m:t>&lt;</m:t>
          </m:r>
          <m:r>
            <m:t>1</m:t>
          </m:r>
        </m:oMath>
      </m:oMathPara>
    </w:p>
    <w:p>
      <w:pPr>
        <w:pStyle w:val="FirstParagraph"/>
      </w:pPr>
      <w:r>
        <w:t xml:space="preserve">The stationary process reverts toward mean mu at a rate controlled by phi.</w:t>
      </w:r>
    </w:p>
    <w:p>
      <w:pPr>
        <w:pStyle w:val="BodyText"/>
      </w:pPr>
      <w:r>
        <w:rPr>
          <w:b/>
          <w:bCs/>
        </w:rPr>
        <w:t xml:space="preserve">Half-life</w:t>
      </w:r>
    </w:p>
    <w:p>
      <w:pPr>
        <w:pStyle w:val="BodyText"/>
      </w:pPr>
      <m:oMathPara>
        <m:oMathParaPr>
          <m:jc m:val="center"/>
        </m:oMathParaPr>
        <m:oMath>
          <m:r>
            <m:t>h</m:t>
          </m:r>
          <m:r>
            <m:rPr>
              <m:sty m:val="p"/>
            </m:rPr>
            <m:t>=</m:t>
          </m:r>
          <m:f>
            <m:fPr>
              <m:type m:val="bar"/>
            </m:fPr>
            <m:num>
              <m:r>
                <m:rPr>
                  <m:sty m:val="p"/>
                </m:rPr>
                <m:t>ln</m:t>
              </m:r>
              <m:d>
                <m:dPr>
                  <m:begChr m:val="("/>
                  <m:endChr m:val=")"/>
                  <m:sepChr m:val=""/>
                  <m:grow/>
                </m:dPr>
                <m:e>
                  <m:r>
                    <m:t>0.5</m:t>
                  </m:r>
                </m:e>
              </m:d>
            </m:num>
            <m:den>
              <m:r>
                <m:rPr>
                  <m:sty m:val="p"/>
                </m:rPr>
                <m:t>ln</m:t>
              </m:r>
              <m:d>
                <m:dPr>
                  <m:begChr m:val="("/>
                  <m:endChr m:val=")"/>
                  <m:sepChr m:val=""/>
                  <m:grow/>
                </m:dPr>
                <m:e>
                  <m:d>
                    <m:dPr>
                      <m:begChr m:val="|"/>
                      <m:endChr m:val="|"/>
                      <m:sepChr m:val=""/>
                      <m:grow/>
                    </m:dPr>
                    <m:e>
                      <m:r>
                        <m:t>ϕ</m:t>
                      </m:r>
                    </m:e>
                  </m:d>
                </m:e>
              </m:d>
            </m:den>
          </m:f>
        </m:oMath>
      </m:oMathPara>
    </w:p>
    <w:p>
      <w:pPr>
        <w:pStyle w:val="FirstParagraph"/>
      </w:pPr>
      <w:r>
        <w:t xml:space="preserve">For 0&lt;|phi|&lt;1, h is the approximate number of periods required for a deviation to halve.</w:t>
      </w:r>
    </w:p>
    <w:bookmarkEnd w:id="367"/>
    <w:bookmarkStart w:id="370" w:name="python-demonstrations-18"/>
    <w:p>
      <w:pPr>
        <w:pStyle w:val="Heading2"/>
        <w:keepNext/>
      </w:pPr>
      <w:r>
        <w:t>38.6</w:t>
        <w:tab/>
        <w:t>Python demonstrations</w:t>
      </w:r>
    </w:p>
    <w:bookmarkStart w:id="368" w:name="X8fd90225e91eabd51fcfea7bd7fc5a8aa8c6d49"/>
    <w:p>
      <w:pPr>
        <w:pStyle w:val="Heading3"/>
        <w:keepNext/>
      </w:pPr>
      <w:r>
        <w:t>38.6.1</w:t>
        <w:tab/>
        <w:t>Demonstration 19.1: Simulate and fit an ARMA process</w:t>
      </w:r>
    </w:p>
    <w:p>
      <w:pPr>
        <w:pStyle w:val="SourceCode"/>
        <w:shd w:fill="F6F8FA" w:val="clear"/>
      </w:pPr>
      <w:r>
        <w:rPr>
          <w:rStyle w:val="ImportTok"/>
        </w:rPr>
        <w:t xml:space="preserve">import</w:t>
      </w:r>
      <w:r>
        <w:rPr>
          <w:rStyle w:val="NormalTok"/>
        </w:rPr>
        <w:t xml:space="preserve"> numpy </w:t>
      </w:r>
      <w:r>
        <w:rPr>
          <w:rStyle w:val="ImportTok"/>
        </w:rPr>
        <w:t xml:space="preserve">as</w:t>
      </w:r>
      <w:r>
        <w:rPr>
          <w:rStyle w:val="NormalTok"/>
        </w:rPr>
        <w:t xml:space="preserve"> np</w:t>
      </w:r>
      <w:r>
        <w:br/>
      </w:r>
      <w:r>
        <w:rPr>
          <w:rStyle w:val="ImportTok"/>
        </w:rPr>
        <w:t xml:space="preserve">from</w:t>
      </w:r>
      <w:r>
        <w:rPr>
          <w:rStyle w:val="NormalTok"/>
        </w:rPr>
        <w:t xml:space="preserve"> statsmodels.tsa.arima_process </w:t>
      </w:r>
      <w:r>
        <w:rPr>
          <w:rStyle w:val="ImportTok"/>
        </w:rPr>
        <w:t xml:space="preserve">import</w:t>
      </w:r>
      <w:r>
        <w:rPr>
          <w:rStyle w:val="NormalTok"/>
        </w:rPr>
        <w:t xml:space="preserve"> ArmaProcess</w:t>
      </w:r>
      <w:r>
        <w:br/>
      </w:r>
      <w:r>
        <w:rPr>
          <w:rStyle w:val="ImportTok"/>
        </w:rPr>
        <w:t xml:space="preserve">from</w:t>
      </w:r>
      <w:r>
        <w:rPr>
          <w:rStyle w:val="NormalTok"/>
        </w:rPr>
        <w:t xml:space="preserve"> statsmodels.tsa.arima.model </w:t>
      </w:r>
      <w:r>
        <w:rPr>
          <w:rStyle w:val="ImportTok"/>
        </w:rPr>
        <w:t xml:space="preserve">import</w:t>
      </w:r>
      <w:r>
        <w:rPr>
          <w:rStyle w:val="NormalTok"/>
        </w:rPr>
        <w:t xml:space="preserve"> ARIMA</w:t>
      </w:r>
      <w:r>
        <w:br/>
      </w:r>
      <w:r>
        <w:br/>
      </w:r>
      <w:r>
        <w:rPr>
          <w:rStyle w:val="NormalTok"/>
        </w:rPr>
        <w:t xml:space="preserve">rng </w:t>
      </w:r>
      <w:r>
        <w:rPr>
          <w:rStyle w:val="OperatorTok"/>
        </w:rPr>
        <w:t xml:space="preserve">=</w:t>
      </w:r>
      <w:r>
        <w:rPr>
          <w:rStyle w:val="NormalTok"/>
        </w:rPr>
        <w:t xml:space="preserve"> np.random.default_rng(</w:t>
      </w:r>
      <w:r>
        <w:rPr>
          <w:rStyle w:val="DecValTok"/>
        </w:rPr>
        <w:t xml:space="preserve">19</w:t>
      </w:r>
      <w:r>
        <w:rPr>
          <w:rStyle w:val="NormalTok"/>
        </w:rPr>
        <w:t xml:space="preserve">)</w:t>
      </w:r>
      <w:r>
        <w:br/>
      </w:r>
      <w:r>
        <w:rPr>
          <w:rStyle w:val="NormalTok"/>
        </w:rPr>
        <w:t xml:space="preserve">process </w:t>
      </w:r>
      <w:r>
        <w:rPr>
          <w:rStyle w:val="OperatorTok"/>
        </w:rPr>
        <w:t xml:space="preserve">=</w:t>
      </w:r>
      <w:r>
        <w:rPr>
          <w:rStyle w:val="NormalTok"/>
        </w:rPr>
        <w:t xml:space="preserve"> ArmaProcess(ar</w:t>
      </w:r>
      <w:r>
        <w:rPr>
          <w:rStyle w:val="OperatorTok"/>
        </w:rPr>
        <w:t xml:space="preserve">=</w:t>
      </w:r>
      <w:r>
        <w:rPr>
          <w:rStyle w:val="NormalTok"/>
        </w:rPr>
        <w:t xml:space="preserve">[</w:t>
      </w:r>
      <w:r>
        <w:rPr>
          <w:rStyle w:val="DecValTok"/>
        </w:rPr>
        <w:t xml:space="preserve">1</w:t>
      </w:r>
      <w:r>
        <w:rPr>
          <w:rStyle w:val="NormalTok"/>
        </w:rPr>
        <w:t xml:space="preserve">, </w:t>
      </w:r>
      <w:r>
        <w:rPr>
          <w:rStyle w:val="OperatorTok"/>
        </w:rPr>
        <w:t xml:space="preserve">-</w:t>
      </w:r>
      <w:r>
        <w:rPr>
          <w:rStyle w:val="FloatTok"/>
        </w:rPr>
        <w:t xml:space="preserve">0.65</w:t>
      </w:r>
      <w:r>
        <w:rPr>
          <w:rStyle w:val="NormalTok"/>
        </w:rPr>
        <w:t xml:space="preserve">], ma</w:t>
      </w:r>
      <w:r>
        <w:rPr>
          <w:rStyle w:val="OperatorTok"/>
        </w:rPr>
        <w:t xml:space="preserve">=</w:t>
      </w:r>
      <w:r>
        <w:rPr>
          <w:rStyle w:val="NormalTok"/>
        </w:rPr>
        <w:t xml:space="preserve">[</w:t>
      </w:r>
      <w:r>
        <w:rPr>
          <w:rStyle w:val="DecValTok"/>
        </w:rPr>
        <w:t xml:space="preserve">1</w:t>
      </w:r>
      <w:r>
        <w:rPr>
          <w:rStyle w:val="NormalTok"/>
        </w:rPr>
        <w:t xml:space="preserve">, </w:t>
      </w:r>
      <w:r>
        <w:rPr>
          <w:rStyle w:val="FloatTok"/>
        </w:rPr>
        <w:t xml:space="preserve">0.35</w:t>
      </w:r>
      <w:r>
        <w:rPr>
          <w:rStyle w:val="NormalTok"/>
        </w:rPr>
        <w:t xml:space="preserve">])</w:t>
      </w:r>
      <w:r>
        <w:br/>
      </w:r>
      <w:r>
        <w:rPr>
          <w:rStyle w:val="NormalTok"/>
        </w:rPr>
        <w:t xml:space="preserve">x </w:t>
      </w:r>
      <w:r>
        <w:rPr>
          <w:rStyle w:val="OperatorTok"/>
        </w:rPr>
        <w:t xml:space="preserve">=</w:t>
      </w:r>
      <w:r>
        <w:rPr>
          <w:rStyle w:val="NormalTok"/>
        </w:rPr>
        <w:t xml:space="preserve"> process.generate_sample(</w:t>
      </w:r>
      <w:r>
        <w:rPr>
          <w:rStyle w:val="DecValTok"/>
        </w:rPr>
        <w:t xml:space="preserve">500</w:t>
      </w:r>
      <w:r>
        <w:rPr>
          <w:rStyle w:val="NormalTok"/>
        </w:rPr>
        <w:t xml:space="preserve">, distrvs</w:t>
      </w:r>
      <w:r>
        <w:rPr>
          <w:rStyle w:val="OperatorTok"/>
        </w:rPr>
        <w:t xml:space="preserve">=</w:t>
      </w:r>
      <w:r>
        <w:rPr>
          <w:rStyle w:val="NormalTok"/>
        </w:rPr>
        <w:t xml:space="preserve">rng.standard_normal)</w:t>
      </w:r>
      <w:r>
        <w:br/>
      </w:r>
      <w:r>
        <w:rPr>
          <w:rStyle w:val="NormalTok"/>
        </w:rPr>
        <w:t xml:space="preserve">fit </w:t>
      </w:r>
      <w:r>
        <w:rPr>
          <w:rStyle w:val="OperatorTok"/>
        </w:rPr>
        <w:t xml:space="preserve">=</w:t>
      </w:r>
      <w:r>
        <w:rPr>
          <w:rStyle w:val="NormalTok"/>
        </w:rPr>
        <w:t xml:space="preserve"> ARIMA(x, order</w:t>
      </w:r>
      <w:r>
        <w:rPr>
          <w:rStyle w:val="OperatorTok"/>
        </w:rPr>
        <w:t xml:space="preserve">=</w:t>
      </w:r>
      <w:r>
        <w:rPr>
          <w:rStyle w:val="NormalTok"/>
        </w:rPr>
        <w:t xml:space="preserve">(</w:t>
      </w:r>
      <w:r>
        <w:rPr>
          <w:rStyle w:val="DecValTok"/>
        </w:rPr>
        <w:t xml:space="preserve">1</w:t>
      </w:r>
      <w:r>
        <w:rPr>
          <w:rStyle w:val="NormalTok"/>
        </w:rPr>
        <w:t xml:space="preserve">, </w:t>
      </w:r>
      <w:r>
        <w:rPr>
          <w:rStyle w:val="DecValTok"/>
        </w:rPr>
        <w:t xml:space="preserve">0</w:t>
      </w:r>
      <w:r>
        <w:rPr>
          <w:rStyle w:val="NormalTok"/>
        </w:rPr>
        <w:t xml:space="preserve">, </w:t>
      </w:r>
      <w:r>
        <w:rPr>
          <w:rStyle w:val="DecValTok"/>
        </w:rPr>
        <w:t xml:space="preserve">1</w:t>
      </w:r>
      <w:r>
        <w:rPr>
          <w:rStyle w:val="NormalTok"/>
        </w:rPr>
        <w:t xml:space="preserve">), trend</w:t>
      </w:r>
      <w:r>
        <w:rPr>
          <w:rStyle w:val="OperatorTok"/>
        </w:rPr>
        <w:t xml:space="preserve">=</w:t>
      </w:r>
      <w:r>
        <w:rPr>
          <w:rStyle w:val="StringTok"/>
        </w:rPr>
        <w:t xml:space="preserve">"c"</w:t>
      </w:r>
      <w:r>
        <w:rPr>
          <w:rStyle w:val="NormalTok"/>
        </w:rPr>
        <w:t xml:space="preserve">).fit()</w:t>
      </w:r>
      <w:r>
        <w:br/>
      </w:r>
      <w:r>
        <w:rPr>
          <w:rStyle w:val="BuiltInTok"/>
        </w:rPr>
        <w:t xml:space="preserve">print</w:t>
      </w:r>
      <w:r>
        <w:rPr>
          <w:rStyle w:val="NormalTok"/>
        </w:rPr>
        <w:t xml:space="preserve">(fit.params.</w:t>
      </w:r>
      <w:r>
        <w:rPr>
          <w:rStyle w:val="BuiltInTok"/>
        </w:rPr>
        <w:t xml:space="preserve">round</w:t>
      </w:r>
      <w:r>
        <w:rPr>
          <w:rStyle w:val="NormalTok"/>
        </w:rPr>
        <w:t xml:space="preserve">(</w:t>
      </w:r>
      <w:r>
        <w:rPr>
          <w:rStyle w:val="DecValTok"/>
        </w:rPr>
        <w:t xml:space="preserve">3</w:t>
      </w:r>
      <w:r>
        <w:rPr>
          <w:rStyle w:val="NormalTok"/>
        </w:rPr>
        <w:t xml:space="preserve">))</w:t>
      </w:r>
    </w:p>
    <w:p>
      <w:pPr>
        <w:pStyle w:val="FirstParagraph"/>
      </w:pPr>
      <w:r>
        <w:rPr>
          <w:b/>
          <w:bCs/>
        </w:rPr>
        <w:t xml:space="preserve">Verified output</w:t>
      </w:r>
    </w:p>
    <w:p>
      <w:pPr>
        <w:pStyle w:val="SourceCode"/>
        <w:keepLines/>
        <w:shd w:fill="F6F8FA" w:val="clear"/>
      </w:pPr>
      <w:r>
        <w:rPr>
          <w:rStyle w:val="VerbatimChar"/>
        </w:rPr>
        <w:t xml:space="preserve">[-0.055  0.619  0.394  0.932]</w:t>
      </w:r>
    </w:p>
    <w:p>
      <w:pPr>
        <w:pStyle w:val="FirstParagraph"/>
      </w:pPr>
      <w:r>
        <w:rPr>
          <w:b/>
          <w:bCs/>
        </w:rPr>
        <w:t xml:space="preserve">Interpretation.</w:t>
      </w:r>
      <w:r>
        <w:t xml:space="preserve"> </w:t>
      </w:r>
      <w:r>
        <w:t xml:space="preserve">The estimates recover the simulated AR and MA structure approximately. Sampling variation and likelihood conventions prevent exact equality.</w:t>
      </w:r>
    </w:p>
    <w:bookmarkEnd w:id="368"/>
    <w:bookmarkStart w:id="369" w:name="Xf4c56db498284f2f23a58f7c0fe08811e3257d6"/>
    <w:p>
      <w:pPr>
        <w:pStyle w:val="Heading3"/>
        <w:keepNext/>
      </w:pPr>
      <w:r>
        <w:t>38.6.2</w:t>
        <w:tab/>
        <w:t>Demonstration 19.2: Forecast with an interval</w:t>
      </w:r>
    </w:p>
    <w:p>
      <w:pPr>
        <w:pStyle w:val="SourceCode"/>
        <w:keepLines/>
        <w:shd w:fill="F6F8FA" w:val="clear"/>
      </w:pPr>
      <w:r>
        <w:rPr>
          <w:rStyle w:val="NormalTok"/>
        </w:rPr>
        <w:t xml:space="preserve">forecast </w:t>
      </w:r>
      <w:r>
        <w:rPr>
          <w:rStyle w:val="OperatorTok"/>
        </w:rPr>
        <w:t xml:space="preserve">=</w:t>
      </w:r>
      <w:r>
        <w:rPr>
          <w:rStyle w:val="NormalTok"/>
        </w:rPr>
        <w:t xml:space="preserve"> fit.get_forecast(steps</w:t>
      </w:r>
      <w:r>
        <w:rPr>
          <w:rStyle w:val="OperatorTok"/>
        </w:rPr>
        <w:t xml:space="preserve">=</w:t>
      </w:r>
      <w:r>
        <w:rPr>
          <w:rStyle w:val="DecValTok"/>
        </w:rPr>
        <w:t xml:space="preserve">5</w:t>
      </w:r>
      <w:r>
        <w:rPr>
          <w:rStyle w:val="NormalTok"/>
        </w:rPr>
        <w:t xml:space="preserve">)</w:t>
      </w:r>
      <w:r>
        <w:br/>
      </w:r>
      <w:r>
        <w:rPr>
          <w:rStyle w:val="NormalTok"/>
        </w:rPr>
        <w:t xml:space="preserve">mean </w:t>
      </w:r>
      <w:r>
        <w:rPr>
          <w:rStyle w:val="OperatorTok"/>
        </w:rPr>
        <w:t xml:space="preserve">=</w:t>
      </w:r>
      <w:r>
        <w:rPr>
          <w:rStyle w:val="NormalTok"/>
        </w:rPr>
        <w:t xml:space="preserve"> forecast.predicted_mean</w:t>
      </w:r>
      <w:r>
        <w:br/>
      </w:r>
      <w:r>
        <w:rPr>
          <w:rStyle w:val="NormalTok"/>
        </w:rPr>
        <w:t xml:space="preserve">interval </w:t>
      </w:r>
      <w:r>
        <w:rPr>
          <w:rStyle w:val="OperatorTok"/>
        </w:rPr>
        <w:t xml:space="preserve">=</w:t>
      </w:r>
      <w:r>
        <w:rPr>
          <w:rStyle w:val="NormalTok"/>
        </w:rPr>
        <w:t xml:space="preserve"> forecast.conf_int(alpha</w:t>
      </w:r>
      <w:r>
        <w:rPr>
          <w:rStyle w:val="OperatorTok"/>
        </w:rPr>
        <w:t xml:space="preserve">=</w:t>
      </w:r>
      <w:r>
        <w:rPr>
          <w:rStyle w:val="FloatTok"/>
        </w:rPr>
        <w:t xml:space="preserve">0.05</w:t>
      </w:r>
      <w:r>
        <w:rPr>
          <w:rStyle w:val="NormalTok"/>
        </w:rPr>
        <w:t xml:space="preserve">)</w:t>
      </w:r>
      <w:r>
        <w:br/>
      </w:r>
      <w:r>
        <w:rPr>
          <w:rStyle w:val="BuiltInTok"/>
        </w:rPr>
        <w:t xml:space="preserve">print</w:t>
      </w:r>
      <w:r>
        <w:rPr>
          <w:rStyle w:val="NormalTok"/>
        </w:rPr>
        <w:t xml:space="preserve">(np.</w:t>
      </w:r>
      <w:r>
        <w:rPr>
          <w:rStyle w:val="BuiltInTok"/>
        </w:rPr>
        <w:t xml:space="preserve">round</w:t>
      </w:r>
      <w:r>
        <w:rPr>
          <w:rStyle w:val="NormalTok"/>
        </w:rPr>
        <w:t xml:space="preserve">(mean, </w:t>
      </w:r>
      <w:r>
        <w:rPr>
          <w:rStyle w:val="DecValTok"/>
        </w:rPr>
        <w:t xml:space="preserve">3</w:t>
      </w:r>
      <w:r>
        <w:rPr>
          <w:rStyle w:val="NormalTok"/>
        </w:rPr>
        <w:t xml:space="preserve">))</w:t>
      </w:r>
      <w:r>
        <w:br/>
      </w:r>
      <w:r>
        <w:rPr>
          <w:rStyle w:val="BuiltInTok"/>
        </w:rPr>
        <w:t xml:space="preserve">print</w:t>
      </w:r>
      <w:r>
        <w:rPr>
          <w:rStyle w:val="NormalTok"/>
        </w:rPr>
        <w:t xml:space="preserve">(np.</w:t>
      </w:r>
      <w:r>
        <w:rPr>
          <w:rStyle w:val="BuiltInTok"/>
        </w:rPr>
        <w:t xml:space="preserve">round</w:t>
      </w:r>
      <w:r>
        <w:rPr>
          <w:rStyle w:val="NormalTok"/>
        </w:rPr>
        <w:t xml:space="preserve">(interval[</w:t>
      </w:r>
      <w:r>
        <w:rPr>
          <w:rStyle w:val="DecValTok"/>
        </w:rPr>
        <w:t xml:space="preserve">0</w:t>
      </w:r>
      <w:r>
        <w:rPr>
          <w:rStyle w:val="NormalTok"/>
        </w:rPr>
        <w:t xml:space="preserve">], </w:t>
      </w:r>
      <w:r>
        <w:rPr>
          <w:rStyle w:val="DecValTok"/>
        </w:rPr>
        <w:t xml:space="preserve">3</w:t>
      </w:r>
      <w:r>
        <w:rPr>
          <w:rStyle w:val="NormalTok"/>
        </w:rPr>
        <w:t xml:space="preserve">))</w:t>
      </w:r>
    </w:p>
    <w:p>
      <w:pPr>
        <w:pStyle w:val="FirstParagraph"/>
      </w:pPr>
      <w:r>
        <w:rPr>
          <w:b/>
          <w:bCs/>
        </w:rPr>
        <w:t xml:space="preserve">Verified output</w:t>
      </w:r>
    </w:p>
    <w:p>
      <w:pPr>
        <w:pStyle w:val="SourceCode"/>
        <w:keepLines/>
        <w:shd w:fill="F6F8FA" w:val="clear"/>
      </w:pPr>
      <w:r>
        <w:rPr>
          <w:rStyle w:val="VerbatimChar"/>
        </w:rPr>
        <w:t xml:space="preserve">[-0.603 -0.394 -0.265 -0.185 -0.136]</w:t>
      </w:r>
      <w:r>
        <w:br/>
      </w:r>
      <w:r>
        <w:rPr>
          <w:rStyle w:val="VerbatimChar"/>
        </w:rPr>
        <w:t xml:space="preserve">[-2.495  1.29 ]</w:t>
      </w:r>
    </w:p>
    <w:p>
      <w:pPr>
        <w:pStyle w:val="FirstParagraph"/>
      </w:pPr>
      <w:r>
        <w:rPr>
          <w:b/>
          <w:bCs/>
        </w:rPr>
        <w:t xml:space="preserve">Interpretation.</w:t>
      </w:r>
      <w:r>
        <w:t xml:space="preserve"> </w:t>
      </w:r>
      <w:r>
        <w:t xml:space="preserve">The forecast returns toward the estimated mean while uncertainty expands with horizon.</w:t>
      </w:r>
    </w:p>
    <w:bookmarkEnd w:id="369"/>
    <w:bookmarkEnd w:id="370"/>
    <w:bookmarkStart w:id="374" w:name="visual-evidence-18"/>
    <w:p>
      <w:pPr>
        <w:pStyle w:val="Heading2"/>
        <w:keepNext/>
      </w:pPr>
      <w:r>
        <w:t>38.7</w:t>
        <w:tab/>
        <w:t>Visual evidence</w:t>
      </w:r>
    </w:p>
    <w:p>
      <w:pPr>
        <w:pStyle w:val="FirstParagraph"/>
      </w:pPr>
      <w:r>
        <w:drawing>
          <wp:inline>
            <wp:extent cx="4907280" cy="2577974"/>
            <wp:effectExtent b="0" l="0" r="0" t="0"/>
            <wp:docPr descr="Image: rId371.png" title="" id="372" name="Picture"/>
            <a:graphic>
              <a:graphicData uri="http://schemas.openxmlformats.org/drawingml/2006/picture">
                <pic:pic>
                  <pic:nvPicPr>
                    <pic:cNvPr descr="figures/fig_22_arma_forecast.png" id="373" name="Picture"/>
                    <pic:cNvPicPr>
                      <a:picLocks noChangeArrowheads="1" noChangeAspect="1"/>
                    </pic:cNvPicPr>
                  </pic:nvPicPr>
                  <pic:blipFill>
                    <a:blip r:embed="rId371"/>
                    <a:stretch>
                      <a:fillRect/>
                    </a:stretch>
                  </pic:blipFill>
                  <pic:spPr bwMode="auto">
                    <a:xfrm>
                      <a:off x="0" y="0"/>
                      <a:ext cx="4907280" cy="2577974"/>
                    </a:xfrm>
                    <a:prstGeom prst="rect">
                      <a:avLst/>
                    </a:prstGeom>
                    <a:noFill/>
                    <a:ln w="9525">
                      <a:noFill/>
                      <a:headEnd/>
                      <a:tailEnd/>
                    </a:ln>
                  </pic:spPr>
                </pic:pic>
              </a:graphicData>
            </a:graphic>
          </wp:inline>
        </w:drawing>
      </w:r>
    </w:p>
    <w:p>
      <w:pPr>
        <w:pStyle w:val="Caption"/>
        <w:keepNext w:val="0"/>
        <w:jc w:val="center"/>
      </w:pPr>
      <w:r>
        <w:rPr>
          <w:b/>
          <w:bCs/>
        </w:rPr>
        <w:t xml:space="preserve">Figure 22.</w:t>
      </w:r>
      <w:r>
        <w:t xml:space="preserve"> </w:t>
      </w:r>
      <w:r>
        <w:t xml:space="preserve">A model forecast is a distribution, not merely a line.</w:t>
      </w:r>
    </w:p>
    <w:bookmarkEnd w:id="374"/>
    <w:bookmarkStart w:id="375" w:name="reference-table-18"/>
    <w:p>
      <w:pPr>
        <w:pStyle w:val="Heading2"/>
        <w:keepNext/>
      </w:pPr>
      <w:r>
        <w:t>38.8</w:t>
        <w:tab/>
        <w:t>Reference table</w:t>
      </w:r>
    </w:p>
    <w:p>
      <w:pPr>
        <w:pStyle w:val="Caption"/>
        <w:keepNext/>
        <w:jc w:val="center"/>
      </w:pPr>
      <w:r>
        <w:rPr>
          <w:b/>
          <w:bCs/>
        </w:rPr>
        <w:t xml:space="preserve">Table 19. Chapter reference.</w:t>
      </w:r>
    </w:p>
    <w:tbl>
      <w:tblPr>
        <w:tblStyle w:val="Table"/>
        <w:tblW w:type="auto" w:w="0"/>
        <w:jc w:val="center"/>
        <w:tblLayout w:type="autofit"/>
        <w:tblLook w:firstRow="1" w:lastRow="0" w:firstColumn="0" w:lastColumn="0" w:noHBand="0" w:noVBand="0" w:val="0020"/>
      </w:tblPr>
      <w:tblGrid>
        <w:gridCol w:w="2640"/>
        <w:gridCol w:w="2640"/>
        <w:gridCol w:w="2640"/>
      </w:tblGrid>
      <w:tr>
        <w:trPr>
          <w:tblHeader w:val="on"/>
          <w:tblHeader w:val="true"/>
          <w:cantSplit/>
        </w:trPr>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0A2342" w:val="clear"/>
          </w:tcPr>
          <w:p>
            <w:pPr>
              <w:pStyle w:val="Compact"/>
              <w:spacing w:before="30" w:after="30" w:line="240" w:lineRule="auto"/>
              <w:jc w:val="left"/>
            </w:pPr>
            <w:r>
              <w:rPr>
                <w:rFonts w:ascii="Noto Sans" w:hAnsi="Noto Sans" w:eastAsia="Noto Sans" w:cs="Noto Sans"/>
                <w:b/>
                <w:color w:val="FFFFFF"/>
                <w:sz w:val="16"/>
              </w:rPr>
              <w:t xml:space="preserve">Pattern</w:t>
            </w:r>
          </w:p>
        </w:tc>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0A2342" w:val="clear"/>
          </w:tcPr>
          <w:p>
            <w:pPr>
              <w:pStyle w:val="Compact"/>
              <w:spacing w:before="30" w:after="30" w:line="240" w:lineRule="auto"/>
              <w:jc w:val="left"/>
            </w:pPr>
            <w:r>
              <w:rPr>
                <w:rFonts w:ascii="Noto Sans" w:hAnsi="Noto Sans" w:eastAsia="Noto Sans" w:cs="Noto Sans"/>
                <w:b/>
                <w:color w:val="FFFFFF"/>
                <w:sz w:val="16"/>
              </w:rPr>
              <w:t xml:space="preserve">AR suggestion</w:t>
            </w:r>
          </w:p>
        </w:tc>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0A2342" w:val="clear"/>
          </w:tcPr>
          <w:p>
            <w:pPr>
              <w:pStyle w:val="Compact"/>
              <w:spacing w:before="30" w:after="30" w:line="240" w:lineRule="auto"/>
              <w:jc w:val="left"/>
            </w:pPr>
            <w:r>
              <w:rPr>
                <w:rFonts w:ascii="Noto Sans" w:hAnsi="Noto Sans" w:eastAsia="Noto Sans" w:cs="Noto Sans"/>
                <w:b/>
                <w:color w:val="FFFFFF"/>
                <w:sz w:val="16"/>
              </w:rPr>
              <w:t xml:space="preserve">MA suggestion</w:t>
            </w:r>
          </w:p>
        </w:tc>
      </w:tr>
      <w:tr>
        <w:trPr>
          <w:cantSplit/>
        </w:trPr>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EEF4F8" w:val="clear"/>
          </w:tcPr>
          <w:p>
            <w:pPr>
              <w:pStyle w:val="Compact"/>
              <w:spacing w:before="30" w:after="30" w:line="240" w:lineRule="auto"/>
              <w:jc w:val="left"/>
            </w:pPr>
            <w:r>
              <w:rPr>
                <w:rFonts w:ascii="Noto Sans" w:hAnsi="Noto Sans" w:eastAsia="Noto Sans" w:cs="Noto Sans"/>
                <w:b w:val="0"/>
                <w:color w:val="18212B"/>
                <w:sz w:val="16"/>
              </w:rPr>
              <w:t xml:space="preserve">ACF tails off; PACF cuts off</w:t>
            </w:r>
          </w:p>
        </w:tc>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EEF4F8" w:val="clear"/>
          </w:tcPr>
          <w:p>
            <w:pPr>
              <w:pStyle w:val="Compact"/>
              <w:spacing w:before="30" w:after="30" w:line="240" w:lineRule="auto"/>
              <w:jc w:val="left"/>
            </w:pPr>
            <w:r>
              <w:rPr>
                <w:rFonts w:ascii="Noto Sans" w:hAnsi="Noto Sans" w:eastAsia="Noto Sans" w:cs="Noto Sans"/>
                <w:b w:val="0"/>
                <w:color w:val="18212B"/>
                <w:sz w:val="16"/>
              </w:rPr>
              <w:t xml:space="preserve">AR(p)</w:t>
            </w:r>
          </w:p>
        </w:tc>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EEF4F8" w:val="clear"/>
          </w:tcPr>
          <w:p>
            <w:pPr>
              <w:pStyle w:val="Compact"/>
              <w:spacing w:before="30" w:after="30" w:line="240" w:lineRule="auto"/>
              <w:jc w:val="left"/>
            </w:pPr>
            <w:r>
              <w:rPr>
                <w:rFonts w:ascii="Noto Sans" w:hAnsi="Noto Sans" w:eastAsia="Noto Sans" w:cs="Noto Sans"/>
                <w:b w:val="0"/>
                <w:color w:val="18212B"/>
                <w:sz w:val="16"/>
              </w:rPr>
              <w:t xml:space="preserve">not primary</w:t>
            </w:r>
          </w:p>
        </w:tc>
      </w:tr>
      <w:tr>
        <w:trPr>
          <w:cantSplit/>
        </w:trPr>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FFFFFF" w:val="clear"/>
          </w:tcPr>
          <w:p>
            <w:pPr>
              <w:pStyle w:val="Compact"/>
              <w:spacing w:before="30" w:after="30" w:line="240" w:lineRule="auto"/>
              <w:jc w:val="left"/>
            </w:pPr>
            <w:r>
              <w:rPr>
                <w:rFonts w:ascii="Noto Sans" w:hAnsi="Noto Sans" w:eastAsia="Noto Sans" w:cs="Noto Sans"/>
                <w:b w:val="0"/>
                <w:color w:val="18212B"/>
                <w:sz w:val="16"/>
              </w:rPr>
              <w:t xml:space="preserve">ACF cuts off; PACF tails off</w:t>
            </w:r>
          </w:p>
        </w:tc>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FFFFFF" w:val="clear"/>
          </w:tcPr>
          <w:p>
            <w:pPr>
              <w:pStyle w:val="Compact"/>
              <w:spacing w:before="30" w:after="30" w:line="240" w:lineRule="auto"/>
              <w:jc w:val="left"/>
            </w:pPr>
            <w:r>
              <w:rPr>
                <w:rFonts w:ascii="Noto Sans" w:hAnsi="Noto Sans" w:eastAsia="Noto Sans" w:cs="Noto Sans"/>
                <w:b w:val="0"/>
                <w:color w:val="18212B"/>
                <w:sz w:val="16"/>
              </w:rPr>
              <w:t xml:space="preserve">not primary</w:t>
            </w:r>
          </w:p>
        </w:tc>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FFFFFF" w:val="clear"/>
          </w:tcPr>
          <w:p>
            <w:pPr>
              <w:pStyle w:val="Compact"/>
              <w:spacing w:before="30" w:after="30" w:line="240" w:lineRule="auto"/>
              <w:jc w:val="left"/>
            </w:pPr>
            <w:r>
              <w:rPr>
                <w:rFonts w:ascii="Noto Sans" w:hAnsi="Noto Sans" w:eastAsia="Noto Sans" w:cs="Noto Sans"/>
                <w:b w:val="0"/>
                <w:color w:val="18212B"/>
                <w:sz w:val="16"/>
              </w:rPr>
              <w:t xml:space="preserve">MA(q)</w:t>
            </w:r>
          </w:p>
        </w:tc>
      </w:tr>
      <w:tr>
        <w:trPr>
          <w:cantSplit/>
        </w:trPr>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EEF4F8" w:val="clear"/>
          </w:tcPr>
          <w:p>
            <w:pPr>
              <w:pStyle w:val="Compact"/>
              <w:spacing w:before="30" w:after="30" w:line="240" w:lineRule="auto"/>
              <w:jc w:val="left"/>
            </w:pPr>
            <w:r>
              <w:rPr>
                <w:rFonts w:ascii="Noto Sans" w:hAnsi="Noto Sans" w:eastAsia="Noto Sans" w:cs="Noto Sans"/>
                <w:b w:val="0"/>
                <w:color w:val="18212B"/>
                <w:sz w:val="16"/>
              </w:rPr>
              <w:t xml:space="preserve">both tail off</w:t>
            </w:r>
          </w:p>
        </w:tc>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EEF4F8" w:val="clear"/>
          </w:tcPr>
          <w:p>
            <w:pPr>
              <w:pStyle w:val="Compact"/>
              <w:spacing w:before="30" w:after="30" w:line="240" w:lineRule="auto"/>
              <w:jc w:val="left"/>
            </w:pPr>
            <w:r>
              <w:rPr>
                <w:rFonts w:ascii="Noto Sans" w:hAnsi="Noto Sans" w:eastAsia="Noto Sans" w:cs="Noto Sans"/>
                <w:b w:val="0"/>
                <w:color w:val="18212B"/>
                <w:sz w:val="16"/>
              </w:rPr>
              <w:t xml:space="preserve">ARMA candidate</w:t>
            </w:r>
          </w:p>
        </w:tc>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EEF4F8" w:val="clear"/>
          </w:tcPr>
          <w:p>
            <w:pPr>
              <w:pStyle w:val="Compact"/>
              <w:spacing w:before="30" w:after="30" w:line="240" w:lineRule="auto"/>
              <w:jc w:val="left"/>
            </w:pPr>
            <w:r>
              <w:rPr>
                <w:rFonts w:ascii="Noto Sans" w:hAnsi="Noto Sans" w:eastAsia="Noto Sans" w:cs="Noto Sans"/>
                <w:b w:val="0"/>
                <w:color w:val="18212B"/>
                <w:sz w:val="16"/>
              </w:rPr>
              <w:t xml:space="preserve">ARMA candidate</w:t>
            </w:r>
          </w:p>
        </w:tc>
      </w:tr>
      <w:tr>
        <w:trPr>
          <w:cantSplit/>
        </w:trPr>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FFFFFF" w:val="clear"/>
          </w:tcPr>
          <w:p>
            <w:pPr>
              <w:pStyle w:val="Compact"/>
              <w:spacing w:before="30" w:after="30" w:line="240" w:lineRule="auto"/>
              <w:jc w:val="left"/>
            </w:pPr>
            <w:r>
              <w:rPr>
                <w:rFonts w:ascii="Noto Sans" w:hAnsi="Noto Sans" w:eastAsia="Noto Sans" w:cs="Noto Sans"/>
                <w:b w:val="0"/>
                <w:color w:val="18212B"/>
                <w:sz w:val="16"/>
              </w:rPr>
              <w:t xml:space="preserve">slow decay in levels</w:t>
            </w:r>
          </w:p>
        </w:tc>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FFFFFF" w:val="clear"/>
          </w:tcPr>
          <w:p>
            <w:pPr>
              <w:pStyle w:val="Compact"/>
              <w:spacing w:before="30" w:after="30" w:line="240" w:lineRule="auto"/>
              <w:jc w:val="left"/>
            </w:pPr>
            <w:r>
              <w:rPr>
                <w:rFonts w:ascii="Noto Sans" w:hAnsi="Noto Sans" w:eastAsia="Noto Sans" w:cs="Noto Sans"/>
                <w:b w:val="0"/>
                <w:color w:val="18212B"/>
                <w:sz w:val="16"/>
              </w:rPr>
              <w:t xml:space="preserve">possible unit root</w:t>
            </w:r>
          </w:p>
        </w:tc>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FFFFFF" w:val="clear"/>
          </w:tcPr>
          <w:p>
            <w:pPr>
              <w:pStyle w:val="Compact"/>
              <w:spacing w:before="30" w:after="30" w:line="240" w:lineRule="auto"/>
              <w:jc w:val="left"/>
            </w:pPr>
            <w:r>
              <w:rPr>
                <w:rFonts w:ascii="Noto Sans" w:hAnsi="Noto Sans" w:eastAsia="Noto Sans" w:cs="Noto Sans"/>
                <w:b w:val="0"/>
                <w:color w:val="18212B"/>
                <w:sz w:val="16"/>
              </w:rPr>
              <w:t xml:space="preserve">difference before ARMA</w:t>
            </w:r>
          </w:p>
        </w:tc>
      </w:tr>
    </w:tbl>
    <w:p>
      <w:pPr>
        <w:pStyle w:val="BlockText"/>
        <w:shd w:fill="EAF7F5" w:val="clear"/>
        <w:pBdr>
          <w:left w:val="single" w:sz="18" w:space="8" w:color="008F87"/>
        </w:pBdr>
      </w:pPr>
      <w:r>
        <w:rPr>
          <w:b/>
          <w:bCs/>
        </w:rPr>
        <w:t xml:space="preserve">Why This Matters</w:t>
      </w:r>
    </w:p>
    <w:p>
      <w:pPr>
        <w:pStyle w:val="BlockText"/>
        <w:shd w:fill="EAF7F5" w:val="clear"/>
        <w:pBdr>
          <w:left w:val="single" w:sz="18" w:space="8" w:color="008F87"/>
        </w:pBdr>
      </w:pPr>
      <w:r>
        <w:t xml:space="preserve">Forecast models are useful only when their information set, benchmark, horizon, and evaluation window match the decision.</w:t>
      </w:r>
    </w:p>
    <w:p>
      <w:pPr>
        <w:pStyle w:val="BlockText"/>
        <w:shd w:fill="EAF7F5" w:val="clear"/>
        <w:pBdr>
          <w:left w:val="single" w:sz="18" w:space="8" w:color="008F87"/>
        </w:pBdr>
      </w:pPr>
      <w:r>
        <w:rPr>
          <w:b/>
          <w:bCs/>
        </w:rPr>
        <w:t xml:space="preserve">Common Mistake</w:t>
      </w:r>
    </w:p>
    <w:p>
      <w:pPr>
        <w:pStyle w:val="BlockText"/>
        <w:shd w:fill="EAF7F5" w:val="clear"/>
        <w:pBdr>
          <w:left w:val="single" w:sz="18" w:space="8" w:color="008F87"/>
        </w:pBdr>
      </w:pPr>
      <w:r>
        <w:t xml:space="preserve">Selecting p and q solely by scanning many specifications on the full sample, then reporting the best fit as an out-of-sample success.</w:t>
      </w:r>
    </w:p>
    <w:p>
      <w:pPr>
        <w:pStyle w:val="BlockText"/>
        <w:shd w:fill="EAF7F5" w:val="clear"/>
        <w:pBdr>
          <w:left w:val="single" w:sz="18" w:space="8" w:color="008F87"/>
        </w:pBdr>
      </w:pPr>
      <w:r>
        <w:rPr>
          <w:b/>
          <w:bCs/>
        </w:rPr>
        <w:t xml:space="preserve">Ceteris LAB Tip</w:t>
      </w:r>
    </w:p>
    <w:p>
      <w:pPr>
        <w:pStyle w:val="BlockText"/>
        <w:shd w:fill="EAF7F5" w:val="clear"/>
        <w:pBdr>
          <w:left w:val="single" w:sz="18" w:space="8" w:color="008F87"/>
        </w:pBdr>
      </w:pPr>
      <w:r>
        <w:t xml:space="preserve">Always compare an ARIMA forecast with a simple benchmark such as the historical mean, last value, or seasonal naive forecast.</w:t>
      </w:r>
    </w:p>
    <w:p>
      <w:pPr>
        <w:pStyle w:val="BlockText"/>
        <w:shd w:fill="EAF7F5" w:val="clear"/>
        <w:pBdr>
          <w:left w:val="single" w:sz="18" w:space="8" w:color="008F87"/>
        </w:pBdr>
      </w:pPr>
      <w:r>
        <w:rPr>
          <w:b/>
          <w:bCs/>
        </w:rPr>
        <w:t xml:space="preserve">R-to-Python / Source Bridge</w:t>
      </w:r>
    </w:p>
    <w:p>
      <w:pPr>
        <w:pStyle w:val="BlockText"/>
        <w:shd w:fill="EAF7F5" w:val="clear"/>
        <w:pBdr>
          <w:left w:val="single" w:sz="18" w:space="8" w:color="008F87"/>
        </w:pBdr>
      </w:pPr>
      <w:r>
        <w:t xml:space="preserve">The source AR lecture develops mean reversion, forecast-error variance, half-life, AIC/BIC, and Ljung-Box checks. The Python implementation uses statsmodels and explicitly documents intercept and MA-sign conventions</w:t>
      </w:r>
      <w:r>
        <w:t xml:space="preserve"> </w:t>
      </w:r>
      <w:r>
        <w:t xml:space="preserve">(Tsay 2013)</w:t>
      </w:r>
      <w:r>
        <w:t xml:space="preserve">.</w:t>
      </w:r>
    </w:p>
    <w:bookmarkEnd w:id="375"/>
    <w:bookmarkStart w:id="376" w:name="guided-practice-18"/>
    <w:p>
      <w:pPr>
        <w:pStyle w:val="Heading2"/>
        <w:keepNext/>
      </w:pPr>
      <w:r>
        <w:t>38.9</w:t>
        <w:tab/>
        <w:t>Guided practice</w:t>
      </w:r>
    </w:p>
    <w:p>
      <w:pPr>
        <w:pStyle w:val="Compact"/>
        <w:numPr>
          <w:ilvl w:val="0"/>
          <w:numId w:val="1076"/>
        </w:numPr>
      </w:pPr>
      <w:r>
        <w:t xml:space="preserve">Re-run Demonstration 19.1 and change one input while keeping the analytical question fixed.</w:t>
      </w:r>
    </w:p>
    <w:p>
      <w:pPr>
        <w:pStyle w:val="Compact"/>
        <w:numPr>
          <w:ilvl w:val="0"/>
          <w:numId w:val="1076"/>
        </w:numPr>
      </w:pPr>
      <w:r>
        <w:t xml:space="preserve">Explain in two sentences how the output supports, or fails to support, the chapter opening question.</w:t>
      </w:r>
    </w:p>
    <w:p>
      <w:pPr>
        <w:pStyle w:val="Compact"/>
        <w:numPr>
          <w:ilvl w:val="0"/>
          <w:numId w:val="1076"/>
        </w:numPr>
      </w:pPr>
      <w:r>
        <w:t xml:space="preserve">Add one validation check that would prevent a plausible error.</w:t>
      </w:r>
    </w:p>
    <w:bookmarkEnd w:id="376"/>
    <w:bookmarkStart w:id="377" w:name="exercises-18"/>
    <w:p>
      <w:pPr>
        <w:pStyle w:val="Heading2"/>
        <w:keepNext/>
      </w:pPr>
      <w:r>
        <w:t>38.10</w:t>
        <w:tab/>
        <w:t>Exercises</w:t>
      </w:r>
    </w:p>
    <w:p>
      <w:pPr>
        <w:pStyle w:val="Compact"/>
        <w:numPr>
          <w:ilvl w:val="0"/>
          <w:numId w:val="1077"/>
        </w:numPr>
      </w:pPr>
      <w:r>
        <w:t xml:space="preserve">Simulate an AR(1) with phi 0.8 and calculate its half-life.</w:t>
      </w:r>
    </w:p>
    <w:p>
      <w:pPr>
        <w:pStyle w:val="Compact"/>
        <w:numPr>
          <w:ilvl w:val="0"/>
          <w:numId w:val="1077"/>
        </w:numPr>
      </w:pPr>
      <w:r>
        <w:t xml:space="preserve">Fit ARIMA candidates and compare AIC and BIC.</w:t>
      </w:r>
    </w:p>
    <w:p>
      <w:pPr>
        <w:pStyle w:val="Compact"/>
        <w:numPr>
          <w:ilvl w:val="0"/>
          <w:numId w:val="1077"/>
        </w:numPr>
      </w:pPr>
      <w:r>
        <w:t xml:space="preserve">Reserve the last 20 observations for evaluation.</w:t>
      </w:r>
    </w:p>
    <w:p>
      <w:pPr>
        <w:pStyle w:val="Compact"/>
        <w:numPr>
          <w:ilvl w:val="0"/>
          <w:numId w:val="1077"/>
        </w:numPr>
      </w:pPr>
      <w:r>
        <w:t xml:space="preserve">Explain why forecast intervals widen with horizon.</w:t>
      </w:r>
    </w:p>
    <w:bookmarkEnd w:id="377"/>
    <w:bookmarkStart w:id="378" w:name="chapter-summary-18"/>
    <w:p>
      <w:pPr>
        <w:pStyle w:val="Heading2"/>
        <w:keepNext/>
      </w:pPr>
      <w:r>
        <w:t>38.11</w:t>
        <w:tab/>
        <w:t>Chapter summary</w:t>
      </w:r>
    </w:p>
    <w:p>
      <w:pPr>
        <w:pStyle w:val="Compact"/>
        <w:numPr>
          <w:ilvl w:val="0"/>
          <w:numId w:val="1078"/>
        </w:numPr>
      </w:pPr>
      <w:r>
        <w:t xml:space="preserve">AR models encode persistence; MA models encode shock memory.</w:t>
      </w:r>
    </w:p>
    <w:p>
      <w:pPr>
        <w:pStyle w:val="Compact"/>
        <w:numPr>
          <w:ilvl w:val="0"/>
          <w:numId w:val="1078"/>
        </w:numPr>
      </w:pPr>
      <w:r>
        <w:t xml:space="preserve">ARIMA adds differencing for integrated series.</w:t>
      </w:r>
    </w:p>
    <w:p>
      <w:pPr>
        <w:pStyle w:val="Compact"/>
        <w:numPr>
          <w:ilvl w:val="0"/>
          <w:numId w:val="1078"/>
        </w:numPr>
      </w:pPr>
      <w:r>
        <w:t xml:space="preserve">Model selection must be followed by residual diagnostics and genuine out-of-sample evaluation.</w:t>
      </w:r>
    </w:p>
    <w:bookmarkEnd w:id="378"/>
    <w:bookmarkStart w:id="379" w:name="key-python-commands-18"/>
    <w:p>
      <w:pPr>
        <w:pStyle w:val="Heading2"/>
        <w:keepNext/>
      </w:pPr>
      <w:r>
        <w:t>38.12</w:t>
        <w:tab/>
        <w:t>Key Python commands</w:t>
      </w:r>
    </w:p>
    <w:p>
      <w:pPr>
        <w:pStyle w:val="SourceCode"/>
        <w:shd w:fill="F6F8FA" w:val="clear"/>
      </w:pPr>
      <w:r>
        <w:rPr>
          <w:rStyle w:val="ImportTok"/>
        </w:rPr>
        <w:t xml:space="preserve">import</w:t>
      </w:r>
      <w:r>
        <w:rPr>
          <w:rStyle w:val="NormalTok"/>
        </w:rPr>
        <w:t xml:space="preserve"> numpy </w:t>
      </w:r>
      <w:r>
        <w:rPr>
          <w:rStyle w:val="ImportTok"/>
        </w:rPr>
        <w:t xml:space="preserve">as</w:t>
      </w:r>
      <w:r>
        <w:rPr>
          <w:rStyle w:val="NormalTok"/>
        </w:rPr>
        <w:t xml:space="preserve"> np</w:t>
      </w:r>
      <w:r>
        <w:br/>
      </w:r>
      <w:r>
        <w:rPr>
          <w:rStyle w:val="ImportTok"/>
        </w:rPr>
        <w:t xml:space="preserve">from</w:t>
      </w:r>
      <w:r>
        <w:rPr>
          <w:rStyle w:val="NormalTok"/>
        </w:rPr>
        <w:t xml:space="preserve"> statsmodels.tsa.arima_process </w:t>
      </w:r>
      <w:r>
        <w:rPr>
          <w:rStyle w:val="ImportTok"/>
        </w:rPr>
        <w:t xml:space="preserve">import</w:t>
      </w:r>
      <w:r>
        <w:rPr>
          <w:rStyle w:val="NormalTok"/>
        </w:rPr>
        <w:t xml:space="preserve"> ArmaProcess</w:t>
      </w:r>
      <w:r>
        <w:br/>
      </w:r>
      <w:r>
        <w:rPr>
          <w:rStyle w:val="ImportTok"/>
        </w:rPr>
        <w:t xml:space="preserve">from</w:t>
      </w:r>
      <w:r>
        <w:rPr>
          <w:rStyle w:val="NormalTok"/>
        </w:rPr>
        <w:t xml:space="preserve"> statsmodels.tsa.arima.model </w:t>
      </w:r>
      <w:r>
        <w:rPr>
          <w:rStyle w:val="ImportTok"/>
        </w:rPr>
        <w:t xml:space="preserve">import</w:t>
      </w:r>
      <w:r>
        <w:rPr>
          <w:rStyle w:val="NormalTok"/>
        </w:rPr>
        <w:t xml:space="preserve"> ARIMA</w:t>
      </w:r>
      <w:r>
        <w:br/>
      </w:r>
      <w:r>
        <w:rPr>
          <w:rStyle w:val="NormalTok"/>
        </w:rPr>
        <w:t xml:space="preserve">rng </w:t>
      </w:r>
      <w:r>
        <w:rPr>
          <w:rStyle w:val="OperatorTok"/>
        </w:rPr>
        <w:t xml:space="preserve">=</w:t>
      </w:r>
      <w:r>
        <w:rPr>
          <w:rStyle w:val="NormalTok"/>
        </w:rPr>
        <w:t xml:space="preserve"> np.random.default_rng(</w:t>
      </w:r>
      <w:r>
        <w:rPr>
          <w:rStyle w:val="DecValTok"/>
        </w:rPr>
        <w:t xml:space="preserve">19</w:t>
      </w:r>
      <w:r>
        <w:rPr>
          <w:rStyle w:val="NormalTok"/>
        </w:rPr>
        <w:t xml:space="preserve">)</w:t>
      </w:r>
      <w:r>
        <w:br/>
      </w:r>
      <w:r>
        <w:rPr>
          <w:rStyle w:val="NormalTok"/>
        </w:rPr>
        <w:t xml:space="preserve">process </w:t>
      </w:r>
      <w:r>
        <w:rPr>
          <w:rStyle w:val="OperatorTok"/>
        </w:rPr>
        <w:t xml:space="preserve">=</w:t>
      </w:r>
      <w:r>
        <w:rPr>
          <w:rStyle w:val="NormalTok"/>
        </w:rPr>
        <w:t xml:space="preserve"> ArmaProcess(ar</w:t>
      </w:r>
      <w:r>
        <w:rPr>
          <w:rStyle w:val="OperatorTok"/>
        </w:rPr>
        <w:t xml:space="preserve">=</w:t>
      </w:r>
      <w:r>
        <w:rPr>
          <w:rStyle w:val="NormalTok"/>
        </w:rPr>
        <w:t xml:space="preserve">[</w:t>
      </w:r>
      <w:r>
        <w:rPr>
          <w:rStyle w:val="DecValTok"/>
        </w:rPr>
        <w:t xml:space="preserve">1</w:t>
      </w:r>
      <w:r>
        <w:rPr>
          <w:rStyle w:val="NormalTok"/>
        </w:rPr>
        <w:t xml:space="preserve">, </w:t>
      </w:r>
      <w:r>
        <w:rPr>
          <w:rStyle w:val="OperatorTok"/>
        </w:rPr>
        <w:t xml:space="preserve">-</w:t>
      </w:r>
      <w:r>
        <w:rPr>
          <w:rStyle w:val="FloatTok"/>
        </w:rPr>
        <w:t xml:space="preserve">0.65</w:t>
      </w:r>
      <w:r>
        <w:rPr>
          <w:rStyle w:val="NormalTok"/>
        </w:rPr>
        <w:t xml:space="preserve">], ma</w:t>
      </w:r>
      <w:r>
        <w:rPr>
          <w:rStyle w:val="OperatorTok"/>
        </w:rPr>
        <w:t xml:space="preserve">=</w:t>
      </w:r>
      <w:r>
        <w:rPr>
          <w:rStyle w:val="NormalTok"/>
        </w:rPr>
        <w:t xml:space="preserve">[</w:t>
      </w:r>
      <w:r>
        <w:rPr>
          <w:rStyle w:val="DecValTok"/>
        </w:rPr>
        <w:t xml:space="preserve">1</w:t>
      </w:r>
      <w:r>
        <w:rPr>
          <w:rStyle w:val="NormalTok"/>
        </w:rPr>
        <w:t xml:space="preserve">, </w:t>
      </w:r>
      <w:r>
        <w:rPr>
          <w:rStyle w:val="FloatTok"/>
        </w:rPr>
        <w:t xml:space="preserve">0.35</w:t>
      </w:r>
      <w:r>
        <w:rPr>
          <w:rStyle w:val="NormalTok"/>
        </w:rPr>
        <w:t xml:space="preserve">])</w:t>
      </w:r>
      <w:r>
        <w:br/>
      </w:r>
      <w:r>
        <w:rPr>
          <w:rStyle w:val="NormalTok"/>
        </w:rPr>
        <w:t xml:space="preserve">x </w:t>
      </w:r>
      <w:r>
        <w:rPr>
          <w:rStyle w:val="OperatorTok"/>
        </w:rPr>
        <w:t xml:space="preserve">=</w:t>
      </w:r>
      <w:r>
        <w:rPr>
          <w:rStyle w:val="NormalTok"/>
        </w:rPr>
        <w:t xml:space="preserve"> process.generate_sample(</w:t>
      </w:r>
      <w:r>
        <w:rPr>
          <w:rStyle w:val="DecValTok"/>
        </w:rPr>
        <w:t xml:space="preserve">500</w:t>
      </w:r>
      <w:r>
        <w:rPr>
          <w:rStyle w:val="NormalTok"/>
        </w:rPr>
        <w:t xml:space="preserve">, distrvs</w:t>
      </w:r>
      <w:r>
        <w:rPr>
          <w:rStyle w:val="OperatorTok"/>
        </w:rPr>
        <w:t xml:space="preserve">=</w:t>
      </w:r>
      <w:r>
        <w:rPr>
          <w:rStyle w:val="NormalTok"/>
        </w:rPr>
        <w:t xml:space="preserve">rng.standard_normal)</w:t>
      </w:r>
    </w:p>
    <w:bookmarkEnd w:id="379"/>
    <w:bookmarkEnd w:id="380"/>
    <w:bookmarkStart w:id="404" w:name="Xb1bd365769227303672ff0f215db86c2e47d41e"/>
    <w:p>
      <w:pPr>
        <w:pStyle w:val="Heading1"/>
        <w:keepNext/>
        <w:pageBreakBefore/>
      </w:pPr>
      <w:r>
        <w:t>39</w:t>
        <w:tab/>
        <w:t>Unit Roots, Seasonality, and Dynamic Regression</w:t>
      </w:r>
    </w:p>
    <w:p>
      <w:pPr>
        <w:pStyle w:val="FirstParagraph"/>
      </w:pPr>
      <w:r>
        <w:rPr>
          <w:i/>
          <w:iCs/>
        </w:rPr>
        <w:t xml:space="preserve">Opening question:</w:t>
      </w:r>
      <w:r>
        <w:t xml:space="preserve"> </w:t>
      </w:r>
      <w:r>
        <w:rPr>
          <w:b/>
          <w:bCs/>
        </w:rPr>
        <w:t xml:space="preserve">How can a model distinguish persistent trend, recurring seasonality, and serially correlated errors?</w:t>
      </w:r>
    </w:p>
    <w:bookmarkStart w:id="381" w:name="learning-objectives-19"/>
    <w:p>
      <w:pPr>
        <w:pStyle w:val="Heading2"/>
        <w:keepNext/>
      </w:pPr>
      <w:r>
        <w:t>39.1</w:t>
        <w:tab/>
        <w:t>Learning objectives</w:t>
      </w:r>
    </w:p>
    <w:p>
      <w:pPr>
        <w:pStyle w:val="Compact"/>
        <w:numPr>
          <w:ilvl w:val="0"/>
          <w:numId w:val="1079"/>
        </w:numPr>
      </w:pPr>
      <w:r>
        <w:t xml:space="preserve">Diagnose unit roots and differencing needs.</w:t>
      </w:r>
    </w:p>
    <w:p>
      <w:pPr>
        <w:pStyle w:val="Compact"/>
        <w:numPr>
          <w:ilvl w:val="0"/>
          <w:numId w:val="1079"/>
        </w:numPr>
      </w:pPr>
      <w:r>
        <w:t xml:space="preserve">Apply seasonal differencing and decomposition.</w:t>
      </w:r>
    </w:p>
    <w:p>
      <w:pPr>
        <w:pStyle w:val="Compact"/>
        <w:numPr>
          <w:ilvl w:val="0"/>
          <w:numId w:val="1079"/>
        </w:numPr>
      </w:pPr>
      <w:r>
        <w:t xml:space="preserve">Estimate SARIMA and SARIMAX models.</w:t>
      </w:r>
    </w:p>
    <w:p>
      <w:pPr>
        <w:pStyle w:val="Compact"/>
        <w:numPr>
          <w:ilvl w:val="0"/>
          <w:numId w:val="1079"/>
        </w:numPr>
      </w:pPr>
      <w:r>
        <w:t xml:space="preserve">Interpret regression with time-series errors cautiously.</w:t>
      </w:r>
    </w:p>
    <w:p>
      <w:pPr>
        <w:pStyle w:val="FirstParagraph"/>
      </w:pPr>
      <w:r>
        <w:rPr>
          <w:b/>
          <w:bCs/>
        </w:rPr>
        <w:t xml:space="preserve">Prerequisites:</w:t>
      </w:r>
      <w:r>
        <w:t xml:space="preserve"> </w:t>
      </w:r>
      <w:r>
        <w:t xml:space="preserve">Chapters 18 and 19.</w:t>
      </w:r>
    </w:p>
    <w:p>
      <w:pPr>
        <w:pStyle w:val="BodyText"/>
      </w:pPr>
      <w:r>
        <w:rPr>
          <w:b/>
          <w:bCs/>
        </w:rPr>
        <w:t xml:space="preserve">Key terms:</w:t>
      </w:r>
      <w:r>
        <w:t xml:space="preserve"> </w:t>
      </w:r>
      <w:r>
        <w:t xml:space="preserve">unit root, seasonality, seasonal difference, SARIMA, SARIMAX, dynamic regression.</w:t>
      </w:r>
    </w:p>
    <w:bookmarkEnd w:id="381"/>
    <w:bookmarkStart w:id="382" w:name="X24754b32a9c3c56c63e38fc55d834ed8527ed32"/>
    <w:p>
      <w:pPr>
        <w:pStyle w:val="Heading2"/>
        <w:keepNext/>
      </w:pPr>
      <w:r>
        <w:t>39.2</w:t>
        <w:tab/>
        <w:t>Differencing removes a stochastic trend, not every trend</w:t>
      </w:r>
    </w:p>
    <w:p>
      <w:pPr>
        <w:pStyle w:val="FirstParagraph"/>
      </w:pPr>
      <w:r>
        <w:t xml:space="preserve">A unit-root process accumulates shocks, so its level does not revert to a fixed mean. First differencing converts a random walk into its innovations. Over-differencing can create unnecessary negative autocorrelation and discard long-run information. ADF results depend on deterministic terms, lag selection, sample length, and structural breaks; the test is evidence rather than a mechanical command.</w:t>
      </w:r>
    </w:p>
    <w:bookmarkEnd w:id="382"/>
    <w:bookmarkStart w:id="383" w:name="Xeb12c1ebf5b31414a4354b2c6ced8c6c5008445"/>
    <w:p>
      <w:pPr>
        <w:pStyle w:val="Heading2"/>
        <w:keepNext/>
      </w:pPr>
      <w:r>
        <w:t>39.3</w:t>
        <w:tab/>
        <w:t>Seasonality is dependence at a calendar rhythm</w:t>
      </w:r>
    </w:p>
    <w:p>
      <w:pPr>
        <w:pStyle w:val="FirstParagraph"/>
      </w:pPr>
      <w:r>
        <w:t xml:space="preserve">Monthly and quarterly series may repeat patterns because of weather, institutions, holidays, or reporting cycles. Seasonal decomposition separates estimated trend, seasonal, and residual components for exploration. Seasonal differencing compares an observation with the same season in the previous cycle. A multiplicative seasonal ARIMA model allows regular and seasonal AR and MA components to interact.</w:t>
      </w:r>
    </w:p>
    <w:bookmarkEnd w:id="383"/>
    <w:bookmarkStart w:id="384" w:name="regression-errors-can-remember-the-past"/>
    <w:p>
      <w:pPr>
        <w:pStyle w:val="Heading2"/>
        <w:keepNext/>
      </w:pPr>
      <w:r>
        <w:t>39.4</w:t>
        <w:tab/>
        <w:t>Regression errors can remember the past</w:t>
      </w:r>
    </w:p>
    <w:p>
      <w:pPr>
        <w:pStyle w:val="FirstParagraph"/>
      </w:pPr>
      <w:r>
        <w:t xml:space="preserve">OLS coefficients remain a conditional linear fit, but serially correlated residuals invalidate ordinary standard-error formulas and signal omitted dynamics. SARIMAX can estimate regression coefficients jointly with ARIMA errors. The regressors must be available at forecast time, and contemporaneous relationships may still be endogenous. A strong fit between two trending series can be spurious unless nonstationarity is addressed.</w:t>
      </w:r>
    </w:p>
    <w:bookmarkEnd w:id="384"/>
    <w:bookmarkStart w:id="385" w:name="core-equations-7"/>
    <w:p>
      <w:pPr>
        <w:pStyle w:val="Heading2"/>
        <w:keepNext/>
      </w:pPr>
      <w:r>
        <w:t>39.5</w:t>
        <w:tab/>
        <w:t>Core equations</w:t>
      </w:r>
    </w:p>
    <w:p>
      <w:pPr>
        <w:pStyle w:val="FirstParagraph"/>
      </w:pPr>
      <w:r>
        <w:rPr>
          <w:b/>
          <w:bCs/>
        </w:rPr>
        <w:t xml:space="preserve">Seasonal difference</w:t>
      </w:r>
    </w:p>
    <w:p>
      <w:pPr>
        <w:pStyle w:val="BodyText"/>
      </w:pPr>
      <m:oMathPara>
        <m:oMathParaPr>
          <m:jc m:val="center"/>
        </m:oMathParaPr>
        <m:oMath>
          <m:sSub>
            <m:e>
              <m:r>
                <m:t>Δ</m:t>
              </m:r>
            </m:e>
            <m:sub>
              <m:r>
                <m:t>s</m:t>
              </m:r>
            </m:sub>
          </m:sSub>
          <m:sSub>
            <m:e>
              <m:r>
                <m:t>X</m:t>
              </m:r>
            </m:e>
            <m:sub>
              <m:r>
                <m:t>t</m:t>
              </m:r>
            </m:sub>
          </m:sSub>
          <m:r>
            <m:rPr>
              <m:sty m:val="p"/>
            </m:rPr>
            <m:t>=</m:t>
          </m:r>
          <m:sSub>
            <m:e>
              <m:r>
                <m:t>X</m:t>
              </m:r>
            </m:e>
            <m:sub>
              <m:r>
                <m:t>t</m:t>
              </m:r>
            </m:sub>
          </m:sSub>
          <m:r>
            <m:rPr>
              <m:sty m:val="p"/>
            </m:rPr>
            <m:t>−</m:t>
          </m:r>
          <m:sSub>
            <m:e>
              <m:r>
                <m:t>X</m:t>
              </m:r>
            </m:e>
            <m:sub>
              <m:r>
                <m:t>t</m:t>
              </m:r>
              <m:r>
                <m:rPr>
                  <m:sty m:val="p"/>
                </m:rPr>
                <m:t>−</m:t>
              </m:r>
              <m:r>
                <m:t>s</m:t>
              </m:r>
            </m:sub>
          </m:sSub>
        </m:oMath>
      </m:oMathPara>
    </w:p>
    <w:p>
      <w:pPr>
        <w:pStyle w:val="FirstParagraph"/>
      </w:pPr>
      <w:r>
        <w:t xml:space="preserve">The operator compares the same position in adjacent seasonal cycles.</w:t>
      </w:r>
    </w:p>
    <w:p>
      <w:pPr>
        <w:pStyle w:val="BodyText"/>
      </w:pPr>
      <w:r>
        <w:rPr>
          <w:b/>
          <w:bCs/>
        </w:rPr>
        <w:t xml:space="preserve">Airline model</w:t>
      </w:r>
    </w:p>
    <w:p>
      <w:pPr>
        <w:pStyle w:val="BodyText"/>
      </w:pPr>
      <m:oMathPara>
        <m:oMathParaPr>
          <m:jc m:val="center"/>
        </m:oMathParaPr>
        <m:oMath>
          <m:d>
            <m:dPr>
              <m:begChr m:val="("/>
              <m:endChr m:val=")"/>
              <m:sepChr m:val=""/>
              <m:grow/>
            </m:dPr>
            <m:e>
              <m:r>
                <m:t>1</m:t>
              </m:r>
              <m:r>
                <m:rPr>
                  <m:sty m:val="p"/>
                </m:rPr>
                <m:t>−</m:t>
              </m:r>
              <m:r>
                <m:t>B</m:t>
              </m:r>
            </m:e>
          </m:d>
          <m:d>
            <m:dPr>
              <m:begChr m:val="("/>
              <m:endChr m:val=")"/>
              <m:sepChr m:val=""/>
              <m:grow/>
            </m:dPr>
            <m:e>
              <m:r>
                <m:t>1</m:t>
              </m:r>
              <m:r>
                <m:rPr>
                  <m:sty m:val="p"/>
                </m:rPr>
                <m:t>−</m:t>
              </m:r>
              <m:sSup>
                <m:e>
                  <m:r>
                    <m:t>B</m:t>
                  </m:r>
                </m:e>
                <m:sup>
                  <m:r>
                    <m:t>s</m:t>
                  </m:r>
                </m:sup>
              </m:sSup>
            </m:e>
          </m:d>
          <m:sSub>
            <m:e>
              <m:r>
                <m:t>X</m:t>
              </m:r>
            </m:e>
            <m:sub>
              <m:r>
                <m:t>t</m:t>
              </m:r>
            </m:sub>
          </m:sSub>
          <m:r>
            <m:rPr>
              <m:sty m:val="p"/>
            </m:rPr>
            <m:t>=</m:t>
          </m:r>
          <m:d>
            <m:dPr>
              <m:begChr m:val="("/>
              <m:endChr m:val=")"/>
              <m:sepChr m:val=""/>
              <m:grow/>
            </m:dPr>
            <m:e>
              <m:r>
                <m:t>1</m:t>
              </m:r>
              <m:r>
                <m:rPr>
                  <m:sty m:val="p"/>
                </m:rPr>
                <m:t>−</m:t>
              </m:r>
              <m:r>
                <m:t>θ</m:t>
              </m:r>
              <m:r>
                <m:t>B</m:t>
              </m:r>
            </m:e>
          </m:d>
          <m:d>
            <m:dPr>
              <m:begChr m:val="("/>
              <m:endChr m:val=")"/>
              <m:sepChr m:val=""/>
              <m:grow/>
            </m:dPr>
            <m:e>
              <m:r>
                <m:t>1</m:t>
              </m:r>
              <m:r>
                <m:rPr>
                  <m:sty m:val="p"/>
                </m:rPr>
                <m:t>−</m:t>
              </m:r>
              <m:r>
                <m:t>Θ</m:t>
              </m:r>
              <m:sSup>
                <m:e>
                  <m:r>
                    <m:t>B</m:t>
                  </m:r>
                </m:e>
                <m:sup>
                  <m:r>
                    <m:t>s</m:t>
                  </m:r>
                </m:sup>
              </m:sSup>
            </m:e>
          </m:d>
          <m:sSub>
            <m:e>
              <m:r>
                <m:t>a</m:t>
              </m:r>
            </m:e>
            <m:sub>
              <m:r>
                <m:t>t</m:t>
              </m:r>
            </m:sub>
          </m:sSub>
        </m:oMath>
      </m:oMathPara>
    </w:p>
    <w:p>
      <w:pPr>
        <w:pStyle w:val="FirstParagraph"/>
      </w:pPr>
      <w:r>
        <w:t xml:space="preserve">A common regular and seasonal MA specification after regular and seasonal differencing.</w:t>
      </w:r>
    </w:p>
    <w:bookmarkEnd w:id="385"/>
    <w:bookmarkStart w:id="388" w:name="python-demonstrations-19"/>
    <w:p>
      <w:pPr>
        <w:pStyle w:val="Heading2"/>
        <w:keepNext/>
      </w:pPr>
      <w:r>
        <w:t>39.6</w:t>
        <w:tab/>
        <w:t>Python demonstrations</w:t>
      </w:r>
    </w:p>
    <w:bookmarkStart w:id="386" w:name="demonstration-20.1-seasonal-differencing"/>
    <w:p>
      <w:pPr>
        <w:pStyle w:val="Heading3"/>
        <w:keepNext/>
      </w:pPr>
      <w:r>
        <w:t>39.6.1</w:t>
        <w:tab/>
        <w:t>Demonstration 20.1: Seasonal differencing</w:t>
      </w:r>
    </w:p>
    <w:p>
      <w:pPr>
        <w:pStyle w:val="SourceCode"/>
        <w:keepLines/>
        <w:shd w:fill="F6F8FA" w:val="clear"/>
      </w:pPr>
      <w:r>
        <w:rPr>
          <w:rStyle w:val="ImportTok"/>
        </w:rPr>
        <w:t xml:space="preserve">import</w:t>
      </w:r>
      <w:r>
        <w:rPr>
          <w:rStyle w:val="NormalTok"/>
        </w:rPr>
        <w:t xml:space="preserve"> pandas </w:t>
      </w:r>
      <w:r>
        <w:rPr>
          <w:rStyle w:val="ImportTok"/>
        </w:rPr>
        <w:t xml:space="preserve">as</w:t>
      </w:r>
      <w:r>
        <w:rPr>
          <w:rStyle w:val="NormalTok"/>
        </w:rPr>
        <w:t xml:space="preserve"> pd</w:t>
      </w:r>
      <w:r>
        <w:br/>
      </w:r>
      <w:r>
        <w:br/>
      </w:r>
      <w:r>
        <w:rPr>
          <w:rStyle w:val="NormalTok"/>
        </w:rPr>
        <w:t xml:space="preserve">series </w:t>
      </w:r>
      <w:r>
        <w:rPr>
          <w:rStyle w:val="OperatorTok"/>
        </w:rPr>
        <w:t xml:space="preserve">=</w:t>
      </w:r>
      <w:r>
        <w:rPr>
          <w:rStyle w:val="NormalTok"/>
        </w:rPr>
        <w:t xml:space="preserve"> pd.Series(</w:t>
      </w:r>
      <w:r>
        <w:rPr>
          <w:rStyle w:val="BuiltInTok"/>
        </w:rPr>
        <w:t xml:space="preserve">range</w:t>
      </w:r>
      <w:r>
        <w:rPr>
          <w:rStyle w:val="NormalTok"/>
        </w:rPr>
        <w:t xml:space="preserve">(</w:t>
      </w:r>
      <w:r>
        <w:rPr>
          <w:rStyle w:val="DecValTok"/>
        </w:rPr>
        <w:t xml:space="preserve">24</w:t>
      </w:r>
      <w:r>
        <w:rPr>
          <w:rStyle w:val="NormalTok"/>
        </w:rPr>
        <w:t xml:space="preserve">), index</w:t>
      </w:r>
      <w:r>
        <w:rPr>
          <w:rStyle w:val="OperatorTok"/>
        </w:rPr>
        <w:t xml:space="preserve">=</w:t>
      </w:r>
      <w:r>
        <w:rPr>
          <w:rStyle w:val="NormalTok"/>
        </w:rPr>
        <w:t xml:space="preserve">pd.date_range(</w:t>
      </w:r>
      <w:r>
        <w:rPr>
          <w:rStyle w:val="StringTok"/>
        </w:rPr>
        <w:t xml:space="preserve">"2024-01-01"</w:t>
      </w:r>
      <w:r>
        <w:rPr>
          <w:rStyle w:val="NormalTok"/>
        </w:rPr>
        <w:t xml:space="preserve">, periods</w:t>
      </w:r>
      <w:r>
        <w:rPr>
          <w:rStyle w:val="OperatorTok"/>
        </w:rPr>
        <w:t xml:space="preserve">=</w:t>
      </w:r>
      <w:r>
        <w:rPr>
          <w:rStyle w:val="DecValTok"/>
        </w:rPr>
        <w:t xml:space="preserve">24</w:t>
      </w:r>
      <w:r>
        <w:rPr>
          <w:rStyle w:val="NormalTok"/>
        </w:rPr>
        <w:t xml:space="preserve">, freq</w:t>
      </w:r>
      <w:r>
        <w:rPr>
          <w:rStyle w:val="OperatorTok"/>
        </w:rPr>
        <w:t xml:space="preserve">=</w:t>
      </w:r>
      <w:r>
        <w:rPr>
          <w:rStyle w:val="StringTok"/>
        </w:rPr>
        <w:t xml:space="preserve">"MS"</w:t>
      </w:r>
      <w:r>
        <w:rPr>
          <w:rStyle w:val="NormalTok"/>
        </w:rPr>
        <w:t xml:space="preserve">))</w:t>
      </w:r>
      <w:r>
        <w:br/>
      </w:r>
      <w:r>
        <w:rPr>
          <w:rStyle w:val="NormalTok"/>
        </w:rPr>
        <w:t xml:space="preserve">seasonal_difference </w:t>
      </w:r>
      <w:r>
        <w:rPr>
          <w:rStyle w:val="OperatorTok"/>
        </w:rPr>
        <w:t xml:space="preserve">=</w:t>
      </w:r>
      <w:r>
        <w:rPr>
          <w:rStyle w:val="NormalTok"/>
        </w:rPr>
        <w:t xml:space="preserve"> series.diff(</w:t>
      </w:r>
      <w:r>
        <w:rPr>
          <w:rStyle w:val="DecValTok"/>
        </w:rPr>
        <w:t xml:space="preserve">12</w:t>
      </w:r>
      <w:r>
        <w:rPr>
          <w:rStyle w:val="NormalTok"/>
        </w:rPr>
        <w:t xml:space="preserve">)</w:t>
      </w:r>
      <w:r>
        <w:br/>
      </w:r>
      <w:r>
        <w:rPr>
          <w:rStyle w:val="BuiltInTok"/>
        </w:rPr>
        <w:t xml:space="preserve">print</w:t>
      </w:r>
      <w:r>
        <w:rPr>
          <w:rStyle w:val="NormalTok"/>
        </w:rPr>
        <w:t xml:space="preserve">(seasonal_difference.dropna().unique().tolist())</w:t>
      </w:r>
    </w:p>
    <w:p>
      <w:pPr>
        <w:pStyle w:val="FirstParagraph"/>
      </w:pPr>
      <w:r>
        <w:rPr>
          <w:b/>
          <w:bCs/>
        </w:rPr>
        <w:t xml:space="preserve">Verified output</w:t>
      </w:r>
    </w:p>
    <w:p>
      <w:pPr>
        <w:pStyle w:val="SourceCode"/>
        <w:keepLines/>
        <w:shd w:fill="F6F8FA" w:val="clear"/>
      </w:pPr>
      <w:r>
        <w:rPr>
          <w:rStyle w:val="VerbatimChar"/>
        </w:rPr>
        <w:t xml:space="preserve">[12.0]</w:t>
      </w:r>
    </w:p>
    <w:p>
      <w:pPr>
        <w:pStyle w:val="FirstParagraph"/>
      </w:pPr>
      <w:r>
        <w:rPr>
          <w:b/>
          <w:bCs/>
        </w:rPr>
        <w:t xml:space="preserve">Interpretation.</w:t>
      </w:r>
      <w:r>
        <w:t xml:space="preserve"> </w:t>
      </w:r>
      <w:r>
        <w:t xml:space="preserve">Each month is exactly 12 units above the same month one year earlier in this deterministic illustration.</w:t>
      </w:r>
    </w:p>
    <w:bookmarkEnd w:id="386"/>
    <w:bookmarkStart w:id="387" w:name="demonstration-20.2-fit-a-seasonal-model"/>
    <w:p>
      <w:pPr>
        <w:pStyle w:val="Heading3"/>
        <w:keepNext/>
      </w:pPr>
      <w:r>
        <w:t>39.6.2</w:t>
        <w:tab/>
        <w:t>Demonstration 20.2: Fit a seasonal model</w:t>
      </w:r>
    </w:p>
    <w:p>
      <w:pPr>
        <w:pStyle w:val="SourceCode"/>
        <w:shd w:fill="F6F8FA" w:val="clear"/>
      </w:pPr>
      <w:r>
        <w:rPr>
          <w:rStyle w:val="ImportTok"/>
        </w:rPr>
        <w:t xml:space="preserve">import</w:t>
      </w:r>
      <w:r>
        <w:rPr>
          <w:rStyle w:val="NormalTok"/>
        </w:rPr>
        <w:t xml:space="preserve"> pandas </w:t>
      </w:r>
      <w:r>
        <w:rPr>
          <w:rStyle w:val="ImportTok"/>
        </w:rPr>
        <w:t xml:space="preserve">as</w:t>
      </w:r>
      <w:r>
        <w:rPr>
          <w:rStyle w:val="NormalTok"/>
        </w:rPr>
        <w:t xml:space="preserve"> pd</w:t>
      </w:r>
      <w:r>
        <w:br/>
      </w:r>
      <w:r>
        <w:rPr>
          <w:rStyle w:val="ImportTok"/>
        </w:rPr>
        <w:t xml:space="preserve">from</w:t>
      </w:r>
      <w:r>
        <w:rPr>
          <w:rStyle w:val="NormalTok"/>
        </w:rPr>
        <w:t xml:space="preserve"> statsmodels.tsa.statespace.sarimax </w:t>
      </w:r>
      <w:r>
        <w:rPr>
          <w:rStyle w:val="ImportTok"/>
        </w:rPr>
        <w:t xml:space="preserve">import</w:t>
      </w:r>
      <w:r>
        <w:rPr>
          <w:rStyle w:val="NormalTok"/>
        </w:rPr>
        <w:t xml:space="preserve"> SARIMAX</w:t>
      </w:r>
      <w:r>
        <w:br/>
      </w:r>
      <w:r>
        <w:br/>
      </w:r>
      <w:r>
        <w:rPr>
          <w:rStyle w:val="NormalTok"/>
        </w:rPr>
        <w:t xml:space="preserve">seasonal </w:t>
      </w:r>
      <w:r>
        <w:rPr>
          <w:rStyle w:val="OperatorTok"/>
        </w:rPr>
        <w:t xml:space="preserve">=</w:t>
      </w:r>
      <w:r>
        <w:rPr>
          <w:rStyle w:val="NormalTok"/>
        </w:rPr>
        <w:t xml:space="preserve"> pd.read_csv(</w:t>
      </w:r>
      <w:r>
        <w:rPr>
          <w:rStyle w:val="StringTok"/>
        </w:rPr>
        <w:t xml:space="preserve">"data/processed/seasonal_monthly.csv"</w:t>
      </w:r>
      <w:r>
        <w:rPr>
          <w:rStyle w:val="NormalTok"/>
        </w:rPr>
        <w:t xml:space="preserve">, parse_dates</w:t>
      </w:r>
      <w:r>
        <w:rPr>
          <w:rStyle w:val="OperatorTok"/>
        </w:rPr>
        <w:t xml:space="preserve">=</w:t>
      </w:r>
      <w:r>
        <w:rPr>
          <w:rStyle w:val="NormalTok"/>
        </w:rPr>
        <w:t xml:space="preserve">[</w:t>
      </w:r>
      <w:r>
        <w:rPr>
          <w:rStyle w:val="StringTok"/>
        </w:rPr>
        <w:t xml:space="preserve">"date"</w:t>
      </w:r>
      <w:r>
        <w:rPr>
          <w:rStyle w:val="NormalTok"/>
        </w:rPr>
        <w:t xml:space="preserve">], index_col</w:t>
      </w:r>
      <w:r>
        <w:rPr>
          <w:rStyle w:val="OperatorTok"/>
        </w:rPr>
        <w:t xml:space="preserve">=</w:t>
      </w:r>
      <w:r>
        <w:rPr>
          <w:rStyle w:val="StringTok"/>
        </w:rPr>
        <w:t xml:space="preserve">"date"</w:t>
      </w:r>
      <w:r>
        <w:rPr>
          <w:rStyle w:val="NormalTok"/>
        </w:rPr>
        <w:t xml:space="preserve">)[</w:t>
      </w:r>
      <w:r>
        <w:rPr>
          <w:rStyle w:val="StringTok"/>
        </w:rPr>
        <w:t xml:space="preserve">"value"</w:t>
      </w:r>
      <w:r>
        <w:rPr>
          <w:rStyle w:val="NormalTok"/>
        </w:rPr>
        <w:t xml:space="preserve">]</w:t>
      </w:r>
      <w:r>
        <w:br/>
      </w:r>
      <w:r>
        <w:rPr>
          <w:rStyle w:val="NormalTok"/>
        </w:rPr>
        <w:t xml:space="preserve">fit </w:t>
      </w:r>
      <w:r>
        <w:rPr>
          <w:rStyle w:val="OperatorTok"/>
        </w:rPr>
        <w:t xml:space="preserve">=</w:t>
      </w:r>
      <w:r>
        <w:rPr>
          <w:rStyle w:val="NormalTok"/>
        </w:rPr>
        <w:t xml:space="preserve"> SARIMAX(seasonal, order</w:t>
      </w:r>
      <w:r>
        <w:rPr>
          <w:rStyle w:val="OperatorTok"/>
        </w:rPr>
        <w:t xml:space="preserve">=</w:t>
      </w:r>
      <w:r>
        <w:rPr>
          <w:rStyle w:val="NormalTok"/>
        </w:rPr>
        <w:t xml:space="preserve">(</w:t>
      </w:r>
      <w:r>
        <w:rPr>
          <w:rStyle w:val="DecValTok"/>
        </w:rPr>
        <w:t xml:space="preserve">1</w:t>
      </w:r>
      <w:r>
        <w:rPr>
          <w:rStyle w:val="NormalTok"/>
        </w:rPr>
        <w:t xml:space="preserve">,</w:t>
      </w:r>
      <w:r>
        <w:rPr>
          <w:rStyle w:val="DecValTok"/>
        </w:rPr>
        <w:t xml:space="preserve">1</w:t>
      </w:r>
      <w:r>
        <w:rPr>
          <w:rStyle w:val="NormalTok"/>
        </w:rPr>
        <w:t xml:space="preserve">,</w:t>
      </w:r>
      <w:r>
        <w:rPr>
          <w:rStyle w:val="DecValTok"/>
        </w:rPr>
        <w:t xml:space="preserve">1</w:t>
      </w:r>
      <w:r>
        <w:rPr>
          <w:rStyle w:val="NormalTok"/>
        </w:rPr>
        <w:t xml:space="preserve">), seasonal_order</w:t>
      </w:r>
      <w:r>
        <w:rPr>
          <w:rStyle w:val="OperatorTok"/>
        </w:rPr>
        <w:t xml:space="preserve">=</w:t>
      </w:r>
      <w:r>
        <w:rPr>
          <w:rStyle w:val="NormalTok"/>
        </w:rPr>
        <w:t xml:space="preserve">(</w:t>
      </w:r>
      <w:r>
        <w:rPr>
          <w:rStyle w:val="DecValTok"/>
        </w:rPr>
        <w:t xml:space="preserve">0</w:t>
      </w:r>
      <w:r>
        <w:rPr>
          <w:rStyle w:val="NormalTok"/>
        </w:rPr>
        <w:t xml:space="preserve">,</w:t>
      </w:r>
      <w:r>
        <w:rPr>
          <w:rStyle w:val="DecValTok"/>
        </w:rPr>
        <w:t xml:space="preserve">1</w:t>
      </w:r>
      <w:r>
        <w:rPr>
          <w:rStyle w:val="NormalTok"/>
        </w:rPr>
        <w:t xml:space="preserve">,</w:t>
      </w:r>
      <w:r>
        <w:rPr>
          <w:rStyle w:val="DecValTok"/>
        </w:rPr>
        <w:t xml:space="preserve">1</w:t>
      </w:r>
      <w:r>
        <w:rPr>
          <w:rStyle w:val="NormalTok"/>
        </w:rPr>
        <w:t xml:space="preserve">,</w:t>
      </w:r>
      <w:r>
        <w:rPr>
          <w:rStyle w:val="DecValTok"/>
        </w:rPr>
        <w:t xml:space="preserve">12</w:t>
      </w:r>
      <w:r>
        <w:rPr>
          <w:rStyle w:val="NormalTok"/>
        </w:rPr>
        <w:t xml:space="preserve">), trend</w:t>
      </w:r>
      <w:r>
        <w:rPr>
          <w:rStyle w:val="OperatorTok"/>
        </w:rPr>
        <w:t xml:space="preserve">=</w:t>
      </w:r>
      <w:r>
        <w:rPr>
          <w:rStyle w:val="StringTok"/>
        </w:rPr>
        <w:t xml:space="preserve">"n"</w:t>
      </w:r>
      <w:r>
        <w:rPr>
          <w:rStyle w:val="NormalTok"/>
        </w:rPr>
        <w:t xml:space="preserve">, enforce_stationarity</w:t>
      </w:r>
      <w:r>
        <w:rPr>
          <w:rStyle w:val="OperatorTok"/>
        </w:rPr>
        <w:t xml:space="preserve">=</w:t>
      </w:r>
      <w:r>
        <w:rPr>
          <w:rStyle w:val="VariableTok"/>
        </w:rPr>
        <w:t xml:space="preserve">False</w:t>
      </w:r>
      <w:r>
        <w:rPr>
          <w:rStyle w:val="NormalTok"/>
        </w:rPr>
        <w:t xml:space="preserve">).fit(disp</w:t>
      </w:r>
      <w:r>
        <w:rPr>
          <w:rStyle w:val="OperatorTok"/>
        </w:rPr>
        <w:t xml:space="preserve">=</w:t>
      </w:r>
      <w:r>
        <w:rPr>
          <w:rStyle w:val="VariableTok"/>
        </w:rPr>
        <w:t xml:space="preserve">False</w:t>
      </w:r>
      <w:r>
        <w:rPr>
          <w:rStyle w:val="NormalTok"/>
        </w:rPr>
        <w:t xml:space="preserve">)</w:t>
      </w:r>
      <w:r>
        <w:br/>
      </w:r>
      <w:r>
        <w:rPr>
          <w:rStyle w:val="BuiltInTok"/>
        </w:rPr>
        <w:t xml:space="preserve">print</w:t>
      </w:r>
      <w:r>
        <w:rPr>
          <w:rStyle w:val="NormalTok"/>
        </w:rPr>
        <w:t xml:space="preserve">(</w:t>
      </w:r>
      <w:r>
        <w:rPr>
          <w:rStyle w:val="BuiltInTok"/>
        </w:rPr>
        <w:t xml:space="preserve">round</w:t>
      </w:r>
      <w:r>
        <w:rPr>
          <w:rStyle w:val="NormalTok"/>
        </w:rPr>
        <w:t xml:space="preserve">(fit.aic, </w:t>
      </w:r>
      <w:r>
        <w:rPr>
          <w:rStyle w:val="DecValTok"/>
        </w:rPr>
        <w:t xml:space="preserve">2</w:t>
      </w:r>
      <w:r>
        <w:rPr>
          <w:rStyle w:val="NormalTok"/>
        </w:rPr>
        <w:t xml:space="preserve">))</w:t>
      </w:r>
      <w:r>
        <w:br/>
      </w:r>
      <w:r>
        <w:rPr>
          <w:rStyle w:val="BuiltInTok"/>
        </w:rPr>
        <w:t xml:space="preserve">print</w:t>
      </w:r>
      <w:r>
        <w:rPr>
          <w:rStyle w:val="NormalTok"/>
        </w:rPr>
        <w:t xml:space="preserve">(fit.get_forecast(</w:t>
      </w:r>
      <w:r>
        <w:rPr>
          <w:rStyle w:val="DecValTok"/>
        </w:rPr>
        <w:t xml:space="preserve">3</w:t>
      </w:r>
      <w:r>
        <w:rPr>
          <w:rStyle w:val="NormalTok"/>
        </w:rPr>
        <w:t xml:space="preserve">).predicted_mean.</w:t>
      </w:r>
      <w:r>
        <w:rPr>
          <w:rStyle w:val="BuiltInTok"/>
        </w:rPr>
        <w:t xml:space="preserve">round</w:t>
      </w:r>
      <w:r>
        <w:rPr>
          <w:rStyle w:val="NormalTok"/>
        </w:rPr>
        <w:t xml:space="preserve">(</w:t>
      </w:r>
      <w:r>
        <w:rPr>
          <w:rStyle w:val="DecValTok"/>
        </w:rPr>
        <w:t xml:space="preserve">2</w:t>
      </w:r>
      <w:r>
        <w:rPr>
          <w:rStyle w:val="NormalTok"/>
        </w:rPr>
        <w:t xml:space="preserve">).tolist())</w:t>
      </w:r>
    </w:p>
    <w:p>
      <w:pPr>
        <w:pStyle w:val="FirstParagraph"/>
      </w:pPr>
      <w:r>
        <w:rPr>
          <w:b/>
          <w:bCs/>
        </w:rPr>
        <w:t xml:space="preserve">Verified output</w:t>
      </w:r>
    </w:p>
    <w:p>
      <w:pPr>
        <w:pStyle w:val="SourceCode"/>
        <w:keepLines/>
        <w:shd w:fill="F6F8FA" w:val="clear"/>
      </w:pPr>
      <w:r>
        <w:rPr>
          <w:rStyle w:val="VerbatimChar"/>
        </w:rPr>
        <w:t xml:space="preserve">313.71</w:t>
      </w:r>
      <w:r>
        <w:br/>
      </w:r>
      <w:r>
        <w:rPr>
          <w:rStyle w:val="VerbatimChar"/>
        </w:rPr>
        <w:t xml:space="preserve">[61.79, 63.49, 64.73]</w:t>
      </w:r>
    </w:p>
    <w:p>
      <w:pPr>
        <w:pStyle w:val="FirstParagraph"/>
      </w:pPr>
      <w:r>
        <w:rPr>
          <w:b/>
          <w:bCs/>
        </w:rPr>
        <w:t xml:space="preserve">Interpretation.</w:t>
      </w:r>
      <w:r>
        <w:t xml:space="preserve"> </w:t>
      </w:r>
      <w:r>
        <w:t xml:space="preserve">The exact values depend on the included processed series and estimation conventions. Residual diagnostics remain necessary.</w:t>
      </w:r>
    </w:p>
    <w:bookmarkEnd w:id="387"/>
    <w:bookmarkEnd w:id="388"/>
    <w:bookmarkStart w:id="398" w:name="visual-evidence-19"/>
    <w:p>
      <w:pPr>
        <w:pStyle w:val="Heading2"/>
        <w:keepNext/>
      </w:pPr>
      <w:r>
        <w:t>39.7</w:t>
        <w:tab/>
        <w:t>Visual evidence</w:t>
      </w:r>
    </w:p>
    <w:p>
      <w:pPr>
        <w:pStyle w:val="FirstParagraph"/>
      </w:pPr>
      <w:r>
        <w:drawing>
          <wp:inline>
            <wp:extent cx="4907280" cy="2038640"/>
            <wp:effectExtent b="0" l="0" r="0" t="0"/>
            <wp:docPr descr="Image: rId389.png" title="" id="390" name="Picture"/>
            <a:graphic>
              <a:graphicData uri="http://schemas.openxmlformats.org/drawingml/2006/picture">
                <pic:pic>
                  <pic:nvPicPr>
                    <pic:cNvPr descr="figures/fig_23_unit_root.png" id="391" name="Picture"/>
                    <pic:cNvPicPr>
                      <a:picLocks noChangeArrowheads="1" noChangeAspect="1"/>
                    </pic:cNvPicPr>
                  </pic:nvPicPr>
                  <pic:blipFill>
                    <a:blip r:embed="rId389"/>
                    <a:stretch>
                      <a:fillRect/>
                    </a:stretch>
                  </pic:blipFill>
                  <pic:spPr bwMode="auto">
                    <a:xfrm>
                      <a:off x="0" y="0"/>
                      <a:ext cx="4907280" cy="2038640"/>
                    </a:xfrm>
                    <a:prstGeom prst="rect">
                      <a:avLst/>
                    </a:prstGeom>
                    <a:noFill/>
                    <a:ln w="9525">
                      <a:noFill/>
                      <a:headEnd/>
                      <a:tailEnd/>
                    </a:ln>
                  </pic:spPr>
                </pic:pic>
              </a:graphicData>
            </a:graphic>
          </wp:inline>
        </w:drawing>
      </w:r>
    </w:p>
    <w:p>
      <w:pPr>
        <w:pStyle w:val="Caption"/>
        <w:keepNext w:val="0"/>
        <w:jc w:val="center"/>
      </w:pPr>
      <w:r>
        <w:rPr>
          <w:b/>
          <w:bCs/>
        </w:rPr>
        <w:t xml:space="preserve">Figure 23.</w:t>
      </w:r>
      <w:r>
        <w:t xml:space="preserve"> </w:t>
      </w:r>
      <w:r>
        <w:t xml:space="preserve">Differencing removes the accumulated component of a random walk.</w:t>
      </w:r>
    </w:p>
    <w:p>
      <w:pPr>
        <w:pStyle w:val="BodyText"/>
      </w:pPr>
      <w:r>
        <w:drawing>
          <wp:inline>
            <wp:extent cx="4907280" cy="3570139"/>
            <wp:effectExtent b="0" l="0" r="0" t="0"/>
            <wp:docPr descr="Image: rId392.png" title="" id="393" name="Picture"/>
            <a:graphic>
              <a:graphicData uri="http://schemas.openxmlformats.org/drawingml/2006/picture">
                <pic:pic>
                  <pic:nvPicPr>
                    <pic:cNvPr descr="figures/fig_24_seasonal_decomposition.png" id="394" name="Picture"/>
                    <pic:cNvPicPr>
                      <a:picLocks noChangeArrowheads="1" noChangeAspect="1"/>
                    </pic:cNvPicPr>
                  </pic:nvPicPr>
                  <pic:blipFill>
                    <a:blip r:embed="rId392"/>
                    <a:stretch>
                      <a:fillRect/>
                    </a:stretch>
                  </pic:blipFill>
                  <pic:spPr bwMode="auto">
                    <a:xfrm>
                      <a:off x="0" y="0"/>
                      <a:ext cx="4907280" cy="3570139"/>
                    </a:xfrm>
                    <a:prstGeom prst="rect">
                      <a:avLst/>
                    </a:prstGeom>
                    <a:noFill/>
                    <a:ln w="9525">
                      <a:noFill/>
                      <a:headEnd/>
                      <a:tailEnd/>
                    </a:ln>
                  </pic:spPr>
                </pic:pic>
              </a:graphicData>
            </a:graphic>
          </wp:inline>
        </w:drawing>
      </w:r>
    </w:p>
    <w:p>
      <w:pPr>
        <w:pStyle w:val="Caption"/>
        <w:keepNext w:val="0"/>
        <w:jc w:val="center"/>
      </w:pPr>
      <w:r>
        <w:rPr>
          <w:b/>
          <w:bCs/>
        </w:rPr>
        <w:t xml:space="preserve">Figure 24.</w:t>
      </w:r>
      <w:r>
        <w:t xml:space="preserve"> </w:t>
      </w:r>
      <w:r>
        <w:t xml:space="preserve">A monthly series decomposed into observed, trend, seasonal, and irregular components.</w:t>
      </w:r>
    </w:p>
    <w:p>
      <w:pPr>
        <w:pStyle w:val="BodyText"/>
      </w:pPr>
      <w:r>
        <w:drawing>
          <wp:inline>
            <wp:extent cx="4907280" cy="2540494"/>
            <wp:effectExtent b="0" l="0" r="0" t="0"/>
            <wp:docPr descr="Image: rId395.png" title="" id="396" name="Picture"/>
            <a:graphic>
              <a:graphicData uri="http://schemas.openxmlformats.org/drawingml/2006/picture">
                <pic:pic>
                  <pic:nvPicPr>
                    <pic:cNvPr descr="figures/fig_25_sarima_forecast.png" id="397" name="Picture"/>
                    <pic:cNvPicPr>
                      <a:picLocks noChangeArrowheads="1" noChangeAspect="1"/>
                    </pic:cNvPicPr>
                  </pic:nvPicPr>
                  <pic:blipFill>
                    <a:blip r:embed="rId395"/>
                    <a:stretch>
                      <a:fillRect/>
                    </a:stretch>
                  </pic:blipFill>
                  <pic:spPr bwMode="auto">
                    <a:xfrm>
                      <a:off x="0" y="0"/>
                      <a:ext cx="4907280" cy="2540494"/>
                    </a:xfrm>
                    <a:prstGeom prst="rect">
                      <a:avLst/>
                    </a:prstGeom>
                    <a:noFill/>
                    <a:ln w="9525">
                      <a:noFill/>
                      <a:headEnd/>
                      <a:tailEnd/>
                    </a:ln>
                  </pic:spPr>
                </pic:pic>
              </a:graphicData>
            </a:graphic>
          </wp:inline>
        </w:drawing>
      </w:r>
    </w:p>
    <w:p>
      <w:pPr>
        <w:pStyle w:val="Caption"/>
        <w:keepNext w:val="0"/>
        <w:jc w:val="center"/>
      </w:pPr>
      <w:r>
        <w:rPr>
          <w:b/>
          <w:bCs/>
        </w:rPr>
        <w:t xml:space="preserve">Figure 25.</w:t>
      </w:r>
      <w:r>
        <w:t xml:space="preserve"> </w:t>
      </w:r>
      <w:r>
        <w:t xml:space="preserve">A SARIMA forecast for a synthetic monthly series with yearly seasonality.</w:t>
      </w:r>
    </w:p>
    <w:bookmarkEnd w:id="398"/>
    <w:bookmarkStart w:id="399" w:name="reference-table-19"/>
    <w:p>
      <w:pPr>
        <w:pStyle w:val="Heading2"/>
        <w:keepNext/>
      </w:pPr>
      <w:r>
        <w:t>39.8</w:t>
        <w:tab/>
        <w:t>Reference table</w:t>
      </w:r>
    </w:p>
    <w:p>
      <w:pPr>
        <w:pStyle w:val="Caption"/>
        <w:keepNext/>
        <w:jc w:val="center"/>
      </w:pPr>
      <w:r>
        <w:rPr>
          <w:b/>
          <w:bCs/>
        </w:rPr>
        <w:t xml:space="preserve">Table 20. Chapter reference.</w:t>
      </w:r>
    </w:p>
    <w:tbl>
      <w:tblPr>
        <w:tblStyle w:val="Table"/>
        <w:tblW w:type="pct" w:w="5000"/>
        <w:jc w:val="center"/>
        <w:tblLayout w:type="autofit"/>
        <w:tblLook w:firstRow="1" w:lastRow="0" w:firstColumn="0" w:lastColumn="0" w:noHBand="0" w:noVBand="0" w:val="0020"/>
      </w:tblPr>
      <w:tblGrid>
        <w:gridCol w:w="2640"/>
        <w:gridCol w:w="2640"/>
        <w:gridCol w:w="2640"/>
      </w:tblGrid>
      <w:tr>
        <w:trPr>
          <w:tblHeader w:val="on"/>
          <w:tblHeader w:val="true"/>
          <w:cantSplit/>
        </w:trPr>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0A2342" w:val="clear"/>
          </w:tcPr>
          <w:p>
            <w:pPr>
              <w:pStyle w:val="Compact"/>
              <w:spacing w:before="30" w:after="30" w:line="240" w:lineRule="auto"/>
              <w:jc w:val="left"/>
            </w:pPr>
            <w:r>
              <w:rPr>
                <w:rFonts w:ascii="Noto Sans" w:hAnsi="Noto Sans" w:eastAsia="Noto Sans" w:cs="Noto Sans"/>
                <w:b/>
                <w:color w:val="FFFFFF"/>
                <w:sz w:val="16"/>
              </w:rPr>
              <w:t xml:space="preserve">Symptom</w:t>
            </w:r>
          </w:p>
        </w:tc>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0A2342" w:val="clear"/>
          </w:tcPr>
          <w:p>
            <w:pPr>
              <w:pStyle w:val="Compact"/>
              <w:spacing w:before="30" w:after="30" w:line="240" w:lineRule="auto"/>
              <w:jc w:val="left"/>
            </w:pPr>
            <w:r>
              <w:rPr>
                <w:rFonts w:ascii="Noto Sans" w:hAnsi="Noto Sans" w:eastAsia="Noto Sans" w:cs="Noto Sans"/>
                <w:b/>
                <w:color w:val="FFFFFF"/>
                <w:sz w:val="16"/>
              </w:rPr>
              <w:t xml:space="preserve">Candidate response</w:t>
            </w:r>
          </w:p>
        </w:tc>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0A2342" w:val="clear"/>
          </w:tcPr>
          <w:p>
            <w:pPr>
              <w:pStyle w:val="Compact"/>
              <w:spacing w:before="30" w:after="30" w:line="240" w:lineRule="auto"/>
              <w:jc w:val="left"/>
            </w:pPr>
            <w:r>
              <w:rPr>
                <w:rFonts w:ascii="Noto Sans" w:hAnsi="Noto Sans" w:eastAsia="Noto Sans" w:cs="Noto Sans"/>
                <w:b/>
                <w:color w:val="FFFFFF"/>
                <w:sz w:val="16"/>
              </w:rPr>
              <w:t xml:space="preserve">Check</w:t>
            </w:r>
          </w:p>
        </w:tc>
      </w:tr>
      <w:tr>
        <w:trPr>
          <w:cantSplit/>
        </w:trPr>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EEF4F8" w:val="clear"/>
          </w:tcPr>
          <w:p>
            <w:pPr>
              <w:pStyle w:val="Compact"/>
              <w:spacing w:before="30" w:after="30" w:line="240" w:lineRule="auto"/>
              <w:jc w:val="left"/>
            </w:pPr>
            <w:r>
              <w:rPr>
                <w:rFonts w:ascii="Noto Sans" w:hAnsi="Noto Sans" w:eastAsia="Noto Sans" w:cs="Noto Sans"/>
                <w:b w:val="0"/>
                <w:color w:val="18212B"/>
                <w:sz w:val="16"/>
              </w:rPr>
              <w:t xml:space="preserve">random-walk level</w:t>
            </w:r>
          </w:p>
        </w:tc>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EEF4F8" w:val="clear"/>
          </w:tcPr>
          <w:p>
            <w:pPr>
              <w:pStyle w:val="Compact"/>
              <w:spacing w:before="30" w:after="30" w:line="240" w:lineRule="auto"/>
              <w:jc w:val="left"/>
            </w:pPr>
            <w:r>
              <w:rPr>
                <w:rFonts w:ascii="Noto Sans" w:hAnsi="Noto Sans" w:eastAsia="Noto Sans" w:cs="Noto Sans"/>
                <w:b w:val="0"/>
                <w:color w:val="18212B"/>
                <w:sz w:val="16"/>
              </w:rPr>
              <w:t xml:space="preserve">first difference</w:t>
            </w:r>
          </w:p>
        </w:tc>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EEF4F8" w:val="clear"/>
          </w:tcPr>
          <w:p>
            <w:pPr>
              <w:pStyle w:val="Compact"/>
              <w:spacing w:before="30" w:after="30" w:line="240" w:lineRule="auto"/>
              <w:jc w:val="left"/>
            </w:pPr>
            <w:r>
              <w:rPr>
                <w:rFonts w:ascii="Noto Sans" w:hAnsi="Noto Sans" w:eastAsia="Noto Sans" w:cs="Noto Sans"/>
                <w:b w:val="0"/>
                <w:color w:val="18212B"/>
                <w:sz w:val="16"/>
              </w:rPr>
              <w:t xml:space="preserve">ADF and forecast performance</w:t>
            </w:r>
          </w:p>
        </w:tc>
      </w:tr>
      <w:tr>
        <w:trPr>
          <w:cantSplit/>
        </w:trPr>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FFFFFF" w:val="clear"/>
          </w:tcPr>
          <w:p>
            <w:pPr>
              <w:pStyle w:val="Compact"/>
              <w:spacing w:before="30" w:after="30" w:line="240" w:lineRule="auto"/>
              <w:jc w:val="left"/>
            </w:pPr>
            <w:r>
              <w:rPr>
                <w:rFonts w:ascii="Noto Sans" w:hAnsi="Noto Sans" w:eastAsia="Noto Sans" w:cs="Noto Sans"/>
                <w:b w:val="0"/>
                <w:color w:val="18212B"/>
                <w:sz w:val="16"/>
              </w:rPr>
              <w:t xml:space="preserve">stable yearly pattern</w:t>
            </w:r>
          </w:p>
        </w:tc>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FFFFFF" w:val="clear"/>
          </w:tcPr>
          <w:p>
            <w:pPr>
              <w:pStyle w:val="Compact"/>
              <w:spacing w:before="30" w:after="30" w:line="240" w:lineRule="auto"/>
              <w:jc w:val="left"/>
            </w:pPr>
            <w:r>
              <w:rPr>
                <w:rFonts w:ascii="Noto Sans" w:hAnsi="Noto Sans" w:eastAsia="Noto Sans" w:cs="Noto Sans"/>
                <w:b w:val="0"/>
                <w:color w:val="18212B"/>
                <w:sz w:val="16"/>
              </w:rPr>
              <w:t xml:space="preserve">seasonal difference</w:t>
            </w:r>
          </w:p>
        </w:tc>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FFFFFF" w:val="clear"/>
          </w:tcPr>
          <w:p>
            <w:pPr>
              <w:pStyle w:val="Compact"/>
              <w:spacing w:before="30" w:after="30" w:line="240" w:lineRule="auto"/>
              <w:jc w:val="left"/>
            </w:pPr>
            <w:r>
              <w:rPr>
                <w:rFonts w:ascii="Noto Sans" w:hAnsi="Noto Sans" w:eastAsia="Noto Sans" w:cs="Noto Sans"/>
                <w:b w:val="0"/>
                <w:color w:val="18212B"/>
                <w:sz w:val="16"/>
              </w:rPr>
              <w:t xml:space="preserve">seasonal plots and ACF</w:t>
            </w:r>
          </w:p>
        </w:tc>
      </w:tr>
      <w:tr>
        <w:trPr>
          <w:cantSplit/>
        </w:trPr>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EEF4F8" w:val="clear"/>
          </w:tcPr>
          <w:p>
            <w:pPr>
              <w:pStyle w:val="Compact"/>
              <w:spacing w:before="30" w:after="30" w:line="240" w:lineRule="auto"/>
              <w:jc w:val="left"/>
            </w:pPr>
            <w:r>
              <w:rPr>
                <w:rFonts w:ascii="Noto Sans" w:hAnsi="Noto Sans" w:eastAsia="Noto Sans" w:cs="Noto Sans"/>
                <w:b w:val="0"/>
                <w:color w:val="18212B"/>
                <w:sz w:val="16"/>
              </w:rPr>
              <w:t xml:space="preserve">trend plus changing seasonal amplitude</w:t>
            </w:r>
          </w:p>
        </w:tc>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EEF4F8" w:val="clear"/>
          </w:tcPr>
          <w:p>
            <w:pPr>
              <w:pStyle w:val="Compact"/>
              <w:spacing w:before="30" w:after="30" w:line="240" w:lineRule="auto"/>
              <w:jc w:val="left"/>
            </w:pPr>
            <w:r>
              <w:rPr>
                <w:rFonts w:ascii="Noto Sans" w:hAnsi="Noto Sans" w:eastAsia="Noto Sans" w:cs="Noto Sans"/>
                <w:b w:val="0"/>
                <w:color w:val="18212B"/>
                <w:sz w:val="16"/>
              </w:rPr>
              <w:t xml:space="preserve">log transform then seasonal model</w:t>
            </w:r>
          </w:p>
        </w:tc>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EEF4F8" w:val="clear"/>
          </w:tcPr>
          <w:p>
            <w:pPr>
              <w:pStyle w:val="Compact"/>
              <w:spacing w:before="30" w:after="30" w:line="240" w:lineRule="auto"/>
              <w:jc w:val="left"/>
            </w:pPr>
            <w:r>
              <w:rPr>
                <w:rFonts w:ascii="Noto Sans" w:hAnsi="Noto Sans" w:eastAsia="Noto Sans" w:cs="Noto Sans"/>
                <w:b w:val="0"/>
                <w:color w:val="18212B"/>
                <w:sz w:val="16"/>
              </w:rPr>
              <w:t xml:space="preserve">residual variance</w:t>
            </w:r>
          </w:p>
        </w:tc>
      </w:tr>
      <w:tr>
        <w:trPr>
          <w:cantSplit/>
        </w:trPr>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FFFFFF" w:val="clear"/>
          </w:tcPr>
          <w:p>
            <w:pPr>
              <w:pStyle w:val="Compact"/>
              <w:spacing w:before="30" w:after="30" w:line="240" w:lineRule="auto"/>
              <w:jc w:val="left"/>
            </w:pPr>
            <w:r>
              <w:rPr>
                <w:rFonts w:ascii="Noto Sans" w:hAnsi="Noto Sans" w:eastAsia="Noto Sans" w:cs="Noto Sans"/>
                <w:b w:val="0"/>
                <w:color w:val="18212B"/>
                <w:sz w:val="16"/>
              </w:rPr>
              <w:t xml:space="preserve">serial regression residuals</w:t>
            </w:r>
          </w:p>
        </w:tc>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FFFFFF" w:val="clear"/>
          </w:tcPr>
          <w:p>
            <w:pPr>
              <w:pStyle w:val="Compact"/>
              <w:spacing w:before="30" w:after="30" w:line="240" w:lineRule="auto"/>
              <w:jc w:val="left"/>
            </w:pPr>
            <w:r>
              <w:rPr>
                <w:rFonts w:ascii="Noto Sans" w:hAnsi="Noto Sans" w:eastAsia="Noto Sans" w:cs="Noto Sans"/>
                <w:b w:val="0"/>
                <w:color w:val="18212B"/>
                <w:sz w:val="16"/>
              </w:rPr>
              <w:t xml:space="preserve">ARIMA errors/SARIMAX</w:t>
            </w:r>
          </w:p>
        </w:tc>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FFFFFF" w:val="clear"/>
          </w:tcPr>
          <w:p>
            <w:pPr>
              <w:pStyle w:val="Compact"/>
              <w:spacing w:before="30" w:after="30" w:line="240" w:lineRule="auto"/>
              <w:jc w:val="left"/>
            </w:pPr>
            <w:r>
              <w:rPr>
                <w:rFonts w:ascii="Noto Sans" w:hAnsi="Noto Sans" w:eastAsia="Noto Sans" w:cs="Noto Sans"/>
                <w:b w:val="0"/>
                <w:color w:val="18212B"/>
                <w:sz w:val="16"/>
              </w:rPr>
              <w:t xml:space="preserve">Ljung-Box residuals</w:t>
            </w:r>
          </w:p>
        </w:tc>
      </w:tr>
    </w:tbl>
    <w:p>
      <w:pPr>
        <w:pStyle w:val="BlockText"/>
        <w:shd w:fill="EAF7F5" w:val="clear"/>
        <w:pBdr>
          <w:left w:val="single" w:sz="18" w:space="8" w:color="008F87"/>
        </w:pBdr>
      </w:pPr>
      <w:r>
        <w:rPr>
          <w:b/>
          <w:bCs/>
        </w:rPr>
        <w:t xml:space="preserve">Why This Matters</w:t>
      </w:r>
    </w:p>
    <w:p>
      <w:pPr>
        <w:pStyle w:val="BlockText"/>
        <w:shd w:fill="EAF7F5" w:val="clear"/>
        <w:pBdr>
          <w:left w:val="single" w:sz="18" w:space="8" w:color="008F87"/>
        </w:pBdr>
      </w:pPr>
      <w:r>
        <w:t xml:space="preserve">Seasonal and nonstationary structure must be modeled before forecasts or regression standard errors can be trusted.</w:t>
      </w:r>
    </w:p>
    <w:p>
      <w:pPr>
        <w:pStyle w:val="BlockText"/>
        <w:shd w:fill="EAF7F5" w:val="clear"/>
        <w:pBdr>
          <w:left w:val="single" w:sz="18" w:space="8" w:color="008F87"/>
        </w:pBdr>
      </w:pPr>
      <w:r>
        <w:rPr>
          <w:b/>
          <w:bCs/>
        </w:rPr>
        <w:t xml:space="preserve">Common Mistake</w:t>
      </w:r>
    </w:p>
    <w:p>
      <w:pPr>
        <w:pStyle w:val="BlockText"/>
        <w:shd w:fill="EAF7F5" w:val="clear"/>
        <w:pBdr>
          <w:left w:val="single" w:sz="18" w:space="8" w:color="008F87"/>
        </w:pBdr>
      </w:pPr>
      <w:r>
        <w:t xml:space="preserve">Differencing until an ADF p-value crosses a threshold without checking whether the transformed series has an interpretable meaning.</w:t>
      </w:r>
    </w:p>
    <w:p>
      <w:pPr>
        <w:pStyle w:val="BlockText"/>
        <w:shd w:fill="EAF7F5" w:val="clear"/>
        <w:pBdr>
          <w:left w:val="single" w:sz="18" w:space="8" w:color="008F87"/>
        </w:pBdr>
      </w:pPr>
      <w:r>
        <w:rPr>
          <w:b/>
          <w:bCs/>
        </w:rPr>
        <w:t xml:space="preserve">Ceteris LAB Tip</w:t>
      </w:r>
    </w:p>
    <w:p>
      <w:pPr>
        <w:pStyle w:val="BlockText"/>
        <w:shd w:fill="EAF7F5" w:val="clear"/>
        <w:pBdr>
          <w:left w:val="single" w:sz="18" w:space="8" w:color="008F87"/>
        </w:pBdr>
      </w:pPr>
      <w:r>
        <w:t xml:space="preserve">Plot the original, transformed, and seasonally differenced series side by side before selecting a model.</w:t>
      </w:r>
    </w:p>
    <w:p>
      <w:pPr>
        <w:pStyle w:val="BlockText"/>
        <w:shd w:fill="EAF7F5" w:val="clear"/>
        <w:pBdr>
          <w:left w:val="single" w:sz="18" w:space="8" w:color="008F87"/>
        </w:pBdr>
      </w:pPr>
      <w:r>
        <w:rPr>
          <w:b/>
          <w:bCs/>
        </w:rPr>
        <w:t xml:space="preserve">R-to-Python / Source Bridge</w:t>
      </w:r>
    </w:p>
    <w:p>
      <w:pPr>
        <w:pStyle w:val="BlockText"/>
        <w:shd w:fill="EAF7F5" w:val="clear"/>
        <w:pBdr>
          <w:left w:val="single" w:sz="18" w:space="8" w:color="008F87"/>
        </w:pBdr>
      </w:pPr>
      <w:r>
        <w:t xml:space="preserve">The source seasonal lecture covers housing starts, quarterly earnings, the airline model, and regression with serially correlated errors. The new chapter translates those ideas to pandas and SARIMAX while adding benchmark evaluation</w:t>
      </w:r>
      <w:r>
        <w:t xml:space="preserve"> </w:t>
      </w:r>
      <w:r>
        <w:t xml:space="preserve">(Tsay 2013)</w:t>
      </w:r>
      <w:r>
        <w:t xml:space="preserve">.</w:t>
      </w:r>
    </w:p>
    <w:bookmarkEnd w:id="399"/>
    <w:bookmarkStart w:id="400" w:name="guided-practice-19"/>
    <w:p>
      <w:pPr>
        <w:pStyle w:val="Heading2"/>
        <w:keepNext/>
      </w:pPr>
      <w:r>
        <w:t>39.9</w:t>
        <w:tab/>
        <w:t>Guided practice</w:t>
      </w:r>
    </w:p>
    <w:p>
      <w:pPr>
        <w:pStyle w:val="Compact"/>
        <w:numPr>
          <w:ilvl w:val="0"/>
          <w:numId w:val="1080"/>
        </w:numPr>
      </w:pPr>
      <w:r>
        <w:t xml:space="preserve">Re-run Demonstration 20.1 and change one input while keeping the analytical question fixed.</w:t>
      </w:r>
    </w:p>
    <w:p>
      <w:pPr>
        <w:pStyle w:val="Compact"/>
        <w:numPr>
          <w:ilvl w:val="0"/>
          <w:numId w:val="1080"/>
        </w:numPr>
      </w:pPr>
      <w:r>
        <w:t xml:space="preserve">Explain in two sentences how the output supports, or fails to support, the chapter opening question.</w:t>
      </w:r>
    </w:p>
    <w:p>
      <w:pPr>
        <w:pStyle w:val="Compact"/>
        <w:numPr>
          <w:ilvl w:val="0"/>
          <w:numId w:val="1080"/>
        </w:numPr>
      </w:pPr>
      <w:r>
        <w:t xml:space="preserve">Add one validation check that would prevent a plausible error.</w:t>
      </w:r>
    </w:p>
    <w:bookmarkEnd w:id="400"/>
    <w:bookmarkStart w:id="401" w:name="exercises-19"/>
    <w:p>
      <w:pPr>
        <w:pStyle w:val="Heading2"/>
        <w:keepNext/>
      </w:pPr>
      <w:r>
        <w:t>39.10</w:t>
        <w:tab/>
        <w:t>Exercises</w:t>
      </w:r>
    </w:p>
    <w:p>
      <w:pPr>
        <w:pStyle w:val="Compact"/>
        <w:numPr>
          <w:ilvl w:val="0"/>
          <w:numId w:val="1081"/>
        </w:numPr>
      </w:pPr>
      <w:r>
        <w:t xml:space="preserve">Simulate a random walk and difference it.</w:t>
      </w:r>
    </w:p>
    <w:p>
      <w:pPr>
        <w:pStyle w:val="Compact"/>
        <w:numPr>
          <w:ilvl w:val="0"/>
          <w:numId w:val="1081"/>
        </w:numPr>
      </w:pPr>
      <w:r>
        <w:t xml:space="preserve">Create monthly seasonal plots.</w:t>
      </w:r>
    </w:p>
    <w:p>
      <w:pPr>
        <w:pStyle w:val="Compact"/>
        <w:numPr>
          <w:ilvl w:val="0"/>
          <w:numId w:val="1081"/>
        </w:numPr>
      </w:pPr>
      <w:r>
        <w:t xml:space="preserve">Fit a seasonal naive benchmark and SARIMA model.</w:t>
      </w:r>
    </w:p>
    <w:p>
      <w:pPr>
        <w:pStyle w:val="Compact"/>
        <w:numPr>
          <w:ilvl w:val="0"/>
          <w:numId w:val="1081"/>
        </w:numPr>
      </w:pPr>
      <w:r>
        <w:t xml:space="preserve">Estimate a regression with AR(1) errors and compare residual diagnostics.</w:t>
      </w:r>
    </w:p>
    <w:bookmarkEnd w:id="401"/>
    <w:bookmarkStart w:id="402" w:name="chapter-summary-19"/>
    <w:p>
      <w:pPr>
        <w:pStyle w:val="Heading2"/>
        <w:keepNext/>
      </w:pPr>
      <w:r>
        <w:t>39.11</w:t>
        <w:tab/>
        <w:t>Chapter summary</w:t>
      </w:r>
    </w:p>
    <w:p>
      <w:pPr>
        <w:pStyle w:val="Compact"/>
        <w:numPr>
          <w:ilvl w:val="0"/>
          <w:numId w:val="1082"/>
        </w:numPr>
      </w:pPr>
      <w:r>
        <w:t xml:space="preserve">Unit roots create persistent stochastic trends.</w:t>
      </w:r>
    </w:p>
    <w:p>
      <w:pPr>
        <w:pStyle w:val="Compact"/>
        <w:numPr>
          <w:ilvl w:val="0"/>
          <w:numId w:val="1082"/>
        </w:numPr>
      </w:pPr>
      <w:r>
        <w:t xml:space="preserve">Seasonal differencing targets recurring calendar dependence.</w:t>
      </w:r>
    </w:p>
    <w:p>
      <w:pPr>
        <w:pStyle w:val="Compact"/>
        <w:numPr>
          <w:ilvl w:val="0"/>
          <w:numId w:val="1082"/>
        </w:numPr>
      </w:pPr>
      <w:r>
        <w:t xml:space="preserve">Dynamic regression models coefficients and serial errors jointly.</w:t>
      </w:r>
    </w:p>
    <w:bookmarkEnd w:id="402"/>
    <w:bookmarkStart w:id="403" w:name="key-python-commands-19"/>
    <w:p>
      <w:pPr>
        <w:pStyle w:val="Heading2"/>
        <w:keepNext/>
      </w:pPr>
      <w:r>
        <w:t>39.12</w:t>
        <w:tab/>
        <w:t>Key Python commands</w:t>
      </w:r>
    </w:p>
    <w:p>
      <w:pPr>
        <w:pStyle w:val="SourceCode"/>
        <w:shd w:fill="F6F8FA" w:val="clear"/>
      </w:pPr>
      <w:r>
        <w:rPr>
          <w:rStyle w:val="ImportTok"/>
        </w:rPr>
        <w:t xml:space="preserve">import</w:t>
      </w:r>
      <w:r>
        <w:rPr>
          <w:rStyle w:val="NormalTok"/>
        </w:rPr>
        <w:t xml:space="preserve"> pandas </w:t>
      </w:r>
      <w:r>
        <w:rPr>
          <w:rStyle w:val="ImportTok"/>
        </w:rPr>
        <w:t xml:space="preserve">as</w:t>
      </w:r>
      <w:r>
        <w:rPr>
          <w:rStyle w:val="NormalTok"/>
        </w:rPr>
        <w:t xml:space="preserve"> pd</w:t>
      </w:r>
      <w:r>
        <w:br/>
      </w:r>
      <w:r>
        <w:rPr>
          <w:rStyle w:val="NormalTok"/>
        </w:rPr>
        <w:t xml:space="preserve">series </w:t>
      </w:r>
      <w:r>
        <w:rPr>
          <w:rStyle w:val="OperatorTok"/>
        </w:rPr>
        <w:t xml:space="preserve">=</w:t>
      </w:r>
      <w:r>
        <w:rPr>
          <w:rStyle w:val="NormalTok"/>
        </w:rPr>
        <w:t xml:space="preserve"> pd.Series(</w:t>
      </w:r>
      <w:r>
        <w:rPr>
          <w:rStyle w:val="BuiltInTok"/>
        </w:rPr>
        <w:t xml:space="preserve">range</w:t>
      </w:r>
      <w:r>
        <w:rPr>
          <w:rStyle w:val="NormalTok"/>
        </w:rPr>
        <w:t xml:space="preserve">(</w:t>
      </w:r>
      <w:r>
        <w:rPr>
          <w:rStyle w:val="DecValTok"/>
        </w:rPr>
        <w:t xml:space="preserve">24</w:t>
      </w:r>
      <w:r>
        <w:rPr>
          <w:rStyle w:val="NormalTok"/>
        </w:rPr>
        <w:t xml:space="preserve">), index</w:t>
      </w:r>
      <w:r>
        <w:rPr>
          <w:rStyle w:val="OperatorTok"/>
        </w:rPr>
        <w:t xml:space="preserve">=</w:t>
      </w:r>
      <w:r>
        <w:rPr>
          <w:rStyle w:val="NormalTok"/>
        </w:rPr>
        <w:t xml:space="preserve">pd.date_range(</w:t>
      </w:r>
      <w:r>
        <w:rPr>
          <w:rStyle w:val="StringTok"/>
        </w:rPr>
        <w:t xml:space="preserve">"2024-01-01"</w:t>
      </w:r>
      <w:r>
        <w:rPr>
          <w:rStyle w:val="NormalTok"/>
        </w:rPr>
        <w:t xml:space="preserve">, periods</w:t>
      </w:r>
      <w:r>
        <w:rPr>
          <w:rStyle w:val="OperatorTok"/>
        </w:rPr>
        <w:t xml:space="preserve">=</w:t>
      </w:r>
      <w:r>
        <w:rPr>
          <w:rStyle w:val="DecValTok"/>
        </w:rPr>
        <w:t xml:space="preserve">24</w:t>
      </w:r>
      <w:r>
        <w:rPr>
          <w:rStyle w:val="NormalTok"/>
        </w:rPr>
        <w:t xml:space="preserve">, freq</w:t>
      </w:r>
      <w:r>
        <w:rPr>
          <w:rStyle w:val="OperatorTok"/>
        </w:rPr>
        <w:t xml:space="preserve">=</w:t>
      </w:r>
      <w:r>
        <w:rPr>
          <w:rStyle w:val="StringTok"/>
        </w:rPr>
        <w:t xml:space="preserve">"MS"</w:t>
      </w:r>
      <w:r>
        <w:rPr>
          <w:rStyle w:val="NormalTok"/>
        </w:rPr>
        <w:t xml:space="preserve">))</w:t>
      </w:r>
      <w:r>
        <w:br/>
      </w:r>
      <w:r>
        <w:rPr>
          <w:rStyle w:val="NormalTok"/>
        </w:rPr>
        <w:t xml:space="preserve">seasonal_difference </w:t>
      </w:r>
      <w:r>
        <w:rPr>
          <w:rStyle w:val="OperatorTok"/>
        </w:rPr>
        <w:t xml:space="preserve">=</w:t>
      </w:r>
      <w:r>
        <w:rPr>
          <w:rStyle w:val="NormalTok"/>
        </w:rPr>
        <w:t xml:space="preserve"> series.diff(</w:t>
      </w:r>
      <w:r>
        <w:rPr>
          <w:rStyle w:val="DecValTok"/>
        </w:rPr>
        <w:t xml:space="preserve">12</w:t>
      </w:r>
      <w:r>
        <w:rPr>
          <w:rStyle w:val="NormalTok"/>
        </w:rPr>
        <w:t xml:space="preserve">)</w:t>
      </w:r>
      <w:r>
        <w:br/>
      </w:r>
      <w:r>
        <w:rPr>
          <w:rStyle w:val="BuiltInTok"/>
        </w:rPr>
        <w:t xml:space="preserve">print</w:t>
      </w:r>
      <w:r>
        <w:rPr>
          <w:rStyle w:val="NormalTok"/>
        </w:rPr>
        <w:t xml:space="preserve">(seasonal_difference.dropna().unique().tolist())</w:t>
      </w:r>
      <w:r>
        <w:br/>
      </w:r>
      <w:r>
        <w:rPr>
          <w:rStyle w:val="ImportTok"/>
        </w:rPr>
        <w:t xml:space="preserve">import</w:t>
      </w:r>
      <w:r>
        <w:rPr>
          <w:rStyle w:val="NormalTok"/>
        </w:rPr>
        <w:t xml:space="preserve"> pandas </w:t>
      </w:r>
      <w:r>
        <w:rPr>
          <w:rStyle w:val="ImportTok"/>
        </w:rPr>
        <w:t xml:space="preserve">as</w:t>
      </w:r>
      <w:r>
        <w:rPr>
          <w:rStyle w:val="NormalTok"/>
        </w:rPr>
        <w:t xml:space="preserve"> pd</w:t>
      </w:r>
      <w:r>
        <w:br/>
      </w:r>
      <w:r>
        <w:rPr>
          <w:rStyle w:val="ImportTok"/>
        </w:rPr>
        <w:t xml:space="preserve">from</w:t>
      </w:r>
      <w:r>
        <w:rPr>
          <w:rStyle w:val="NormalTok"/>
        </w:rPr>
        <w:t xml:space="preserve"> statsmodels.tsa.statespace.sarimax </w:t>
      </w:r>
      <w:r>
        <w:rPr>
          <w:rStyle w:val="ImportTok"/>
        </w:rPr>
        <w:t xml:space="preserve">import</w:t>
      </w:r>
      <w:r>
        <w:rPr>
          <w:rStyle w:val="NormalTok"/>
        </w:rPr>
        <w:t xml:space="preserve"> SARIMAX</w:t>
      </w:r>
    </w:p>
    <w:bookmarkEnd w:id="403"/>
    <w:bookmarkEnd w:id="404"/>
    <w:bookmarkStart w:id="425" w:name="arch-and-garch-models"/>
    <w:p>
      <w:pPr>
        <w:pStyle w:val="Heading1"/>
        <w:keepNext/>
        <w:pageBreakBefore/>
      </w:pPr>
      <w:r>
        <w:t>40</w:t>
        <w:tab/>
        <w:t>ARCH and GARCH Models</w:t>
      </w:r>
    </w:p>
    <w:p>
      <w:pPr>
        <w:pStyle w:val="FirstParagraph"/>
      </w:pPr>
      <w:r>
        <w:rPr>
          <w:i/>
          <w:iCs/>
        </w:rPr>
        <w:t xml:space="preserve">Opening question:</w:t>
      </w:r>
      <w:r>
        <w:t xml:space="preserve"> </w:t>
      </w:r>
      <w:r>
        <w:rPr>
          <w:b/>
          <w:bCs/>
        </w:rPr>
        <w:t xml:space="preserve">How can returns be difficult to predict while their volatility remains persistent and forecastable?</w:t>
      </w:r>
    </w:p>
    <w:bookmarkStart w:id="405" w:name="learning-objectives-20"/>
    <w:p>
      <w:pPr>
        <w:pStyle w:val="Heading2"/>
        <w:keepNext/>
      </w:pPr>
      <w:r>
        <w:t>40.1</w:t>
        <w:tab/>
        <w:t>Learning objectives</w:t>
      </w:r>
    </w:p>
    <w:p>
      <w:pPr>
        <w:pStyle w:val="Compact"/>
        <w:numPr>
          <w:ilvl w:val="0"/>
          <w:numId w:val="1083"/>
        </w:numPr>
      </w:pPr>
      <w:r>
        <w:t xml:space="preserve">Explain conditional variance and volatility clustering.</w:t>
      </w:r>
    </w:p>
    <w:p>
      <w:pPr>
        <w:pStyle w:val="Compact"/>
        <w:numPr>
          <w:ilvl w:val="0"/>
          <w:numId w:val="1083"/>
        </w:numPr>
      </w:pPr>
      <w:r>
        <w:t xml:space="preserve">Test for ARCH effects.</w:t>
      </w:r>
    </w:p>
    <w:p>
      <w:pPr>
        <w:pStyle w:val="Compact"/>
        <w:numPr>
          <w:ilvl w:val="0"/>
          <w:numId w:val="1083"/>
        </w:numPr>
      </w:pPr>
      <w:r>
        <w:t xml:space="preserve">Estimate ARCH and GARCH models.</w:t>
      </w:r>
    </w:p>
    <w:p>
      <w:pPr>
        <w:pStyle w:val="Compact"/>
        <w:numPr>
          <w:ilvl w:val="0"/>
          <w:numId w:val="1083"/>
        </w:numPr>
      </w:pPr>
      <w:r>
        <w:t xml:space="preserve">Diagnose standardized residuals and forecast volatility.</w:t>
      </w:r>
    </w:p>
    <w:p>
      <w:pPr>
        <w:pStyle w:val="FirstParagraph"/>
      </w:pPr>
      <w:r>
        <w:rPr>
          <w:b/>
          <w:bCs/>
        </w:rPr>
        <w:t xml:space="preserve">Prerequisites:</w:t>
      </w:r>
      <w:r>
        <w:t xml:space="preserve"> </w:t>
      </w:r>
      <w:r>
        <w:t xml:space="preserve">Chapters 18 and 19.</w:t>
      </w:r>
    </w:p>
    <w:p>
      <w:pPr>
        <w:pStyle w:val="BodyText"/>
      </w:pPr>
      <w:r>
        <w:rPr>
          <w:b/>
          <w:bCs/>
        </w:rPr>
        <w:t xml:space="preserve">Key terms:</w:t>
      </w:r>
      <w:r>
        <w:t xml:space="preserve"> </w:t>
      </w:r>
      <w:r>
        <w:t xml:space="preserve">conditional variance, ARCH, GARCH, persistence, standardized residual, volatility forecast.</w:t>
      </w:r>
    </w:p>
    <w:bookmarkEnd w:id="405"/>
    <w:bookmarkStart w:id="406" w:name="volatility-is-latent-and-conditional"/>
    <w:p>
      <w:pPr>
        <w:pStyle w:val="Heading2"/>
        <w:keepNext/>
      </w:pPr>
      <w:r>
        <w:t>40.2</w:t>
        <w:tab/>
        <w:t>Volatility is latent and conditional</w:t>
      </w:r>
    </w:p>
    <w:p>
      <w:pPr>
        <w:pStyle w:val="FirstParagraph"/>
      </w:pPr>
      <w:r>
        <w:t xml:space="preserve">Volatility is not directly observed. In ARCH-type models it is the conditional standard deviation of a return innovation given past information. Large shocks tend to cluster because yesterday’s squared innovation helps predict today’s variance. Returns can be nearly uncorrelated while squared returns have substantial autocorrelation. This nonlinear dependence is one of the central facts of financial time series</w:t>
      </w:r>
      <w:r>
        <w:t xml:space="preserve"> </w:t>
      </w:r>
      <w:r>
        <w:t xml:space="preserve">(Engle 1982; Bollerslev 1986)</w:t>
      </w:r>
      <w:r>
        <w:t xml:space="preserve">.</w:t>
      </w:r>
    </w:p>
    <w:bookmarkEnd w:id="406"/>
    <w:bookmarkStart w:id="407" w:name="garch-compresses-a-long-memory"/>
    <w:p>
      <w:pPr>
        <w:pStyle w:val="Heading2"/>
        <w:keepNext/>
      </w:pPr>
      <w:r>
        <w:t>40.3</w:t>
        <w:tab/>
        <w:t>GARCH compresses a long memory</w:t>
      </w:r>
    </w:p>
    <w:p>
      <w:pPr>
        <w:pStyle w:val="FirstParagraph"/>
      </w:pPr>
      <w:r>
        <w:t xml:space="preserve">An ARCH model uses lagged squared shocks. GARCH adds lagged conditional variance, allowing a parsimonious model to represent slowly decaying volatility. In GARCH(1,1), alpha measures the immediate reaction to news and beta carries previous variance forward. The sum alpha plus beta summarizes persistence under common parameterizations. Values near one imply slow decay, but unit scaling and innovation distribution affect the numerical estimates.</w:t>
      </w:r>
    </w:p>
    <w:bookmarkEnd w:id="407"/>
    <w:bookmarkStart w:id="408" w:name="X20280c1d7afd20dc677cd2c7b24f4a9bbf8965a"/>
    <w:p>
      <w:pPr>
        <w:pStyle w:val="Heading2"/>
        <w:keepNext/>
      </w:pPr>
      <w:r>
        <w:t>40.4</w:t>
        <w:tab/>
        <w:t>Model checking moves to standardized residuals</w:t>
      </w:r>
    </w:p>
    <w:p>
      <w:pPr>
        <w:pStyle w:val="FirstParagraph"/>
      </w:pPr>
      <w:r>
        <w:t xml:space="preserve">After estimation, residuals are divided by their conditional standard deviations. An adequate mean and variance model should leave little autocorrelation in standardized residuals and their squares. Heavy tails may remain under Gaussian innovations, motivating a standardized Student-t distribution. A volatility forecast is conditional on the model, estimated parameters, return scale, and information available at the forecast origin.</w:t>
      </w:r>
    </w:p>
    <w:bookmarkEnd w:id="408"/>
    <w:bookmarkStart w:id="409" w:name="core-equations-8"/>
    <w:p>
      <w:pPr>
        <w:pStyle w:val="Heading2"/>
        <w:keepNext/>
      </w:pPr>
      <w:r>
        <w:t>40.5</w:t>
        <w:tab/>
        <w:t>Core equations</w:t>
      </w:r>
    </w:p>
    <w:p>
      <w:pPr>
        <w:pStyle w:val="FirstParagraph"/>
      </w:pPr>
      <w:r>
        <w:rPr>
          <w:b/>
          <w:bCs/>
        </w:rPr>
        <w:t xml:space="preserve">GARCH(1,1)</w:t>
      </w:r>
    </w:p>
    <w:p>
      <w:pPr>
        <w:pStyle w:val="BodyText"/>
      </w:pPr>
      <m:oMathPara>
        <m:oMathParaPr>
          <m:jc m:val="center"/>
        </m:oMathParaPr>
        <m:oMath>
          <m:sSub>
            <m:e>
              <m:r>
                <m:t>a</m:t>
              </m:r>
            </m:e>
            <m:sub>
              <m:r>
                <m:t>t</m:t>
              </m:r>
            </m:sub>
          </m:sSub>
          <m:r>
            <m:rPr>
              <m:sty m:val="p"/>
            </m:rPr>
            <m:t>=</m:t>
          </m:r>
          <m:sSub>
            <m:e>
              <m:r>
                <m:t>σ</m:t>
              </m:r>
            </m:e>
            <m:sub>
              <m:r>
                <m:t>t</m:t>
              </m:r>
            </m:sub>
          </m:sSub>
          <m:sSub>
            <m:e>
              <m:r>
                <m:t>z</m:t>
              </m:r>
            </m:e>
            <m:sub>
              <m:r>
                <m:t>t</m:t>
              </m:r>
            </m:sub>
          </m:sSub>
          <m:r>
            <m:rPr>
              <m:sty m:val="p"/>
            </m:rPr>
            <m:t>,</m:t>
          </m:r>
          <m:r>
            <m:t> </m:t>
          </m:r>
          <m:sSubSup>
            <m:e>
              <m:r>
                <m:t>σ</m:t>
              </m:r>
            </m:e>
            <m:sub>
              <m:r>
                <m:t>t</m:t>
              </m:r>
            </m:sub>
            <m:sup>
              <m:r>
                <m:t>2</m:t>
              </m:r>
            </m:sup>
          </m:sSubSup>
          <m:r>
            <m:rPr>
              <m:sty m:val="p"/>
            </m:rPr>
            <m:t>=</m:t>
          </m:r>
          <m:r>
            <m:t>ω</m:t>
          </m:r>
          <m:r>
            <m:rPr>
              <m:sty m:val="p"/>
            </m:rPr>
            <m:t>+</m:t>
          </m:r>
          <m:r>
            <m:t>α</m:t>
          </m:r>
          <m:sSubSup>
            <m:e>
              <m:r>
                <m:t>a</m:t>
              </m:r>
            </m:e>
            <m:sub>
              <m:r>
                <m:t>t</m:t>
              </m:r>
              <m:r>
                <m:rPr>
                  <m:sty m:val="p"/>
                </m:rPr>
                <m:t>−</m:t>
              </m:r>
              <m:r>
                <m:t>1</m:t>
              </m:r>
            </m:sub>
            <m:sup>
              <m:r>
                <m:t>2</m:t>
              </m:r>
            </m:sup>
          </m:sSubSup>
          <m:r>
            <m:rPr>
              <m:sty m:val="p"/>
            </m:rPr>
            <m:t>+</m:t>
          </m:r>
          <m:r>
            <m:t>β</m:t>
          </m:r>
          <m:sSubSup>
            <m:e>
              <m:r>
                <m:t>σ</m:t>
              </m:r>
            </m:e>
            <m:sub>
              <m:r>
                <m:t>t</m:t>
              </m:r>
              <m:r>
                <m:rPr>
                  <m:sty m:val="p"/>
                </m:rPr>
                <m:t>−</m:t>
              </m:r>
              <m:r>
                <m:t>1</m:t>
              </m:r>
            </m:sub>
            <m:sup>
              <m:r>
                <m:t>2</m:t>
              </m:r>
            </m:sup>
          </m:sSubSup>
        </m:oMath>
      </m:oMathPara>
    </w:p>
    <w:p>
      <w:pPr>
        <w:pStyle w:val="FirstParagraph"/>
      </w:pPr>
      <w:r>
        <w:t xml:space="preserve">With standardized innovations z_t, the conditional variance updates from news and prior variance.</w:t>
      </w:r>
    </w:p>
    <w:p>
      <w:pPr>
        <w:pStyle w:val="BodyText"/>
      </w:pPr>
      <w:r>
        <w:rPr>
          <w:b/>
          <w:bCs/>
        </w:rPr>
        <w:t xml:space="preserve">Unconditional variance</w:t>
      </w:r>
    </w:p>
    <w:p>
      <w:pPr>
        <w:pStyle w:val="BodyText"/>
      </w:pPr>
      <m:oMathPara>
        <m:oMathParaPr>
          <m:jc m:val="center"/>
        </m:oMathParaPr>
        <m:oMath>
          <m:r>
            <m:rPr>
              <m:sty m:val="p"/>
            </m:rPr>
            <m:t>V</m:t>
          </m:r>
          <m:r>
            <m:rPr>
              <m:sty m:val="p"/>
            </m:rPr>
            <m:t>a</m:t>
          </m:r>
          <m:r>
            <m:rPr>
              <m:sty m:val="p"/>
            </m:rPr>
            <m:t>r</m:t>
          </m:r>
          <m:d>
            <m:dPr>
              <m:begChr m:val="("/>
              <m:endChr m:val=")"/>
              <m:sepChr m:val=""/>
              <m:grow/>
            </m:dPr>
            <m:e>
              <m:sSub>
                <m:e>
                  <m:r>
                    <m:t>a</m:t>
                  </m:r>
                </m:e>
                <m:sub>
                  <m:r>
                    <m:t>t</m:t>
                  </m:r>
                </m:sub>
              </m:sSub>
            </m:e>
          </m:d>
          <m:r>
            <m:rPr>
              <m:sty m:val="p"/>
            </m:rPr>
            <m:t>=</m:t>
          </m:r>
          <m:f>
            <m:fPr>
              <m:type m:val="bar"/>
            </m:fPr>
            <m:num>
              <m:r>
                <m:t>ω</m:t>
              </m:r>
            </m:num>
            <m:den>
              <m:r>
                <m:t>1</m:t>
              </m:r>
              <m:r>
                <m:rPr>
                  <m:sty m:val="p"/>
                </m:rPr>
                <m:t>−</m:t>
              </m:r>
              <m:r>
                <m:t>α</m:t>
              </m:r>
              <m:r>
                <m:rPr>
                  <m:sty m:val="p"/>
                </m:rPr>
                <m:t>−</m:t>
              </m:r>
              <m:r>
                <m:t>β</m:t>
              </m:r>
            </m:den>
          </m:f>
        </m:oMath>
      </m:oMathPara>
    </w:p>
    <w:p>
      <w:pPr>
        <w:pStyle w:val="FirstParagraph"/>
      </w:pPr>
      <w:r>
        <w:t xml:space="preserve">This expression requires alpha+beta&lt;1 under the standard covariance-stationary specification.</w:t>
      </w:r>
    </w:p>
    <w:bookmarkEnd w:id="409"/>
    <w:bookmarkStart w:id="412" w:name="python-demonstrations-20"/>
    <w:p>
      <w:pPr>
        <w:pStyle w:val="Heading2"/>
        <w:keepNext/>
      </w:pPr>
      <w:r>
        <w:t>40.6</w:t>
        <w:tab/>
        <w:t>Python demonstrations</w:t>
      </w:r>
    </w:p>
    <w:bookmarkStart w:id="410" w:name="Xb1184e673e12e03acbea0fc4c861e54a4067bfe"/>
    <w:p>
      <w:pPr>
        <w:pStyle w:val="Heading3"/>
        <w:keepNext/>
      </w:pPr>
      <w:r>
        <w:t>40.6.1</w:t>
        <w:tab/>
        <w:t>Demonstration 21.1: Fit the educational GARCH implementation</w:t>
      </w:r>
    </w:p>
    <w:p>
      <w:pPr>
        <w:pStyle w:val="SourceCode"/>
        <w:shd w:fill="F6F8FA" w:val="clear"/>
      </w:pPr>
      <w:r>
        <w:rPr>
          <w:rStyle w:val="ImportTok"/>
        </w:rPr>
        <w:t xml:space="preserve">import</w:t>
      </w:r>
      <w:r>
        <w:rPr>
          <w:rStyle w:val="NormalTok"/>
        </w:rPr>
        <w:t xml:space="preserve"> sys</w:t>
      </w:r>
      <w:r>
        <w:br/>
      </w:r>
      <w:r>
        <w:rPr>
          <w:rStyle w:val="ImportTok"/>
        </w:rPr>
        <w:t xml:space="preserve">from</w:t>
      </w:r>
      <w:r>
        <w:rPr>
          <w:rStyle w:val="NormalTok"/>
        </w:rPr>
        <w:t xml:space="preserve"> pathlib </w:t>
      </w:r>
      <w:r>
        <w:rPr>
          <w:rStyle w:val="ImportTok"/>
        </w:rPr>
        <w:t xml:space="preserve">import</w:t>
      </w:r>
      <w:r>
        <w:rPr>
          <w:rStyle w:val="NormalTok"/>
        </w:rPr>
        <w:t xml:space="preserve"> Path</w:t>
      </w:r>
      <w:r>
        <w:br/>
      </w:r>
      <w:r>
        <w:rPr>
          <w:rStyle w:val="ImportTok"/>
        </w:rPr>
        <w:t xml:space="preserve">import</w:t>
      </w:r>
      <w:r>
        <w:rPr>
          <w:rStyle w:val="NormalTok"/>
        </w:rPr>
        <w:t xml:space="preserve"> pandas </w:t>
      </w:r>
      <w:r>
        <w:rPr>
          <w:rStyle w:val="ImportTok"/>
        </w:rPr>
        <w:t xml:space="preserve">as</w:t>
      </w:r>
      <w:r>
        <w:rPr>
          <w:rStyle w:val="NormalTok"/>
        </w:rPr>
        <w:t xml:space="preserve"> pd</w:t>
      </w:r>
      <w:r>
        <w:br/>
      </w:r>
      <w:r>
        <w:br/>
      </w:r>
      <w:r>
        <w:rPr>
          <w:rStyle w:val="NormalTok"/>
        </w:rPr>
        <w:t xml:space="preserve">sys.path.insert(</w:t>
      </w:r>
      <w:r>
        <w:rPr>
          <w:rStyle w:val="DecValTok"/>
        </w:rPr>
        <w:t xml:space="preserve">0</w:t>
      </w:r>
      <w:r>
        <w:rPr>
          <w:rStyle w:val="NormalTok"/>
        </w:rPr>
        <w:t xml:space="preserve">, </w:t>
      </w:r>
      <w:r>
        <w:rPr>
          <w:rStyle w:val="BuiltInTok"/>
        </w:rPr>
        <w:t xml:space="preserve">str</w:t>
      </w:r>
      <w:r>
        <w:rPr>
          <w:rStyle w:val="NormalTok"/>
        </w:rPr>
        <w:t xml:space="preserve">(Path(</w:t>
      </w:r>
      <w:r>
        <w:rPr>
          <w:rStyle w:val="StringTok"/>
        </w:rPr>
        <w:t xml:space="preserve">"scripts"</w:t>
      </w:r>
      <w:r>
        <w:rPr>
          <w:rStyle w:val="NormalTok"/>
        </w:rPr>
        <w:t xml:space="preserve">).resolve()))</w:t>
      </w:r>
      <w:r>
        <w:br/>
      </w:r>
      <w:r>
        <w:rPr>
          <w:rStyle w:val="ImportTok"/>
        </w:rPr>
        <w:t xml:space="preserve">from</w:t>
      </w:r>
      <w:r>
        <w:rPr>
          <w:rStyle w:val="NormalTok"/>
        </w:rPr>
        <w:t xml:space="preserve"> ceteris_examples </w:t>
      </w:r>
      <w:r>
        <w:rPr>
          <w:rStyle w:val="ImportTok"/>
        </w:rPr>
        <w:t xml:space="preserve">import</w:t>
      </w:r>
      <w:r>
        <w:rPr>
          <w:rStyle w:val="NormalTok"/>
        </w:rPr>
        <w:t xml:space="preserve"> fit_garch11</w:t>
      </w:r>
      <w:r>
        <w:br/>
      </w:r>
      <w:r>
        <w:br/>
      </w:r>
      <w:r>
        <w:rPr>
          <w:rStyle w:val="NormalTok"/>
        </w:rPr>
        <w:t xml:space="preserve">returns </w:t>
      </w:r>
      <w:r>
        <w:rPr>
          <w:rStyle w:val="OperatorTok"/>
        </w:rPr>
        <w:t xml:space="preserve">=</w:t>
      </w:r>
      <w:r>
        <w:rPr>
          <w:rStyle w:val="NormalTok"/>
        </w:rPr>
        <w:t xml:space="preserve"> pd.read_csv(</w:t>
      </w:r>
      <w:r>
        <w:rPr>
          <w:rStyle w:val="StringTok"/>
        </w:rPr>
        <w:t xml:space="preserve">"data/processed/simulated_garch_returns.csv"</w:t>
      </w:r>
      <w:r>
        <w:rPr>
          <w:rStyle w:val="NormalTok"/>
        </w:rPr>
        <w:t xml:space="preserve">)[</w:t>
      </w:r>
      <w:r>
        <w:rPr>
          <w:rStyle w:val="StringTok"/>
        </w:rPr>
        <w:t xml:space="preserve">"return"</w:t>
      </w:r>
      <w:r>
        <w:rPr>
          <w:rStyle w:val="NormalTok"/>
        </w:rPr>
        <w:t xml:space="preserve">].to_numpy()</w:t>
      </w:r>
      <w:r>
        <w:br/>
      </w:r>
      <w:r>
        <w:rPr>
          <w:rStyle w:val="NormalTok"/>
        </w:rPr>
        <w:t xml:space="preserve">fit </w:t>
      </w:r>
      <w:r>
        <w:rPr>
          <w:rStyle w:val="OperatorTok"/>
        </w:rPr>
        <w:t xml:space="preserve">=</w:t>
      </w:r>
      <w:r>
        <w:rPr>
          <w:rStyle w:val="NormalTok"/>
        </w:rPr>
        <w:t xml:space="preserve"> fit_garch11(returns)</w:t>
      </w:r>
      <w:r>
        <w:br/>
      </w:r>
      <w:r>
        <w:rPr>
          <w:rStyle w:val="BuiltInTok"/>
        </w:rPr>
        <w:t xml:space="preserve">print</w:t>
      </w:r>
      <w:r>
        <w:rPr>
          <w:rStyle w:val="NormalTok"/>
        </w:rPr>
        <w:t xml:space="preserve">(</w:t>
      </w:r>
      <w:r>
        <w:rPr>
          <w:rStyle w:val="BuiltInTok"/>
        </w:rPr>
        <w:t xml:space="preserve">round</w:t>
      </w:r>
      <w:r>
        <w:rPr>
          <w:rStyle w:val="NormalTok"/>
        </w:rPr>
        <w:t xml:space="preserve">(fit[</w:t>
      </w:r>
      <w:r>
        <w:rPr>
          <w:rStyle w:val="StringTok"/>
        </w:rPr>
        <w:t xml:space="preserve">"alpha"</w:t>
      </w:r>
      <w:r>
        <w:rPr>
          <w:rStyle w:val="NormalTok"/>
        </w:rPr>
        <w:t xml:space="preserve">] </w:t>
      </w:r>
      <w:r>
        <w:rPr>
          <w:rStyle w:val="OperatorTok"/>
        </w:rPr>
        <w:t xml:space="preserve">+</w:t>
      </w:r>
      <w:r>
        <w:rPr>
          <w:rStyle w:val="NormalTok"/>
        </w:rPr>
        <w:t xml:space="preserve"> fit[</w:t>
      </w:r>
      <w:r>
        <w:rPr>
          <w:rStyle w:val="StringTok"/>
        </w:rPr>
        <w:t xml:space="preserve">"beta"</w:t>
      </w:r>
      <w:r>
        <w:rPr>
          <w:rStyle w:val="NormalTok"/>
        </w:rPr>
        <w:t xml:space="preserve">], </w:t>
      </w:r>
      <w:r>
        <w:rPr>
          <w:rStyle w:val="DecValTok"/>
        </w:rPr>
        <w:t xml:space="preserve">5</w:t>
      </w:r>
      <w:r>
        <w:rPr>
          <w:rStyle w:val="NormalTok"/>
        </w:rPr>
        <w:t xml:space="preserve">), fit[</w:t>
      </w:r>
      <w:r>
        <w:rPr>
          <w:rStyle w:val="StringTok"/>
        </w:rPr>
        <w:t xml:space="preserve">"success"</w:t>
      </w:r>
      <w:r>
        <w:rPr>
          <w:rStyle w:val="NormalTok"/>
        </w:rPr>
        <w:t xml:space="preserve">])</w:t>
      </w:r>
    </w:p>
    <w:p>
      <w:pPr>
        <w:pStyle w:val="FirstParagraph"/>
      </w:pPr>
      <w:r>
        <w:rPr>
          <w:b/>
          <w:bCs/>
        </w:rPr>
        <w:t xml:space="preserve">Verified output</w:t>
      </w:r>
    </w:p>
    <w:p>
      <w:pPr>
        <w:pStyle w:val="SourceCode"/>
        <w:keepLines/>
        <w:shd w:fill="F6F8FA" w:val="clear"/>
      </w:pPr>
      <w:r>
        <w:rPr>
          <w:rStyle w:val="VerbatimChar"/>
        </w:rPr>
        <w:t xml:space="preserve">0.94347 True</w:t>
      </w:r>
    </w:p>
    <w:p>
      <w:pPr>
        <w:pStyle w:val="FirstParagraph"/>
      </w:pPr>
      <w:r>
        <w:rPr>
          <w:b/>
          <w:bCs/>
        </w:rPr>
        <w:t xml:space="preserve">Interpretation.</w:t>
      </w:r>
      <w:r>
        <w:t xml:space="preserve"> </w:t>
      </w:r>
      <w:r>
        <w:t xml:space="preserve">The custom estimator is included for transparency and teaching. Production work should compare a maintained package and verify parameterization.</w:t>
      </w:r>
    </w:p>
    <w:bookmarkEnd w:id="410"/>
    <w:bookmarkStart w:id="411" w:name="X60e0f3b7e9a9a4783fe7685ca3ac3bdbb82f28e"/>
    <w:p>
      <w:pPr>
        <w:pStyle w:val="Heading3"/>
        <w:keepNext/>
      </w:pPr>
      <w:r>
        <w:t>40.6.2</w:t>
        <w:tab/>
        <w:t>Demonstration 21.2: Annualize conditional volatility</w:t>
      </w:r>
    </w:p>
    <w:p>
      <w:pPr>
        <w:pStyle w:val="SourceCode"/>
        <w:keepLines/>
        <w:shd w:fill="F6F8FA" w:val="clear"/>
      </w:pPr>
      <w:r>
        <w:rPr>
          <w:rStyle w:val="ImportTok"/>
        </w:rPr>
        <w:t xml:space="preserve">import</w:t>
      </w:r>
      <w:r>
        <w:rPr>
          <w:rStyle w:val="NormalTok"/>
        </w:rPr>
        <w:t xml:space="preserve"> numpy </w:t>
      </w:r>
      <w:r>
        <w:rPr>
          <w:rStyle w:val="ImportTok"/>
        </w:rPr>
        <w:t xml:space="preserve">as</w:t>
      </w:r>
      <w:r>
        <w:rPr>
          <w:rStyle w:val="NormalTok"/>
        </w:rPr>
        <w:t xml:space="preserve"> np</w:t>
      </w:r>
      <w:r>
        <w:br/>
      </w:r>
      <w:r>
        <w:br/>
      </w:r>
      <w:r>
        <w:rPr>
          <w:rStyle w:val="NormalTok"/>
        </w:rPr>
        <w:t xml:space="preserve">daily_sigma </w:t>
      </w:r>
      <w:r>
        <w:rPr>
          <w:rStyle w:val="OperatorTok"/>
        </w:rPr>
        <w:t xml:space="preserve">=</w:t>
      </w:r>
      <w:r>
        <w:rPr>
          <w:rStyle w:val="NormalTok"/>
        </w:rPr>
        <w:t xml:space="preserve"> np.array([</w:t>
      </w:r>
      <w:r>
        <w:rPr>
          <w:rStyle w:val="FloatTok"/>
        </w:rPr>
        <w:t xml:space="preserve">0.008</w:t>
      </w:r>
      <w:r>
        <w:rPr>
          <w:rStyle w:val="NormalTok"/>
        </w:rPr>
        <w:t xml:space="preserve">, </w:t>
      </w:r>
      <w:r>
        <w:rPr>
          <w:rStyle w:val="FloatTok"/>
        </w:rPr>
        <w:t xml:space="preserve">0.012</w:t>
      </w:r>
      <w:r>
        <w:rPr>
          <w:rStyle w:val="NormalTok"/>
        </w:rPr>
        <w:t xml:space="preserve">, </w:t>
      </w:r>
      <w:r>
        <w:rPr>
          <w:rStyle w:val="FloatTok"/>
        </w:rPr>
        <w:t xml:space="preserve">0.010</w:t>
      </w:r>
      <w:r>
        <w:rPr>
          <w:rStyle w:val="NormalTok"/>
        </w:rPr>
        <w:t xml:space="preserve">])</w:t>
      </w:r>
      <w:r>
        <w:br/>
      </w:r>
      <w:r>
        <w:rPr>
          <w:rStyle w:val="NormalTok"/>
        </w:rPr>
        <w:t xml:space="preserve">annualized </w:t>
      </w:r>
      <w:r>
        <w:rPr>
          <w:rStyle w:val="OperatorTok"/>
        </w:rPr>
        <w:t xml:space="preserve">=</w:t>
      </w:r>
      <w:r>
        <w:rPr>
          <w:rStyle w:val="NormalTok"/>
        </w:rPr>
        <w:t xml:space="preserve"> daily_sigma </w:t>
      </w:r>
      <w:r>
        <w:rPr>
          <w:rStyle w:val="OperatorTok"/>
        </w:rPr>
        <w:t xml:space="preserve">*</w:t>
      </w:r>
      <w:r>
        <w:rPr>
          <w:rStyle w:val="NormalTok"/>
        </w:rPr>
        <w:t xml:space="preserve"> np.sqrt(</w:t>
      </w:r>
      <w:r>
        <w:rPr>
          <w:rStyle w:val="DecValTok"/>
        </w:rPr>
        <w:t xml:space="preserve">252</w:t>
      </w:r>
      <w:r>
        <w:rPr>
          <w:rStyle w:val="NormalTok"/>
        </w:rPr>
        <w:t xml:space="preserve">)</w:t>
      </w:r>
      <w:r>
        <w:br/>
      </w:r>
      <w:r>
        <w:rPr>
          <w:rStyle w:val="BuiltInTok"/>
        </w:rPr>
        <w:t xml:space="preserve">print</w:t>
      </w:r>
      <w:r>
        <w:rPr>
          <w:rStyle w:val="NormalTok"/>
        </w:rPr>
        <w:t xml:space="preserve">(np.</w:t>
      </w:r>
      <w:r>
        <w:rPr>
          <w:rStyle w:val="BuiltInTok"/>
        </w:rPr>
        <w:t xml:space="preserve">round</w:t>
      </w:r>
      <w:r>
        <w:rPr>
          <w:rStyle w:val="NormalTok"/>
        </w:rPr>
        <w:t xml:space="preserve">(annualized, </w:t>
      </w:r>
      <w:r>
        <w:rPr>
          <w:rStyle w:val="DecValTok"/>
        </w:rPr>
        <w:t xml:space="preserve">3</w:t>
      </w:r>
      <w:r>
        <w:rPr>
          <w:rStyle w:val="NormalTok"/>
        </w:rPr>
        <w:t xml:space="preserve">))</w:t>
      </w:r>
    </w:p>
    <w:p>
      <w:pPr>
        <w:pStyle w:val="FirstParagraph"/>
      </w:pPr>
      <w:r>
        <w:rPr>
          <w:b/>
          <w:bCs/>
        </w:rPr>
        <w:t xml:space="preserve">Verified output</w:t>
      </w:r>
    </w:p>
    <w:p>
      <w:pPr>
        <w:pStyle w:val="SourceCode"/>
        <w:keepLines/>
        <w:shd w:fill="F6F8FA" w:val="clear"/>
      </w:pPr>
      <w:r>
        <w:rPr>
          <w:rStyle w:val="VerbatimChar"/>
        </w:rPr>
        <w:t xml:space="preserve">[0.127 0.19  0.159]</w:t>
      </w:r>
    </w:p>
    <w:p>
      <w:pPr>
        <w:pStyle w:val="FirstParagraph"/>
      </w:pPr>
      <w:r>
        <w:rPr>
          <w:b/>
          <w:bCs/>
        </w:rPr>
        <w:t xml:space="preserve">Interpretation.</w:t>
      </w:r>
      <w:r>
        <w:t xml:space="preserve"> </w:t>
      </w:r>
      <w:r>
        <w:t xml:space="preserve">Square-root-of-time annualization assumes a daily variance scale and should not be applied blindly when dependence or horizon dynamics matter.</w:t>
      </w:r>
    </w:p>
    <w:bookmarkEnd w:id="411"/>
    <w:bookmarkEnd w:id="412"/>
    <w:bookmarkStart w:id="419" w:name="visual-evidence-20"/>
    <w:p>
      <w:pPr>
        <w:pStyle w:val="Heading2"/>
        <w:keepNext/>
      </w:pPr>
      <w:r>
        <w:t>40.7</w:t>
        <w:tab/>
        <w:t>Visual evidence</w:t>
      </w:r>
    </w:p>
    <w:p>
      <w:pPr>
        <w:pStyle w:val="FirstParagraph"/>
      </w:pPr>
      <w:r>
        <w:drawing>
          <wp:inline>
            <wp:extent cx="4907280" cy="2373929"/>
            <wp:effectExtent b="0" l="0" r="0" t="0"/>
            <wp:docPr descr="Image: rId413.png" title="" id="414" name="Picture"/>
            <a:graphic>
              <a:graphicData uri="http://schemas.openxmlformats.org/drawingml/2006/picture">
                <pic:pic>
                  <pic:nvPicPr>
                    <pic:cNvPr descr="figures/fig_26_garch_volatility.png" id="415" name="Picture"/>
                    <pic:cNvPicPr>
                      <a:picLocks noChangeArrowheads="1" noChangeAspect="1"/>
                    </pic:cNvPicPr>
                  </pic:nvPicPr>
                  <pic:blipFill>
                    <a:blip r:embed="rId413"/>
                    <a:stretch>
                      <a:fillRect/>
                    </a:stretch>
                  </pic:blipFill>
                  <pic:spPr bwMode="auto">
                    <a:xfrm>
                      <a:off x="0" y="0"/>
                      <a:ext cx="4907280" cy="2373929"/>
                    </a:xfrm>
                    <a:prstGeom prst="rect">
                      <a:avLst/>
                    </a:prstGeom>
                    <a:noFill/>
                    <a:ln w="9525">
                      <a:noFill/>
                      <a:headEnd/>
                      <a:tailEnd/>
                    </a:ln>
                  </pic:spPr>
                </pic:pic>
              </a:graphicData>
            </a:graphic>
          </wp:inline>
        </w:drawing>
      </w:r>
    </w:p>
    <w:p>
      <w:pPr>
        <w:pStyle w:val="Caption"/>
        <w:keepNext w:val="0"/>
        <w:jc w:val="center"/>
      </w:pPr>
      <w:r>
        <w:rPr>
          <w:b/>
          <w:bCs/>
        </w:rPr>
        <w:t xml:space="preserve">Figure 26.</w:t>
      </w:r>
      <w:r>
        <w:t xml:space="preserve"> </w:t>
      </w:r>
      <w:r>
        <w:t xml:space="preserve">A custom educational Gaussian GARCH(1,1) fit to simulated heavy-tailed returns.</w:t>
      </w:r>
    </w:p>
    <w:p>
      <w:pPr>
        <w:pStyle w:val="BodyText"/>
      </w:pPr>
      <w:r>
        <w:drawing>
          <wp:inline>
            <wp:extent cx="4907280" cy="2038640"/>
            <wp:effectExtent b="0" l="0" r="0" t="0"/>
            <wp:docPr descr="Image: rId416.png" title="" id="417" name="Picture"/>
            <a:graphic>
              <a:graphicData uri="http://schemas.openxmlformats.org/drawingml/2006/picture">
                <pic:pic>
                  <pic:nvPicPr>
                    <pic:cNvPr descr="figures/fig_27_volatility_clustering.png" id="418" name="Picture"/>
                    <pic:cNvPicPr>
                      <a:picLocks noChangeArrowheads="1" noChangeAspect="1"/>
                    </pic:cNvPicPr>
                  </pic:nvPicPr>
                  <pic:blipFill>
                    <a:blip r:embed="rId416"/>
                    <a:stretch>
                      <a:fillRect/>
                    </a:stretch>
                  </pic:blipFill>
                  <pic:spPr bwMode="auto">
                    <a:xfrm>
                      <a:off x="0" y="0"/>
                      <a:ext cx="4907280" cy="2038640"/>
                    </a:xfrm>
                    <a:prstGeom prst="rect">
                      <a:avLst/>
                    </a:prstGeom>
                    <a:noFill/>
                    <a:ln w="9525">
                      <a:noFill/>
                      <a:headEnd/>
                      <a:tailEnd/>
                    </a:ln>
                  </pic:spPr>
                </pic:pic>
              </a:graphicData>
            </a:graphic>
          </wp:inline>
        </w:drawing>
      </w:r>
    </w:p>
    <w:p>
      <w:pPr>
        <w:pStyle w:val="Caption"/>
        <w:keepNext w:val="0"/>
        <w:jc w:val="center"/>
      </w:pPr>
      <w:r>
        <w:rPr>
          <w:b/>
          <w:bCs/>
        </w:rPr>
        <w:t xml:space="preserve">Figure 27.</w:t>
      </w:r>
      <w:r>
        <w:t xml:space="preserve"> </w:t>
      </w:r>
      <w:r>
        <w:t xml:space="preserve">Returns may have little linear autocorrelation while squared returns remain serially dependent.</w:t>
      </w:r>
    </w:p>
    <w:bookmarkEnd w:id="419"/>
    <w:bookmarkStart w:id="420" w:name="reference-table-20"/>
    <w:p>
      <w:pPr>
        <w:pStyle w:val="Heading2"/>
        <w:keepNext/>
      </w:pPr>
      <w:r>
        <w:t>40.8</w:t>
        <w:tab/>
        <w:t>Reference table</w:t>
      </w:r>
    </w:p>
    <w:p>
      <w:pPr>
        <w:pStyle w:val="Caption"/>
        <w:keepNext/>
        <w:jc w:val="center"/>
      </w:pPr>
      <w:r>
        <w:rPr>
          <w:b/>
          <w:bCs/>
        </w:rPr>
        <w:t xml:space="preserve">Table 21. Chapter reference.</w:t>
      </w:r>
    </w:p>
    <w:tbl>
      <w:tblPr>
        <w:tblStyle w:val="Table"/>
        <w:tblW w:type="auto" w:w="0"/>
        <w:jc w:val="center"/>
        <w:tblLayout w:type="autofit"/>
        <w:tblLook w:firstRow="1" w:lastRow="0" w:firstColumn="0" w:lastColumn="0" w:noHBand="0" w:noVBand="0" w:val="0020"/>
      </w:tblPr>
      <w:tblGrid>
        <w:gridCol w:w="2640"/>
        <w:gridCol w:w="2640"/>
        <w:gridCol w:w="2640"/>
      </w:tblGrid>
      <w:tr>
        <w:trPr>
          <w:tblHeader w:val="on"/>
          <w:tblHeader w:val="true"/>
          <w:cantSplit/>
        </w:trPr>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0A2342" w:val="clear"/>
          </w:tcPr>
          <w:p>
            <w:pPr>
              <w:pStyle w:val="Compact"/>
              <w:spacing w:before="30" w:after="30" w:line="240" w:lineRule="auto"/>
              <w:jc w:val="left"/>
            </w:pPr>
            <w:r>
              <w:rPr>
                <w:rFonts w:ascii="Noto Sans" w:hAnsi="Noto Sans" w:eastAsia="Noto Sans" w:cs="Noto Sans"/>
                <w:b/>
                <w:color w:val="FFFFFF"/>
                <w:sz w:val="16"/>
              </w:rPr>
              <w:t xml:space="preserve">Parameter</w:t>
            </w:r>
          </w:p>
        </w:tc>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0A2342" w:val="clear"/>
          </w:tcPr>
          <w:p>
            <w:pPr>
              <w:pStyle w:val="Compact"/>
              <w:spacing w:before="30" w:after="30" w:line="240" w:lineRule="auto"/>
              <w:jc w:val="left"/>
            </w:pPr>
            <w:r>
              <w:rPr>
                <w:rFonts w:ascii="Noto Sans" w:hAnsi="Noto Sans" w:eastAsia="Noto Sans" w:cs="Noto Sans"/>
                <w:b/>
                <w:color w:val="FFFFFF"/>
                <w:sz w:val="16"/>
              </w:rPr>
              <w:t xml:space="preserve">Role</w:t>
            </w:r>
          </w:p>
        </w:tc>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0A2342" w:val="clear"/>
          </w:tcPr>
          <w:p>
            <w:pPr>
              <w:pStyle w:val="Compact"/>
              <w:spacing w:before="30" w:after="30" w:line="240" w:lineRule="auto"/>
              <w:jc w:val="left"/>
            </w:pPr>
            <w:r>
              <w:rPr>
                <w:rFonts w:ascii="Noto Sans" w:hAnsi="Noto Sans" w:eastAsia="Noto Sans" w:cs="Noto Sans"/>
                <w:b/>
                <w:color w:val="FFFFFF"/>
                <w:sz w:val="16"/>
              </w:rPr>
              <w:t xml:space="preserve">Interpretation caution</w:t>
            </w:r>
          </w:p>
        </w:tc>
      </w:tr>
      <w:tr>
        <w:trPr>
          <w:cantSplit/>
        </w:trPr>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EEF4F8" w:val="clear"/>
          </w:tcPr>
          <w:p>
            <w:pPr>
              <w:pStyle w:val="Compact"/>
              <w:spacing w:before="30" w:after="30" w:line="240" w:lineRule="auto"/>
              <w:jc w:val="left"/>
            </w:pPr>
            <w:r>
              <w:rPr>
                <w:rFonts w:ascii="Noto Sans" w:hAnsi="Noto Sans" w:eastAsia="Noto Sans" w:cs="Noto Sans"/>
                <w:b w:val="0"/>
                <w:color w:val="18212B"/>
                <w:sz w:val="16"/>
              </w:rPr>
              <w:t xml:space="preserve">omega</w:t>
            </w:r>
          </w:p>
        </w:tc>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EEF4F8" w:val="clear"/>
          </w:tcPr>
          <w:p>
            <w:pPr>
              <w:pStyle w:val="Compact"/>
              <w:spacing w:before="30" w:after="30" w:line="240" w:lineRule="auto"/>
              <w:jc w:val="left"/>
            </w:pPr>
            <w:r>
              <w:rPr>
                <w:rFonts w:ascii="Noto Sans" w:hAnsi="Noto Sans" w:eastAsia="Noto Sans" w:cs="Noto Sans"/>
                <w:b w:val="0"/>
                <w:color w:val="18212B"/>
                <w:sz w:val="16"/>
              </w:rPr>
              <w:t xml:space="preserve">long-run variance anchor</w:t>
            </w:r>
          </w:p>
        </w:tc>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EEF4F8" w:val="clear"/>
          </w:tcPr>
          <w:p>
            <w:pPr>
              <w:pStyle w:val="Compact"/>
              <w:spacing w:before="30" w:after="30" w:line="240" w:lineRule="auto"/>
              <w:jc w:val="left"/>
            </w:pPr>
            <w:r>
              <w:rPr>
                <w:rFonts w:ascii="Noto Sans" w:hAnsi="Noto Sans" w:eastAsia="Noto Sans" w:cs="Noto Sans"/>
                <w:b w:val="0"/>
                <w:color w:val="18212B"/>
                <w:sz w:val="16"/>
              </w:rPr>
              <w:t xml:space="preserve">depends on return scaling</w:t>
            </w:r>
          </w:p>
        </w:tc>
      </w:tr>
      <w:tr>
        <w:trPr>
          <w:cantSplit/>
        </w:trPr>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FFFFFF" w:val="clear"/>
          </w:tcPr>
          <w:p>
            <w:pPr>
              <w:pStyle w:val="Compact"/>
              <w:spacing w:before="30" w:after="30" w:line="240" w:lineRule="auto"/>
              <w:jc w:val="left"/>
            </w:pPr>
            <w:r>
              <w:rPr>
                <w:rFonts w:ascii="Noto Sans" w:hAnsi="Noto Sans" w:eastAsia="Noto Sans" w:cs="Noto Sans"/>
                <w:b w:val="0"/>
                <w:color w:val="18212B"/>
                <w:sz w:val="16"/>
              </w:rPr>
              <w:t xml:space="preserve">alpha</w:t>
            </w:r>
          </w:p>
        </w:tc>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FFFFFF" w:val="clear"/>
          </w:tcPr>
          <w:p>
            <w:pPr>
              <w:pStyle w:val="Compact"/>
              <w:spacing w:before="30" w:after="30" w:line="240" w:lineRule="auto"/>
              <w:jc w:val="left"/>
            </w:pPr>
            <w:r>
              <w:rPr>
                <w:rFonts w:ascii="Noto Sans" w:hAnsi="Noto Sans" w:eastAsia="Noto Sans" w:cs="Noto Sans"/>
                <w:b w:val="0"/>
                <w:color w:val="18212B"/>
                <w:sz w:val="16"/>
              </w:rPr>
              <w:t xml:space="preserve">news response</w:t>
            </w:r>
          </w:p>
        </w:tc>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FFFFFF" w:val="clear"/>
          </w:tcPr>
          <w:p>
            <w:pPr>
              <w:pStyle w:val="Compact"/>
              <w:spacing w:before="30" w:after="30" w:line="240" w:lineRule="auto"/>
              <w:jc w:val="left"/>
            </w:pPr>
            <w:r>
              <w:rPr>
                <w:rFonts w:ascii="Noto Sans" w:hAnsi="Noto Sans" w:eastAsia="Noto Sans" w:cs="Noto Sans"/>
                <w:b w:val="0"/>
                <w:color w:val="18212B"/>
                <w:sz w:val="16"/>
              </w:rPr>
              <w:t xml:space="preserve">not a causal effect of news sign</w:t>
            </w:r>
          </w:p>
        </w:tc>
      </w:tr>
      <w:tr>
        <w:trPr>
          <w:cantSplit/>
        </w:trPr>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EEF4F8" w:val="clear"/>
          </w:tcPr>
          <w:p>
            <w:pPr>
              <w:pStyle w:val="Compact"/>
              <w:spacing w:before="30" w:after="30" w:line="240" w:lineRule="auto"/>
              <w:jc w:val="left"/>
            </w:pPr>
            <w:r>
              <w:rPr>
                <w:rFonts w:ascii="Noto Sans" w:hAnsi="Noto Sans" w:eastAsia="Noto Sans" w:cs="Noto Sans"/>
                <w:b w:val="0"/>
                <w:color w:val="18212B"/>
                <w:sz w:val="16"/>
              </w:rPr>
              <w:t xml:space="preserve">beta</w:t>
            </w:r>
          </w:p>
        </w:tc>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EEF4F8" w:val="clear"/>
          </w:tcPr>
          <w:p>
            <w:pPr>
              <w:pStyle w:val="Compact"/>
              <w:spacing w:before="30" w:after="30" w:line="240" w:lineRule="auto"/>
              <w:jc w:val="left"/>
            </w:pPr>
            <w:r>
              <w:rPr>
                <w:rFonts w:ascii="Noto Sans" w:hAnsi="Noto Sans" w:eastAsia="Noto Sans" w:cs="Noto Sans"/>
                <w:b w:val="0"/>
                <w:color w:val="18212B"/>
                <w:sz w:val="16"/>
              </w:rPr>
              <w:t xml:space="preserve">variance persistence</w:t>
            </w:r>
          </w:p>
        </w:tc>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EEF4F8" w:val="clear"/>
          </w:tcPr>
          <w:p>
            <w:pPr>
              <w:pStyle w:val="Compact"/>
              <w:spacing w:before="30" w:after="30" w:line="240" w:lineRule="auto"/>
              <w:jc w:val="left"/>
            </w:pPr>
            <w:r>
              <w:rPr>
                <w:rFonts w:ascii="Noto Sans" w:hAnsi="Noto Sans" w:eastAsia="Noto Sans" w:cs="Noto Sans"/>
                <w:b w:val="0"/>
                <w:color w:val="18212B"/>
                <w:sz w:val="16"/>
              </w:rPr>
              <w:t xml:space="preserve">can absorb misspecification</w:t>
            </w:r>
          </w:p>
        </w:tc>
      </w:tr>
      <w:tr>
        <w:trPr>
          <w:cantSplit/>
        </w:trPr>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FFFFFF" w:val="clear"/>
          </w:tcPr>
          <w:p>
            <w:pPr>
              <w:pStyle w:val="Compact"/>
              <w:spacing w:before="30" w:after="30" w:line="240" w:lineRule="auto"/>
              <w:jc w:val="left"/>
            </w:pPr>
            <w:r>
              <w:rPr>
                <w:rFonts w:ascii="Noto Sans" w:hAnsi="Noto Sans" w:eastAsia="Noto Sans" w:cs="Noto Sans"/>
                <w:b w:val="0"/>
                <w:color w:val="18212B"/>
                <w:sz w:val="16"/>
              </w:rPr>
              <w:t xml:space="preserve">alpha+beta</w:t>
            </w:r>
          </w:p>
        </w:tc>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FFFFFF" w:val="clear"/>
          </w:tcPr>
          <w:p>
            <w:pPr>
              <w:pStyle w:val="Compact"/>
              <w:spacing w:before="30" w:after="30" w:line="240" w:lineRule="auto"/>
              <w:jc w:val="left"/>
            </w:pPr>
            <w:r>
              <w:rPr>
                <w:rFonts w:ascii="Noto Sans" w:hAnsi="Noto Sans" w:eastAsia="Noto Sans" w:cs="Noto Sans"/>
                <w:b w:val="0"/>
                <w:color w:val="18212B"/>
                <w:sz w:val="16"/>
              </w:rPr>
              <w:t xml:space="preserve">overall persistence</w:t>
            </w:r>
          </w:p>
        </w:tc>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FFFFFF" w:val="clear"/>
          </w:tcPr>
          <w:p>
            <w:pPr>
              <w:pStyle w:val="Compact"/>
              <w:spacing w:before="30" w:after="30" w:line="240" w:lineRule="auto"/>
              <w:jc w:val="left"/>
            </w:pPr>
            <w:r>
              <w:rPr>
                <w:rFonts w:ascii="Noto Sans" w:hAnsi="Noto Sans" w:eastAsia="Noto Sans" w:cs="Noto Sans"/>
                <w:b w:val="0"/>
                <w:color w:val="18212B"/>
                <w:sz w:val="16"/>
              </w:rPr>
              <w:t xml:space="preserve">near one may signal regime change</w:t>
            </w:r>
          </w:p>
        </w:tc>
      </w:tr>
      <w:tr>
        <w:trPr>
          <w:cantSplit/>
        </w:trPr>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EEF4F8" w:val="clear"/>
          </w:tcPr>
          <w:p>
            <w:pPr>
              <w:pStyle w:val="Compact"/>
              <w:spacing w:before="30" w:after="30" w:line="240" w:lineRule="auto"/>
              <w:jc w:val="left"/>
            </w:pPr>
            <w:r>
              <w:rPr>
                <w:rFonts w:ascii="Noto Sans" w:hAnsi="Noto Sans" w:eastAsia="Noto Sans" w:cs="Noto Sans"/>
                <w:b w:val="0"/>
                <w:color w:val="18212B"/>
                <w:sz w:val="16"/>
              </w:rPr>
              <w:t xml:space="preserve">nu</w:t>
            </w:r>
          </w:p>
        </w:tc>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EEF4F8" w:val="clear"/>
          </w:tcPr>
          <w:p>
            <w:pPr>
              <w:pStyle w:val="Compact"/>
              <w:spacing w:before="30" w:after="30" w:line="240" w:lineRule="auto"/>
              <w:jc w:val="left"/>
            </w:pPr>
            <w:r>
              <w:rPr>
                <w:rFonts w:ascii="Noto Sans" w:hAnsi="Noto Sans" w:eastAsia="Noto Sans" w:cs="Noto Sans"/>
                <w:b w:val="0"/>
                <w:color w:val="18212B"/>
                <w:sz w:val="16"/>
              </w:rPr>
              <w:t xml:space="preserve">Student-t tail shape</w:t>
            </w:r>
          </w:p>
        </w:tc>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EEF4F8" w:val="clear"/>
          </w:tcPr>
          <w:p>
            <w:pPr>
              <w:pStyle w:val="Compact"/>
              <w:spacing w:before="30" w:after="30" w:line="240" w:lineRule="auto"/>
              <w:jc w:val="left"/>
            </w:pPr>
            <w:r>
              <w:rPr>
                <w:rFonts w:ascii="Noto Sans" w:hAnsi="Noto Sans" w:eastAsia="Noto Sans" w:cs="Noto Sans"/>
                <w:b w:val="0"/>
                <w:color w:val="18212B"/>
                <w:sz w:val="16"/>
              </w:rPr>
              <w:t xml:space="preserve">parameterization differs by package</w:t>
            </w:r>
          </w:p>
        </w:tc>
      </w:tr>
    </w:tbl>
    <w:p>
      <w:pPr>
        <w:pStyle w:val="BlockText"/>
        <w:shd w:fill="EAF7F5" w:val="clear"/>
        <w:pBdr>
          <w:left w:val="single" w:sz="18" w:space="8" w:color="008F87"/>
        </w:pBdr>
      </w:pPr>
      <w:r>
        <w:rPr>
          <w:b/>
          <w:bCs/>
        </w:rPr>
        <w:t xml:space="preserve">Why This Matters</w:t>
      </w:r>
    </w:p>
    <w:p>
      <w:pPr>
        <w:pStyle w:val="BlockText"/>
        <w:shd w:fill="EAF7F5" w:val="clear"/>
        <w:pBdr>
          <w:left w:val="single" w:sz="18" w:space="8" w:color="008F87"/>
        </w:pBdr>
      </w:pPr>
      <w:r>
        <w:t xml:space="preserve">Volatility forecasts feed risk measures, derivative models, interval forecasts, and portfolio decisions.</w:t>
      </w:r>
    </w:p>
    <w:p>
      <w:pPr>
        <w:pStyle w:val="BlockText"/>
        <w:shd w:fill="EAF7F5" w:val="clear"/>
        <w:pBdr>
          <w:left w:val="single" w:sz="18" w:space="8" w:color="008F87"/>
        </w:pBdr>
      </w:pPr>
      <w:r>
        <w:rPr>
          <w:b/>
          <w:bCs/>
        </w:rPr>
        <w:t xml:space="preserve">Common Mistake</w:t>
      </w:r>
    </w:p>
    <w:p>
      <w:pPr>
        <w:pStyle w:val="BlockText"/>
        <w:shd w:fill="EAF7F5" w:val="clear"/>
        <w:pBdr>
          <w:left w:val="single" w:sz="18" w:space="8" w:color="008F87"/>
        </w:pBdr>
      </w:pPr>
      <w:r>
        <w:t xml:space="preserve">Fitting GARCH to raw prices rather than a stationary return or innovation series.</w:t>
      </w:r>
    </w:p>
    <w:p>
      <w:pPr>
        <w:pStyle w:val="BlockText"/>
        <w:shd w:fill="EAF7F5" w:val="clear"/>
        <w:pBdr>
          <w:left w:val="single" w:sz="18" w:space="8" w:color="008F87"/>
        </w:pBdr>
      </w:pPr>
      <w:r>
        <w:rPr>
          <w:b/>
          <w:bCs/>
        </w:rPr>
        <w:t xml:space="preserve">Ceteris LAB Tip</w:t>
      </w:r>
    </w:p>
    <w:p>
      <w:pPr>
        <w:pStyle w:val="BlockText"/>
        <w:shd w:fill="EAF7F5" w:val="clear"/>
        <w:pBdr>
          <w:left w:val="single" w:sz="18" w:space="8" w:color="008F87"/>
        </w:pBdr>
      </w:pPr>
      <w:r>
        <w:t xml:space="preserve">Scale daily returns to percentages when numerical optimization is unstable, then document and reverse the scale for interpretation.</w:t>
      </w:r>
    </w:p>
    <w:p>
      <w:pPr>
        <w:pStyle w:val="BlockText"/>
        <w:shd w:fill="EAF7F5" w:val="clear"/>
        <w:pBdr>
          <w:left w:val="single" w:sz="18" w:space="8" w:color="008F87"/>
        </w:pBdr>
      </w:pPr>
      <w:r>
        <w:rPr>
          <w:b/>
          <w:bCs/>
        </w:rPr>
        <w:t xml:space="preserve">R-to-Python / Source Bridge</w:t>
      </w:r>
    </w:p>
    <w:p>
      <w:pPr>
        <w:pStyle w:val="BlockText"/>
        <w:shd w:fill="EAF7F5" w:val="clear"/>
        <w:pBdr>
          <w:left w:val="single" w:sz="18" w:space="8" w:color="008F87"/>
        </w:pBdr>
      </w:pPr>
      <w:r>
        <w:t xml:space="preserve">The source volatility lecture builds ARCH/GARCH from squared-return diagnostics, Gaussian and Student-t innovations, and standardized-residual checks. The Python chapter preserves that structure and records scaling differences</w:t>
      </w:r>
      <w:r>
        <w:t xml:space="preserve"> </w:t>
      </w:r>
      <w:r>
        <w:t xml:space="preserve">(Tsay 2013)</w:t>
      </w:r>
      <w:r>
        <w:t xml:space="preserve">.</w:t>
      </w:r>
    </w:p>
    <w:bookmarkEnd w:id="420"/>
    <w:bookmarkStart w:id="421" w:name="guided-practice-20"/>
    <w:p>
      <w:pPr>
        <w:pStyle w:val="Heading2"/>
        <w:keepNext/>
      </w:pPr>
      <w:r>
        <w:t>40.9</w:t>
        <w:tab/>
        <w:t>Guided practice</w:t>
      </w:r>
    </w:p>
    <w:p>
      <w:pPr>
        <w:pStyle w:val="Compact"/>
        <w:numPr>
          <w:ilvl w:val="0"/>
          <w:numId w:val="1084"/>
        </w:numPr>
      </w:pPr>
      <w:r>
        <w:t xml:space="preserve">Re-run Demonstration 21.1 and change one input while keeping the analytical question fixed.</w:t>
      </w:r>
    </w:p>
    <w:p>
      <w:pPr>
        <w:pStyle w:val="Compact"/>
        <w:numPr>
          <w:ilvl w:val="0"/>
          <w:numId w:val="1084"/>
        </w:numPr>
      </w:pPr>
      <w:r>
        <w:t xml:space="preserve">Explain in two sentences how the output supports, or fails to support, the chapter opening question.</w:t>
      </w:r>
    </w:p>
    <w:p>
      <w:pPr>
        <w:pStyle w:val="Compact"/>
        <w:numPr>
          <w:ilvl w:val="0"/>
          <w:numId w:val="1084"/>
        </w:numPr>
      </w:pPr>
      <w:r>
        <w:t xml:space="preserve">Add one validation check that would prevent a plausible error.</w:t>
      </w:r>
    </w:p>
    <w:bookmarkEnd w:id="421"/>
    <w:bookmarkStart w:id="422" w:name="exercises-20"/>
    <w:p>
      <w:pPr>
        <w:pStyle w:val="Heading2"/>
        <w:keepNext/>
      </w:pPr>
      <w:r>
        <w:t>40.10</w:t>
        <w:tab/>
        <w:t>Exercises</w:t>
      </w:r>
    </w:p>
    <w:p>
      <w:pPr>
        <w:pStyle w:val="Compact"/>
        <w:numPr>
          <w:ilvl w:val="0"/>
          <w:numId w:val="1085"/>
        </w:numPr>
      </w:pPr>
      <w:r>
        <w:t xml:space="preserve">Test squared returns for serial dependence.</w:t>
      </w:r>
    </w:p>
    <w:p>
      <w:pPr>
        <w:pStyle w:val="Compact"/>
        <w:numPr>
          <w:ilvl w:val="0"/>
          <w:numId w:val="1085"/>
        </w:numPr>
      </w:pPr>
      <w:r>
        <w:t xml:space="preserve">Estimate Gaussian and Student-t GARCH models.</w:t>
      </w:r>
    </w:p>
    <w:p>
      <w:pPr>
        <w:pStyle w:val="Compact"/>
        <w:numPr>
          <w:ilvl w:val="0"/>
          <w:numId w:val="1085"/>
        </w:numPr>
      </w:pPr>
      <w:r>
        <w:t xml:space="preserve">Calculate persistence and unconditional variance.</w:t>
      </w:r>
    </w:p>
    <w:p>
      <w:pPr>
        <w:pStyle w:val="Compact"/>
        <w:numPr>
          <w:ilvl w:val="0"/>
          <w:numId w:val="1085"/>
        </w:numPr>
      </w:pPr>
      <w:r>
        <w:t xml:space="preserve">Inspect ACFs of standardized residuals and their squares.</w:t>
      </w:r>
    </w:p>
    <w:bookmarkEnd w:id="422"/>
    <w:bookmarkStart w:id="423" w:name="chapter-summary-20"/>
    <w:p>
      <w:pPr>
        <w:pStyle w:val="Heading2"/>
        <w:keepNext/>
      </w:pPr>
      <w:r>
        <w:t>40.11</w:t>
        <w:tab/>
        <w:t>Chapter summary</w:t>
      </w:r>
    </w:p>
    <w:p>
      <w:pPr>
        <w:pStyle w:val="Compact"/>
        <w:numPr>
          <w:ilvl w:val="0"/>
          <w:numId w:val="1086"/>
        </w:numPr>
      </w:pPr>
      <w:r>
        <w:t xml:space="preserve">ARCH and GARCH model conditional variance, not observed volatility itself.</w:t>
      </w:r>
    </w:p>
    <w:p>
      <w:pPr>
        <w:pStyle w:val="Compact"/>
        <w:numPr>
          <w:ilvl w:val="0"/>
          <w:numId w:val="1086"/>
        </w:numPr>
      </w:pPr>
      <w:r>
        <w:t xml:space="preserve">GARCH persistence combines reaction and carryover.</w:t>
      </w:r>
    </w:p>
    <w:p>
      <w:pPr>
        <w:pStyle w:val="Compact"/>
        <w:numPr>
          <w:ilvl w:val="0"/>
          <w:numId w:val="1086"/>
        </w:numPr>
      </w:pPr>
      <w:r>
        <w:t xml:space="preserve">Diagnostics focus on standardized residuals and squared standardized residuals.</w:t>
      </w:r>
    </w:p>
    <w:bookmarkEnd w:id="423"/>
    <w:bookmarkStart w:id="424" w:name="key-python-commands-20"/>
    <w:p>
      <w:pPr>
        <w:pStyle w:val="Heading2"/>
        <w:keepNext/>
      </w:pPr>
      <w:r>
        <w:t>40.12</w:t>
        <w:tab/>
        <w:t>Key Python commands</w:t>
      </w:r>
    </w:p>
    <w:p>
      <w:pPr>
        <w:pStyle w:val="SourceCode"/>
        <w:keepLines/>
        <w:shd w:fill="F6F8FA" w:val="clear"/>
      </w:pPr>
      <w:r>
        <w:rPr>
          <w:rStyle w:val="ImportTok"/>
        </w:rPr>
        <w:t xml:space="preserve">import</w:t>
      </w:r>
      <w:r>
        <w:rPr>
          <w:rStyle w:val="NormalTok"/>
        </w:rPr>
        <w:t xml:space="preserve"> sys</w:t>
      </w:r>
      <w:r>
        <w:br/>
      </w:r>
      <w:r>
        <w:rPr>
          <w:rStyle w:val="ImportTok"/>
        </w:rPr>
        <w:t xml:space="preserve">from</w:t>
      </w:r>
      <w:r>
        <w:rPr>
          <w:rStyle w:val="NormalTok"/>
        </w:rPr>
        <w:t xml:space="preserve"> pathlib </w:t>
      </w:r>
      <w:r>
        <w:rPr>
          <w:rStyle w:val="ImportTok"/>
        </w:rPr>
        <w:t xml:space="preserve">import</w:t>
      </w:r>
      <w:r>
        <w:rPr>
          <w:rStyle w:val="NormalTok"/>
        </w:rPr>
        <w:t xml:space="preserve"> Path</w:t>
      </w:r>
      <w:r>
        <w:br/>
      </w:r>
      <w:r>
        <w:rPr>
          <w:rStyle w:val="ImportTok"/>
        </w:rPr>
        <w:t xml:space="preserve">import</w:t>
      </w:r>
      <w:r>
        <w:rPr>
          <w:rStyle w:val="NormalTok"/>
        </w:rPr>
        <w:t xml:space="preserve"> pandas </w:t>
      </w:r>
      <w:r>
        <w:rPr>
          <w:rStyle w:val="ImportTok"/>
        </w:rPr>
        <w:t xml:space="preserve">as</w:t>
      </w:r>
      <w:r>
        <w:rPr>
          <w:rStyle w:val="NormalTok"/>
        </w:rPr>
        <w:t xml:space="preserve"> pd</w:t>
      </w:r>
      <w:r>
        <w:br/>
      </w:r>
      <w:r>
        <w:rPr>
          <w:rStyle w:val="NormalTok"/>
        </w:rPr>
        <w:t xml:space="preserve">sys.path.insert(</w:t>
      </w:r>
      <w:r>
        <w:rPr>
          <w:rStyle w:val="DecValTok"/>
        </w:rPr>
        <w:t xml:space="preserve">0</w:t>
      </w:r>
      <w:r>
        <w:rPr>
          <w:rStyle w:val="NormalTok"/>
        </w:rPr>
        <w:t xml:space="preserve">, </w:t>
      </w:r>
      <w:r>
        <w:rPr>
          <w:rStyle w:val="BuiltInTok"/>
        </w:rPr>
        <w:t xml:space="preserve">str</w:t>
      </w:r>
      <w:r>
        <w:rPr>
          <w:rStyle w:val="NormalTok"/>
        </w:rPr>
        <w:t xml:space="preserve">(Path(</w:t>
      </w:r>
      <w:r>
        <w:rPr>
          <w:rStyle w:val="StringTok"/>
        </w:rPr>
        <w:t xml:space="preserve">"scripts"</w:t>
      </w:r>
      <w:r>
        <w:rPr>
          <w:rStyle w:val="NormalTok"/>
        </w:rPr>
        <w:t xml:space="preserve">).resolve()))</w:t>
      </w:r>
      <w:r>
        <w:br/>
      </w:r>
      <w:r>
        <w:rPr>
          <w:rStyle w:val="ImportTok"/>
        </w:rPr>
        <w:t xml:space="preserve">from</w:t>
      </w:r>
      <w:r>
        <w:rPr>
          <w:rStyle w:val="NormalTok"/>
        </w:rPr>
        <w:t xml:space="preserve"> ceteris_examples </w:t>
      </w:r>
      <w:r>
        <w:rPr>
          <w:rStyle w:val="ImportTok"/>
        </w:rPr>
        <w:t xml:space="preserve">import</w:t>
      </w:r>
      <w:r>
        <w:rPr>
          <w:rStyle w:val="NormalTok"/>
        </w:rPr>
        <w:t xml:space="preserve"> fit_garch11</w:t>
      </w:r>
      <w:r>
        <w:br/>
      </w:r>
      <w:r>
        <w:rPr>
          <w:rStyle w:val="NormalTok"/>
        </w:rPr>
        <w:t xml:space="preserve">returns </w:t>
      </w:r>
      <w:r>
        <w:rPr>
          <w:rStyle w:val="OperatorTok"/>
        </w:rPr>
        <w:t xml:space="preserve">=</w:t>
      </w:r>
      <w:r>
        <w:rPr>
          <w:rStyle w:val="NormalTok"/>
        </w:rPr>
        <w:t xml:space="preserve"> pd.read_csv(</w:t>
      </w:r>
      <w:r>
        <w:rPr>
          <w:rStyle w:val="StringTok"/>
        </w:rPr>
        <w:t xml:space="preserve">"data/processed/simulated_garch_returns.csv"</w:t>
      </w:r>
      <w:r>
        <w:rPr>
          <w:rStyle w:val="NormalTok"/>
        </w:rPr>
        <w:t xml:space="preserve">)[</w:t>
      </w:r>
      <w:r>
        <w:rPr>
          <w:rStyle w:val="StringTok"/>
        </w:rPr>
        <w:t xml:space="preserve">"return"</w:t>
      </w:r>
      <w:r>
        <w:rPr>
          <w:rStyle w:val="NormalTok"/>
        </w:rPr>
        <w:t xml:space="preserve">].to_numpy()</w:t>
      </w:r>
    </w:p>
    <w:bookmarkEnd w:id="424"/>
    <w:bookmarkEnd w:id="425"/>
    <w:bookmarkStart w:id="449" w:name="X117230c6fba230992af937318d89142652b0169"/>
    <w:p>
      <w:pPr>
        <w:pStyle w:val="Heading1"/>
        <w:keepNext/>
        <w:pageBreakBefore/>
      </w:pPr>
      <w:r>
        <w:t>41</w:t>
        <w:tab/>
        <w:t>Asymmetric, Advanced, and Realized Volatility</w:t>
      </w:r>
    </w:p>
    <w:p>
      <w:pPr>
        <w:pStyle w:val="FirstParagraph"/>
      </w:pPr>
      <w:r>
        <w:rPr>
          <w:i/>
          <w:iCs/>
        </w:rPr>
        <w:t xml:space="preserve">Opening question:</w:t>
      </w:r>
      <w:r>
        <w:t xml:space="preserve"> </w:t>
      </w:r>
      <w:r>
        <w:rPr>
          <w:b/>
          <w:bCs/>
        </w:rPr>
        <w:t xml:space="preserve">Why can equally large negative and positive shocks have different volatility consequences, and what can intraday or OHLC data add?</w:t>
      </w:r>
    </w:p>
    <w:bookmarkStart w:id="426" w:name="learning-objectives-21"/>
    <w:p>
      <w:pPr>
        <w:pStyle w:val="Heading2"/>
        <w:keepNext/>
      </w:pPr>
      <w:r>
        <w:t>41.1</w:t>
        <w:tab/>
        <w:t>Learning objectives</w:t>
      </w:r>
    </w:p>
    <w:p>
      <w:pPr>
        <w:pStyle w:val="Compact"/>
        <w:numPr>
          <w:ilvl w:val="0"/>
          <w:numId w:val="1087"/>
        </w:numPr>
      </w:pPr>
      <w:r>
        <w:t xml:space="preserve">Compare EGARCH, GJR-GARCH, APARCH, and GARCH-M concepts.</w:t>
      </w:r>
    </w:p>
    <w:p>
      <w:pPr>
        <w:pStyle w:val="Compact"/>
        <w:numPr>
          <w:ilvl w:val="0"/>
          <w:numId w:val="1087"/>
        </w:numPr>
      </w:pPr>
      <w:r>
        <w:t xml:space="preserve">Interpret leverage and news-impact curves.</w:t>
      </w:r>
    </w:p>
    <w:p>
      <w:pPr>
        <w:pStyle w:val="Compact"/>
        <w:numPr>
          <w:ilvl w:val="0"/>
          <w:numId w:val="1087"/>
        </w:numPr>
      </w:pPr>
      <w:r>
        <w:t xml:space="preserve">Calculate rolling, EWMA, realized, and range-based volatility.</w:t>
      </w:r>
    </w:p>
    <w:p>
      <w:pPr>
        <w:pStyle w:val="Compact"/>
        <w:numPr>
          <w:ilvl w:val="0"/>
          <w:numId w:val="1087"/>
        </w:numPr>
      </w:pPr>
      <w:r>
        <w:t xml:space="preserve">Discuss microstructure noise and overnight information.</w:t>
      </w:r>
    </w:p>
    <w:p>
      <w:pPr>
        <w:pStyle w:val="FirstParagraph"/>
      </w:pPr>
      <w:r>
        <w:rPr>
          <w:b/>
          <w:bCs/>
        </w:rPr>
        <w:t xml:space="preserve">Prerequisites:</w:t>
      </w:r>
      <w:r>
        <w:t xml:space="preserve"> </w:t>
      </w:r>
      <w:r>
        <w:t xml:space="preserve">Chapter 21.</w:t>
      </w:r>
    </w:p>
    <w:p>
      <w:pPr>
        <w:pStyle w:val="BodyText"/>
      </w:pPr>
      <w:r>
        <w:rPr>
          <w:b/>
          <w:bCs/>
        </w:rPr>
        <w:t xml:space="preserve">Key terms:</w:t>
      </w:r>
      <w:r>
        <w:t xml:space="preserve"> </w:t>
      </w:r>
      <w:r>
        <w:t xml:space="preserve">EGARCH, GJR-GARCH, APARCH, leverage effect, realized volatility, OHLC estimator.</w:t>
      </w:r>
    </w:p>
    <w:bookmarkEnd w:id="426"/>
    <w:bookmarkStart w:id="427" w:name="X7b830e4fa760499c86ac988a4001afc332dcbb7"/>
    <w:p>
      <w:pPr>
        <w:pStyle w:val="Heading2"/>
        <w:keepNext/>
      </w:pPr>
      <w:r>
        <w:t>41.2</w:t>
        <w:tab/>
        <w:t>Asymmetry belongs in the variance equation</w:t>
      </w:r>
    </w:p>
    <w:p>
      <w:pPr>
        <w:pStyle w:val="FirstParagraph"/>
      </w:pPr>
      <w:r>
        <w:t xml:space="preserve">Negative equity shocks often increase subsequent volatility more than positive shocks of the same magnitude. EGARCH models log variance and permits asymmetric standardized-shock effects without imposing positivity constraints directly</w:t>
      </w:r>
      <w:r>
        <w:t xml:space="preserve"> </w:t>
      </w:r>
      <w:r>
        <w:t xml:space="preserve">(Nelson 1991)</w:t>
      </w:r>
      <w:r>
        <w:t xml:space="preserve">. GJR-GARCH adds an indicator for negative innovations. APARCH generalizes the power applied to volatility and shock magnitude. Parameter names and signs differ across software, so interpretation should follow the exact implemented equation.</w:t>
      </w:r>
    </w:p>
    <w:bookmarkEnd w:id="427"/>
    <w:bookmarkStart w:id="428" w:name="realized-measures-use-more-of-the-day"/>
    <w:p>
      <w:pPr>
        <w:pStyle w:val="Heading2"/>
        <w:keepNext/>
      </w:pPr>
      <w:r>
        <w:t>41.3</w:t>
        <w:tab/>
        <w:t>Realized measures use more of the day</w:t>
      </w:r>
    </w:p>
    <w:p>
      <w:pPr>
        <w:pStyle w:val="FirstParagraph"/>
      </w:pPr>
      <w:r>
        <w:t xml:space="preserve">Realized variance sums squared intraday returns. Under ideal continuous sampling it approximates quadratic variation, but extremely high frequency introduces bid-ask bounce and other microstructure noise. Overnight price changes carry information that an intraday sum can miss. Sampling intervals, market hours, and data cleaning therefore become part of the volatility estimator.</w:t>
      </w:r>
    </w:p>
    <w:bookmarkEnd w:id="428"/>
    <w:bookmarkStart w:id="429" w:name="Xe40ea9c75de15ca7fbd4bec6af020e5d955ea35"/>
    <w:p>
      <w:pPr>
        <w:pStyle w:val="Heading2"/>
        <w:keepNext/>
      </w:pPr>
      <w:r>
        <w:t>41.4</w:t>
        <w:tab/>
        <w:t>OHLC estimators trade assumptions for efficiency</w:t>
      </w:r>
    </w:p>
    <w:p>
      <w:pPr>
        <w:pStyle w:val="FirstParagraph"/>
      </w:pPr>
      <w:r>
        <w:t xml:space="preserve">High, low, open, and close prices contain more intraday information than close-to-close returns. Parkinson, Garman-Klass, Rogers-Satchell, and Yang-Zhang estimators use different combinations and assumptions about drift and overnight gaps</w:t>
      </w:r>
      <w:r>
        <w:t xml:space="preserve"> </w:t>
      </w:r>
      <w:r>
        <w:t xml:space="preserve">(Garman and Klass 1980; Yang and Zhang 2000)</w:t>
      </w:r>
      <w:r>
        <w:t xml:space="preserve">. Corporate actions must be handled consistently. Comparing several measures is usually more informative than declaring one universally best.</w:t>
      </w:r>
    </w:p>
    <w:bookmarkEnd w:id="429"/>
    <w:bookmarkStart w:id="430" w:name="core-equations-9"/>
    <w:p>
      <w:pPr>
        <w:pStyle w:val="Heading2"/>
        <w:keepNext/>
      </w:pPr>
      <w:r>
        <w:t>41.5</w:t>
        <w:tab/>
        <w:t>Core equations</w:t>
      </w:r>
    </w:p>
    <w:p>
      <w:pPr>
        <w:pStyle w:val="FirstParagraph"/>
      </w:pPr>
      <w:r>
        <w:rPr>
          <w:b/>
          <w:bCs/>
        </w:rPr>
        <w:t xml:space="preserve">Realized variance</w:t>
      </w:r>
    </w:p>
    <w:p>
      <w:pPr>
        <w:pStyle w:val="BodyText"/>
      </w:pPr>
      <m:oMathPara>
        <m:oMathParaPr>
          <m:jc m:val="center"/>
        </m:oMathParaPr>
        <m:oMath>
          <m:r>
            <m:t>R</m:t>
          </m:r>
          <m:sSub>
            <m:e>
              <m:r>
                <m:t>V</m:t>
              </m:r>
            </m:e>
            <m:sub>
              <m:r>
                <m:t>t</m:t>
              </m:r>
            </m:sub>
          </m:sSub>
          <m:r>
            <m:rPr>
              <m:sty m:val="p"/>
            </m:rPr>
            <m:t>=</m:t>
          </m:r>
          <m:nary>
            <m:naryPr>
              <m:chr m:val="∑"/>
              <m:limLoc m:val="undOvr"/>
              <m:subHide m:val="off"/>
              <m:supHide m:val="off"/>
            </m:naryPr>
            <m:sub>
              <m:r>
                <m:t>j</m:t>
              </m:r>
              <m:r>
                <m:rPr>
                  <m:sty m:val="p"/>
                </m:rPr>
                <m:t>=</m:t>
              </m:r>
              <m:r>
                <m:t>1</m:t>
              </m:r>
            </m:sub>
            <m:sup>
              <m:r>
                <m:t>m</m:t>
              </m:r>
            </m:sup>
            <m:e>
              <m:sSubSup>
                <m:e>
                  <m:r>
                    <m:t>r</m:t>
                  </m:r>
                </m:e>
                <m:sub>
                  <m:r>
                    <m:t>t</m:t>
                  </m:r>
                  <m:r>
                    <m:rPr>
                      <m:sty m:val="p"/>
                    </m:rPr>
                    <m:t>,</m:t>
                  </m:r>
                  <m:r>
                    <m:t>j</m:t>
                  </m:r>
                </m:sub>
                <m:sup>
                  <m:r>
                    <m:t>2</m:t>
                  </m:r>
                </m:sup>
              </m:sSubSup>
            </m:e>
          </m:nary>
        </m:oMath>
      </m:oMathPara>
    </w:p>
    <w:p>
      <w:pPr>
        <w:pStyle w:val="FirstParagraph"/>
      </w:pPr>
      <w:r>
        <w:t xml:space="preserve">Intraday squared returns are summed within a day.</w:t>
      </w:r>
    </w:p>
    <w:p>
      <w:pPr>
        <w:pStyle w:val="BodyText"/>
      </w:pPr>
      <w:r>
        <w:rPr>
          <w:b/>
          <w:bCs/>
        </w:rPr>
        <w:t xml:space="preserve">Parkinson variance</w:t>
      </w:r>
    </w:p>
    <w:p>
      <w:pPr>
        <w:pStyle w:val="BodyText"/>
      </w:pPr>
      <m:oMathPara>
        <m:oMathParaPr>
          <m:jc m:val="center"/>
        </m:oMathParaPr>
        <m:oMath>
          <m:sSubSup>
            <m:e>
              <m:acc>
                <m:accPr>
                  <m:chr m:val="̂"/>
                </m:accPr>
                <m:e>
                  <m:r>
                    <m:t>σ</m:t>
                  </m:r>
                </m:e>
              </m:acc>
            </m:e>
            <m:sub>
              <m:r>
                <m:t>P</m:t>
              </m:r>
              <m:r>
                <m:rPr>
                  <m:sty m:val="p"/>
                </m:rPr>
                <m:t>,</m:t>
              </m:r>
              <m:r>
                <m:t>t</m:t>
              </m:r>
            </m:sub>
            <m:sup>
              <m:r>
                <m:t>2</m:t>
              </m:r>
            </m:sup>
          </m:sSubSup>
          <m:r>
            <m:rPr>
              <m:sty m:val="p"/>
            </m:rPr>
            <m:t>=</m:t>
          </m:r>
          <m:f>
            <m:fPr>
              <m:type m:val="bar"/>
            </m:fPr>
            <m:num>
              <m:sSup>
                <m:e>
                  <m:d>
                    <m:dPr>
                      <m:begChr m:val="["/>
                      <m:endChr m:val="]"/>
                      <m:sepChr m:val=""/>
                      <m:grow/>
                    </m:dPr>
                    <m:e>
                      <m:r>
                        <m:rPr>
                          <m:sty m:val="p"/>
                        </m:rPr>
                        <m:t>ln</m:t>
                      </m:r>
                      <m:d>
                        <m:dPr>
                          <m:begChr m:val="("/>
                          <m:endChr m:val=")"/>
                          <m:sepChr m:val=""/>
                          <m:grow/>
                        </m:dPr>
                        <m:e>
                          <m:sSub>
                            <m:e>
                              <m:r>
                                <m:t>H</m:t>
                              </m:r>
                            </m:e>
                            <m:sub>
                              <m:r>
                                <m:t>t</m:t>
                              </m:r>
                            </m:sub>
                          </m:sSub>
                          <m:r>
                            <m:rPr>
                              <m:sty m:val="p"/>
                            </m:rPr>
                            <m:t>/</m:t>
                          </m:r>
                          <m:sSub>
                            <m:e>
                              <m:r>
                                <m:t>L</m:t>
                              </m:r>
                            </m:e>
                            <m:sub>
                              <m:r>
                                <m:t>t</m:t>
                              </m:r>
                            </m:sub>
                          </m:sSub>
                        </m:e>
                      </m:d>
                    </m:e>
                  </m:d>
                </m:e>
                <m:sup>
                  <m:r>
                    <m:t>2</m:t>
                  </m:r>
                </m:sup>
              </m:sSup>
            </m:num>
            <m:den>
              <m:r>
                <m:t>4</m:t>
              </m:r>
              <m:r>
                <m:rPr>
                  <m:sty m:val="p"/>
                </m:rPr>
                <m:t>ln</m:t>
              </m:r>
              <m:r>
                <m:t>2</m:t>
              </m:r>
            </m:den>
          </m:f>
        </m:oMath>
      </m:oMathPara>
    </w:p>
    <w:p>
      <w:pPr>
        <w:pStyle w:val="FirstParagraph"/>
      </w:pPr>
      <w:r>
        <w:t xml:space="preserve">The high-low range provides an efficient estimator under a driftless diffusion idealization.</w:t>
      </w:r>
    </w:p>
    <w:bookmarkEnd w:id="430"/>
    <w:bookmarkStart w:id="433" w:name="python-demonstrations-21"/>
    <w:p>
      <w:pPr>
        <w:pStyle w:val="Heading2"/>
        <w:keepNext/>
      </w:pPr>
      <w:r>
        <w:t>41.6</w:t>
        <w:tab/>
        <w:t>Python demonstrations</w:t>
      </w:r>
    </w:p>
    <w:bookmarkStart w:id="431" w:name="X41dd4db94e248cf6b66c453c3126b28b0d4914d"/>
    <w:p>
      <w:pPr>
        <w:pStyle w:val="Heading3"/>
        <w:keepNext/>
      </w:pPr>
      <w:r>
        <w:t>41.6.1</w:t>
        <w:tab/>
        <w:t>Demonstration 22.1: EWMA variance recursion</w:t>
      </w:r>
    </w:p>
    <w:p>
      <w:pPr>
        <w:pStyle w:val="SourceCode"/>
        <w:keepLines/>
        <w:shd w:fill="F6F8FA" w:val="clear"/>
      </w:pPr>
      <w:r>
        <w:rPr>
          <w:rStyle w:val="ImportTok"/>
        </w:rPr>
        <w:t xml:space="preserve">import</w:t>
      </w:r>
      <w:r>
        <w:rPr>
          <w:rStyle w:val="NormalTok"/>
        </w:rPr>
        <w:t xml:space="preserve"> numpy </w:t>
      </w:r>
      <w:r>
        <w:rPr>
          <w:rStyle w:val="ImportTok"/>
        </w:rPr>
        <w:t xml:space="preserve">as</w:t>
      </w:r>
      <w:r>
        <w:rPr>
          <w:rStyle w:val="NormalTok"/>
        </w:rPr>
        <w:t xml:space="preserve"> np</w:t>
      </w:r>
      <w:r>
        <w:br/>
      </w:r>
      <w:r>
        <w:br/>
      </w:r>
      <w:r>
        <w:rPr>
          <w:rStyle w:val="NormalTok"/>
        </w:rPr>
        <w:t xml:space="preserve">returns </w:t>
      </w:r>
      <w:r>
        <w:rPr>
          <w:rStyle w:val="OperatorTok"/>
        </w:rPr>
        <w:t xml:space="preserve">=</w:t>
      </w:r>
      <w:r>
        <w:rPr>
          <w:rStyle w:val="NormalTok"/>
        </w:rPr>
        <w:t xml:space="preserve"> np.array([</w:t>
      </w:r>
      <w:r>
        <w:rPr>
          <w:rStyle w:val="FloatTok"/>
        </w:rPr>
        <w:t xml:space="preserve">0.01</w:t>
      </w:r>
      <w:r>
        <w:rPr>
          <w:rStyle w:val="NormalTok"/>
        </w:rPr>
        <w:t xml:space="preserve">, </w:t>
      </w:r>
      <w:r>
        <w:rPr>
          <w:rStyle w:val="OperatorTok"/>
        </w:rPr>
        <w:t xml:space="preserve">-</w:t>
      </w:r>
      <w:r>
        <w:rPr>
          <w:rStyle w:val="FloatTok"/>
        </w:rPr>
        <w:t xml:space="preserve">0.02</w:t>
      </w:r>
      <w:r>
        <w:rPr>
          <w:rStyle w:val="NormalTok"/>
        </w:rPr>
        <w:t xml:space="preserve">, </w:t>
      </w:r>
      <w:r>
        <w:rPr>
          <w:rStyle w:val="FloatTok"/>
        </w:rPr>
        <w:t xml:space="preserve">0.005</w:t>
      </w:r>
      <w:r>
        <w:rPr>
          <w:rStyle w:val="NormalTok"/>
        </w:rPr>
        <w:t xml:space="preserve">, </w:t>
      </w:r>
      <w:r>
        <w:rPr>
          <w:rStyle w:val="FloatTok"/>
        </w:rPr>
        <w:t xml:space="preserve">0.015</w:t>
      </w:r>
      <w:r>
        <w:rPr>
          <w:rStyle w:val="NormalTok"/>
        </w:rPr>
        <w:t xml:space="preserve">])</w:t>
      </w:r>
      <w:r>
        <w:br/>
      </w:r>
      <w:r>
        <w:rPr>
          <w:rStyle w:val="NormalTok"/>
        </w:rPr>
        <w:t xml:space="preserve">lam </w:t>
      </w:r>
      <w:r>
        <w:rPr>
          <w:rStyle w:val="OperatorTok"/>
        </w:rPr>
        <w:t xml:space="preserve">=</w:t>
      </w:r>
      <w:r>
        <w:rPr>
          <w:rStyle w:val="NormalTok"/>
        </w:rPr>
        <w:t xml:space="preserve"> </w:t>
      </w:r>
      <w:r>
        <w:rPr>
          <w:rStyle w:val="FloatTok"/>
        </w:rPr>
        <w:t xml:space="preserve">0.94</w:t>
      </w:r>
      <w:r>
        <w:br/>
      </w:r>
      <w:r>
        <w:rPr>
          <w:rStyle w:val="NormalTok"/>
        </w:rPr>
        <w:t xml:space="preserve">variance </w:t>
      </w:r>
      <w:r>
        <w:rPr>
          <w:rStyle w:val="OperatorTok"/>
        </w:rPr>
        <w:t xml:space="preserve">=</w:t>
      </w:r>
      <w:r>
        <w:rPr>
          <w:rStyle w:val="NormalTok"/>
        </w:rPr>
        <w:t xml:space="preserve"> returns.var()</w:t>
      </w:r>
      <w:r>
        <w:br/>
      </w:r>
      <w:r>
        <w:rPr>
          <w:rStyle w:val="NormalTok"/>
        </w:rPr>
        <w:t xml:space="preserve">path </w:t>
      </w:r>
      <w:r>
        <w:rPr>
          <w:rStyle w:val="OperatorTok"/>
        </w:rPr>
        <w:t xml:space="preserve">=</w:t>
      </w:r>
      <w:r>
        <w:rPr>
          <w:rStyle w:val="NormalTok"/>
        </w:rPr>
        <w:t xml:space="preserve"> []</w:t>
      </w:r>
      <w:r>
        <w:br/>
      </w:r>
      <w:r>
        <w:rPr>
          <w:rStyle w:val="ControlFlowTok"/>
        </w:rPr>
        <w:t xml:space="preserve">for</w:t>
      </w:r>
      <w:r>
        <w:rPr>
          <w:rStyle w:val="NormalTok"/>
        </w:rPr>
        <w:t xml:space="preserve"> r </w:t>
      </w:r>
      <w:r>
        <w:rPr>
          <w:rStyle w:val="KeywordTok"/>
        </w:rPr>
        <w:t xml:space="preserve">in</w:t>
      </w:r>
      <w:r>
        <w:rPr>
          <w:rStyle w:val="NormalTok"/>
        </w:rPr>
        <w:t xml:space="preserve"> returns:</w:t>
      </w:r>
      <w:r>
        <w:br/>
      </w:r>
      <w:r>
        <w:rPr>
          <w:rStyle w:val="NormalTok"/>
        </w:rPr>
        <w:t xml:space="preserve">    variance </w:t>
      </w:r>
      <w:r>
        <w:rPr>
          <w:rStyle w:val="OperatorTok"/>
        </w:rPr>
        <w:t xml:space="preserve">=</w:t>
      </w:r>
      <w:r>
        <w:rPr>
          <w:rStyle w:val="NormalTok"/>
        </w:rPr>
        <w:t xml:space="preserve"> lam </w:t>
      </w:r>
      <w:r>
        <w:rPr>
          <w:rStyle w:val="OperatorTok"/>
        </w:rPr>
        <w:t xml:space="preserve">*</w:t>
      </w:r>
      <w:r>
        <w:rPr>
          <w:rStyle w:val="NormalTok"/>
        </w:rPr>
        <w:t xml:space="preserve"> variance </w:t>
      </w:r>
      <w:r>
        <w:rPr>
          <w:rStyle w:val="OperatorTok"/>
        </w:rPr>
        <w:t xml:space="preserve">+</w:t>
      </w:r>
      <w:r>
        <w:rPr>
          <w:rStyle w:val="NormalTok"/>
        </w:rPr>
        <w:t xml:space="preserve"> (</w:t>
      </w:r>
      <w:r>
        <w:rPr>
          <w:rStyle w:val="DecValTok"/>
        </w:rPr>
        <w:t xml:space="preserve">1</w:t>
      </w:r>
      <w:r>
        <w:rPr>
          <w:rStyle w:val="OperatorTok"/>
        </w:rPr>
        <w:t xml:space="preserve">-</w:t>
      </w:r>
      <w:r>
        <w:rPr>
          <w:rStyle w:val="NormalTok"/>
        </w:rPr>
        <w:t xml:space="preserve">lam) </w:t>
      </w:r>
      <w:r>
        <w:rPr>
          <w:rStyle w:val="OperatorTok"/>
        </w:rPr>
        <w:t xml:space="preserve">*</w:t>
      </w:r>
      <w:r>
        <w:rPr>
          <w:rStyle w:val="NormalTok"/>
        </w:rPr>
        <w:t xml:space="preserve"> r</w:t>
      </w:r>
      <w:r>
        <w:rPr>
          <w:rStyle w:val="OperatorTok"/>
        </w:rPr>
        <w:t xml:space="preserve">**</w:t>
      </w:r>
      <w:r>
        <w:rPr>
          <w:rStyle w:val="DecValTok"/>
        </w:rPr>
        <w:t xml:space="preserve">2</w:t>
      </w:r>
      <w:r>
        <w:br/>
      </w:r>
      <w:r>
        <w:rPr>
          <w:rStyle w:val="NormalTok"/>
        </w:rPr>
        <w:t xml:space="preserve">    path.append(variance)</w:t>
      </w:r>
      <w:r>
        <w:br/>
      </w:r>
      <w:r>
        <w:rPr>
          <w:rStyle w:val="BuiltInTok"/>
        </w:rPr>
        <w:t xml:space="preserve">print</w:t>
      </w:r>
      <w:r>
        <w:rPr>
          <w:rStyle w:val="NormalTok"/>
        </w:rPr>
        <w:t xml:space="preserve">(np.</w:t>
      </w:r>
      <w:r>
        <w:rPr>
          <w:rStyle w:val="BuiltInTok"/>
        </w:rPr>
        <w:t xml:space="preserve">round</w:t>
      </w:r>
      <w:r>
        <w:rPr>
          <w:rStyle w:val="NormalTok"/>
        </w:rPr>
        <w:t xml:space="preserve">(np.sqrt(path), </w:t>
      </w:r>
      <w:r>
        <w:rPr>
          <w:rStyle w:val="DecValTok"/>
        </w:rPr>
        <w:t xml:space="preserve">4</w:t>
      </w:r>
      <w:r>
        <w:rPr>
          <w:rStyle w:val="NormalTok"/>
        </w:rPr>
        <w:t xml:space="preserve">))</w:t>
      </w:r>
    </w:p>
    <w:p>
      <w:pPr>
        <w:pStyle w:val="FirstParagraph"/>
      </w:pPr>
      <w:r>
        <w:rPr>
          <w:b/>
          <w:bCs/>
        </w:rPr>
        <w:t xml:space="preserve">Verified output</w:t>
      </w:r>
    </w:p>
    <w:p>
      <w:pPr>
        <w:pStyle w:val="SourceCode"/>
        <w:keepLines/>
        <w:shd w:fill="F6F8FA" w:val="clear"/>
      </w:pPr>
      <w:r>
        <w:rPr>
          <w:rStyle w:val="VerbatimChar"/>
        </w:rPr>
        <w:t xml:space="preserve">[0.0133 0.0138 0.0134 0.0135]</w:t>
      </w:r>
    </w:p>
    <w:p>
      <w:pPr>
        <w:pStyle w:val="FirstParagraph"/>
      </w:pPr>
      <w:r>
        <w:rPr>
          <w:b/>
          <w:bCs/>
        </w:rPr>
        <w:t xml:space="preserve">Interpretation.</w:t>
      </w:r>
      <w:r>
        <w:t xml:space="preserve"> </w:t>
      </w:r>
      <w:r>
        <w:t xml:space="preserve">Recent squared returns receive greater weight, while the recursion never fully forgets earlier variance.</w:t>
      </w:r>
    </w:p>
    <w:bookmarkEnd w:id="431"/>
    <w:bookmarkStart w:id="432" w:name="X7ce43e2ec7d06631792408c917d74000e9d164e"/>
    <w:p>
      <w:pPr>
        <w:pStyle w:val="Heading3"/>
        <w:keepNext/>
      </w:pPr>
      <w:r>
        <w:t>41.6.2</w:t>
        <w:tab/>
        <w:t>Demonstration 22.2: Parkinson and Garman-Klass estimates</w:t>
      </w:r>
    </w:p>
    <w:p>
      <w:pPr>
        <w:pStyle w:val="SourceCode"/>
        <w:keepLines/>
        <w:shd w:fill="F6F8FA" w:val="clear"/>
      </w:pPr>
      <w:r>
        <w:rPr>
          <w:rStyle w:val="ImportTok"/>
        </w:rPr>
        <w:t xml:space="preserve">import</w:t>
      </w:r>
      <w:r>
        <w:rPr>
          <w:rStyle w:val="NormalTok"/>
        </w:rPr>
        <w:t xml:space="preserve"> numpy </w:t>
      </w:r>
      <w:r>
        <w:rPr>
          <w:rStyle w:val="ImportTok"/>
        </w:rPr>
        <w:t xml:space="preserve">as</w:t>
      </w:r>
      <w:r>
        <w:rPr>
          <w:rStyle w:val="NormalTok"/>
        </w:rPr>
        <w:t xml:space="preserve"> np</w:t>
      </w:r>
      <w:r>
        <w:br/>
      </w:r>
      <w:r>
        <w:br/>
      </w:r>
      <w:r>
        <w:rPr>
          <w:rStyle w:val="NormalTok"/>
        </w:rPr>
        <w:t xml:space="preserve">open_, high, low, close </w:t>
      </w:r>
      <w:r>
        <w:rPr>
          <w:rStyle w:val="OperatorTok"/>
        </w:rPr>
        <w:t xml:space="preserve">=</w:t>
      </w:r>
      <w:r>
        <w:rPr>
          <w:rStyle w:val="NormalTok"/>
        </w:rPr>
        <w:t xml:space="preserve"> </w:t>
      </w:r>
      <w:r>
        <w:rPr>
          <w:rStyle w:val="DecValTok"/>
        </w:rPr>
        <w:t xml:space="preserve">100</w:t>
      </w:r>
      <w:r>
        <w:rPr>
          <w:rStyle w:val="NormalTok"/>
        </w:rPr>
        <w:t xml:space="preserve">, </w:t>
      </w:r>
      <w:r>
        <w:rPr>
          <w:rStyle w:val="DecValTok"/>
        </w:rPr>
        <w:t xml:space="preserve">105</w:t>
      </w:r>
      <w:r>
        <w:rPr>
          <w:rStyle w:val="NormalTok"/>
        </w:rPr>
        <w:t xml:space="preserve">, </w:t>
      </w:r>
      <w:r>
        <w:rPr>
          <w:rStyle w:val="DecValTok"/>
        </w:rPr>
        <w:t xml:space="preserve">98</w:t>
      </w:r>
      <w:r>
        <w:rPr>
          <w:rStyle w:val="NormalTok"/>
        </w:rPr>
        <w:t xml:space="preserve">, </w:t>
      </w:r>
      <w:r>
        <w:rPr>
          <w:rStyle w:val="DecValTok"/>
        </w:rPr>
        <w:t xml:space="preserve">103</w:t>
      </w:r>
      <w:r>
        <w:br/>
      </w:r>
      <w:r>
        <w:rPr>
          <w:rStyle w:val="NormalTok"/>
        </w:rPr>
        <w:t xml:space="preserve">hl </w:t>
      </w:r>
      <w:r>
        <w:rPr>
          <w:rStyle w:val="OperatorTok"/>
        </w:rPr>
        <w:t xml:space="preserve">=</w:t>
      </w:r>
      <w:r>
        <w:rPr>
          <w:rStyle w:val="NormalTok"/>
        </w:rPr>
        <w:t xml:space="preserve"> np.log(high</w:t>
      </w:r>
      <w:r>
        <w:rPr>
          <w:rStyle w:val="OperatorTok"/>
        </w:rPr>
        <w:t xml:space="preserve">/</w:t>
      </w:r>
      <w:r>
        <w:rPr>
          <w:rStyle w:val="NormalTok"/>
        </w:rPr>
        <w:t xml:space="preserve">low)</w:t>
      </w:r>
      <w:r>
        <w:br/>
      </w:r>
      <w:r>
        <w:rPr>
          <w:rStyle w:val="NormalTok"/>
        </w:rPr>
        <w:t xml:space="preserve">co </w:t>
      </w:r>
      <w:r>
        <w:rPr>
          <w:rStyle w:val="OperatorTok"/>
        </w:rPr>
        <w:t xml:space="preserve">=</w:t>
      </w:r>
      <w:r>
        <w:rPr>
          <w:rStyle w:val="NormalTok"/>
        </w:rPr>
        <w:t xml:space="preserve"> np.log(close</w:t>
      </w:r>
      <w:r>
        <w:rPr>
          <w:rStyle w:val="OperatorTok"/>
        </w:rPr>
        <w:t xml:space="preserve">/</w:t>
      </w:r>
      <w:r>
        <w:rPr>
          <w:rStyle w:val="NormalTok"/>
        </w:rPr>
        <w:t xml:space="preserve">open_)</w:t>
      </w:r>
      <w:r>
        <w:br/>
      </w:r>
      <w:r>
        <w:rPr>
          <w:rStyle w:val="NormalTok"/>
        </w:rPr>
        <w:t xml:space="preserve">parkinson </w:t>
      </w:r>
      <w:r>
        <w:rPr>
          <w:rStyle w:val="OperatorTok"/>
        </w:rPr>
        <w:t xml:space="preserve">=</w:t>
      </w:r>
      <w:r>
        <w:rPr>
          <w:rStyle w:val="NormalTok"/>
        </w:rPr>
        <w:t xml:space="preserve"> hl</w:t>
      </w:r>
      <w:r>
        <w:rPr>
          <w:rStyle w:val="OperatorTok"/>
        </w:rPr>
        <w:t xml:space="preserve">**</w:t>
      </w:r>
      <w:r>
        <w:rPr>
          <w:rStyle w:val="DecValTok"/>
        </w:rPr>
        <w:t xml:space="preserve">2</w:t>
      </w:r>
      <w:r>
        <w:rPr>
          <w:rStyle w:val="NormalTok"/>
        </w:rPr>
        <w:t xml:space="preserve"> </w:t>
      </w:r>
      <w:r>
        <w:rPr>
          <w:rStyle w:val="OperatorTok"/>
        </w:rPr>
        <w:t xml:space="preserve">/</w:t>
      </w:r>
      <w:r>
        <w:rPr>
          <w:rStyle w:val="NormalTok"/>
        </w:rPr>
        <w:t xml:space="preserve"> (</w:t>
      </w:r>
      <w:r>
        <w:rPr>
          <w:rStyle w:val="DecValTok"/>
        </w:rPr>
        <w:t xml:space="preserve">4</w:t>
      </w:r>
      <w:r>
        <w:rPr>
          <w:rStyle w:val="OperatorTok"/>
        </w:rPr>
        <w:t xml:space="preserve">*</w:t>
      </w:r>
      <w:r>
        <w:rPr>
          <w:rStyle w:val="NormalTok"/>
        </w:rPr>
        <w:t xml:space="preserve">np.log(</w:t>
      </w:r>
      <w:r>
        <w:rPr>
          <w:rStyle w:val="DecValTok"/>
        </w:rPr>
        <w:t xml:space="preserve">2</w:t>
      </w:r>
      <w:r>
        <w:rPr>
          <w:rStyle w:val="NormalTok"/>
        </w:rPr>
        <w:t xml:space="preserve">))</w:t>
      </w:r>
      <w:r>
        <w:br/>
      </w:r>
      <w:r>
        <w:rPr>
          <w:rStyle w:val="NormalTok"/>
        </w:rPr>
        <w:t xml:space="preserve">gk </w:t>
      </w:r>
      <w:r>
        <w:rPr>
          <w:rStyle w:val="OperatorTok"/>
        </w:rPr>
        <w:t xml:space="preserve">=</w:t>
      </w:r>
      <w:r>
        <w:rPr>
          <w:rStyle w:val="NormalTok"/>
        </w:rPr>
        <w:t xml:space="preserve"> </w:t>
      </w:r>
      <w:r>
        <w:rPr>
          <w:rStyle w:val="FloatTok"/>
        </w:rPr>
        <w:t xml:space="preserve">0.5</w:t>
      </w:r>
      <w:r>
        <w:rPr>
          <w:rStyle w:val="OperatorTok"/>
        </w:rPr>
        <w:t xml:space="preserve">*</w:t>
      </w:r>
      <w:r>
        <w:rPr>
          <w:rStyle w:val="NormalTok"/>
        </w:rPr>
        <w:t xml:space="preserve">hl</w:t>
      </w:r>
      <w:r>
        <w:rPr>
          <w:rStyle w:val="OperatorTok"/>
        </w:rPr>
        <w:t xml:space="preserve">**</w:t>
      </w:r>
      <w:r>
        <w:rPr>
          <w:rStyle w:val="DecValTok"/>
        </w:rPr>
        <w:t xml:space="preserve">2</w:t>
      </w:r>
      <w:r>
        <w:rPr>
          <w:rStyle w:val="NormalTok"/>
        </w:rPr>
        <w:t xml:space="preserve"> </w:t>
      </w:r>
      <w:r>
        <w:rPr>
          <w:rStyle w:val="OperatorTok"/>
        </w:rPr>
        <w:t xml:space="preserve">-</w:t>
      </w:r>
      <w:r>
        <w:rPr>
          <w:rStyle w:val="NormalTok"/>
        </w:rPr>
        <w:t xml:space="preserve"> (</w:t>
      </w:r>
      <w:r>
        <w:rPr>
          <w:rStyle w:val="DecValTok"/>
        </w:rPr>
        <w:t xml:space="preserve">2</w:t>
      </w:r>
      <w:r>
        <w:rPr>
          <w:rStyle w:val="OperatorTok"/>
        </w:rPr>
        <w:t xml:space="preserve">*</w:t>
      </w:r>
      <w:r>
        <w:rPr>
          <w:rStyle w:val="NormalTok"/>
        </w:rPr>
        <w:t xml:space="preserve">np.log(</w:t>
      </w:r>
      <w:r>
        <w:rPr>
          <w:rStyle w:val="DecValTok"/>
        </w:rPr>
        <w:t xml:space="preserve">2</w:t>
      </w:r>
      <w:r>
        <w:rPr>
          <w:rStyle w:val="NormalTok"/>
        </w:rPr>
        <w:t xml:space="preserve">)</w:t>
      </w:r>
      <w:r>
        <w:rPr>
          <w:rStyle w:val="OperatorTok"/>
        </w:rPr>
        <w:t xml:space="preserve">-</w:t>
      </w:r>
      <w:r>
        <w:rPr>
          <w:rStyle w:val="DecValTok"/>
        </w:rPr>
        <w:t xml:space="preserve">1</w:t>
      </w:r>
      <w:r>
        <w:rPr>
          <w:rStyle w:val="NormalTok"/>
        </w:rPr>
        <w:t xml:space="preserve">)</w:t>
      </w:r>
      <w:r>
        <w:rPr>
          <w:rStyle w:val="OperatorTok"/>
        </w:rPr>
        <w:t xml:space="preserve">*</w:t>
      </w:r>
      <w:r>
        <w:rPr>
          <w:rStyle w:val="NormalTok"/>
        </w:rPr>
        <w:t xml:space="preserve">co</w:t>
      </w:r>
      <w:r>
        <w:rPr>
          <w:rStyle w:val="OperatorTok"/>
        </w:rPr>
        <w:t xml:space="preserve">**</w:t>
      </w:r>
      <w:r>
        <w:rPr>
          <w:rStyle w:val="DecValTok"/>
        </w:rPr>
        <w:t xml:space="preserve">2</w:t>
      </w:r>
      <w:r>
        <w:br/>
      </w:r>
      <w:r>
        <w:rPr>
          <w:rStyle w:val="BuiltInTok"/>
        </w:rPr>
        <w:t xml:space="preserve">print</w:t>
      </w:r>
      <w:r>
        <w:rPr>
          <w:rStyle w:val="NormalTok"/>
        </w:rPr>
        <w:t xml:space="preserve">(</w:t>
      </w:r>
      <w:r>
        <w:rPr>
          <w:rStyle w:val="BuiltInTok"/>
        </w:rPr>
        <w:t xml:space="preserve">round</w:t>
      </w:r>
      <w:r>
        <w:rPr>
          <w:rStyle w:val="NormalTok"/>
        </w:rPr>
        <w:t xml:space="preserve">(parkinson, </w:t>
      </w:r>
      <w:r>
        <w:rPr>
          <w:rStyle w:val="DecValTok"/>
        </w:rPr>
        <w:t xml:space="preserve">6</w:t>
      </w:r>
      <w:r>
        <w:rPr>
          <w:rStyle w:val="NormalTok"/>
        </w:rPr>
        <w:t xml:space="preserve">), </w:t>
      </w:r>
      <w:r>
        <w:rPr>
          <w:rStyle w:val="BuiltInTok"/>
        </w:rPr>
        <w:t xml:space="preserve">round</w:t>
      </w:r>
      <w:r>
        <w:rPr>
          <w:rStyle w:val="NormalTok"/>
        </w:rPr>
        <w:t xml:space="preserve">(gk, </w:t>
      </w:r>
      <w:r>
        <w:rPr>
          <w:rStyle w:val="DecValTok"/>
        </w:rPr>
        <w:t xml:space="preserve">6</w:t>
      </w:r>
      <w:r>
        <w:rPr>
          <w:rStyle w:val="NormalTok"/>
        </w:rPr>
        <w:t xml:space="preserve">))</w:t>
      </w:r>
    </w:p>
    <w:p>
      <w:pPr>
        <w:pStyle w:val="FirstParagraph"/>
      </w:pPr>
      <w:r>
        <w:rPr>
          <w:b/>
          <w:bCs/>
        </w:rPr>
        <w:t xml:space="preserve">Verified output</w:t>
      </w:r>
    </w:p>
    <w:p>
      <w:pPr>
        <w:pStyle w:val="SourceCode"/>
        <w:keepLines/>
        <w:shd w:fill="F6F8FA" w:val="clear"/>
      </w:pPr>
      <w:r>
        <w:rPr>
          <w:rStyle w:val="VerbatimChar"/>
        </w:rPr>
        <w:t xml:space="preserve">0.001717 0.002042</w:t>
      </w:r>
    </w:p>
    <w:p>
      <w:pPr>
        <w:pStyle w:val="FirstParagraph"/>
      </w:pPr>
      <w:r>
        <w:rPr>
          <w:b/>
          <w:bCs/>
        </w:rPr>
        <w:t xml:space="preserve">Interpretation.</w:t>
      </w:r>
      <w:r>
        <w:t xml:space="preserve"> </w:t>
      </w:r>
      <w:r>
        <w:t xml:space="preserve">The estimators use the same OHLC day but weight its range and open-to-close movement differently.</w:t>
      </w:r>
    </w:p>
    <w:bookmarkEnd w:id="432"/>
    <w:bookmarkEnd w:id="433"/>
    <w:bookmarkStart w:id="443" w:name="visual-evidence-21"/>
    <w:p>
      <w:pPr>
        <w:pStyle w:val="Heading2"/>
        <w:keepNext/>
      </w:pPr>
      <w:r>
        <w:t>41.7</w:t>
        <w:tab/>
        <w:t>Visual evidence</w:t>
      </w:r>
    </w:p>
    <w:p>
      <w:pPr>
        <w:pStyle w:val="FirstParagraph"/>
      </w:pPr>
      <w:r>
        <w:drawing>
          <wp:inline>
            <wp:extent cx="4907280" cy="2867025"/>
            <wp:effectExtent b="0" l="0" r="0" t="0"/>
            <wp:docPr descr="Image: rId434.png" title="" id="435" name="Picture"/>
            <a:graphic>
              <a:graphicData uri="http://schemas.openxmlformats.org/drawingml/2006/picture">
                <pic:pic>
                  <pic:nvPicPr>
                    <pic:cNvPr descr="figures/fig_28_news_impact.png" id="436" name="Picture"/>
                    <pic:cNvPicPr>
                      <a:picLocks noChangeArrowheads="1" noChangeAspect="1"/>
                    </pic:cNvPicPr>
                  </pic:nvPicPr>
                  <pic:blipFill>
                    <a:blip r:embed="rId434"/>
                    <a:stretch>
                      <a:fillRect/>
                    </a:stretch>
                  </pic:blipFill>
                  <pic:spPr bwMode="auto">
                    <a:xfrm>
                      <a:off x="0" y="0"/>
                      <a:ext cx="4907280" cy="2867025"/>
                    </a:xfrm>
                    <a:prstGeom prst="rect">
                      <a:avLst/>
                    </a:prstGeom>
                    <a:noFill/>
                    <a:ln w="9525">
                      <a:noFill/>
                      <a:headEnd/>
                      <a:tailEnd/>
                    </a:ln>
                  </pic:spPr>
                </pic:pic>
              </a:graphicData>
            </a:graphic>
          </wp:inline>
        </w:drawing>
      </w:r>
    </w:p>
    <w:p>
      <w:pPr>
        <w:pStyle w:val="Caption"/>
        <w:keepNext w:val="0"/>
        <w:jc w:val="center"/>
      </w:pPr>
      <w:r>
        <w:rPr>
          <w:b/>
          <w:bCs/>
        </w:rPr>
        <w:t xml:space="preserve">Figure 28.</w:t>
      </w:r>
      <w:r>
        <w:t xml:space="preserve"> </w:t>
      </w:r>
      <w:r>
        <w:t xml:space="preserve">News-impact curves for symmetric and asymmetric volatility models.</w:t>
      </w:r>
    </w:p>
    <w:p>
      <w:pPr>
        <w:pStyle w:val="BodyText"/>
      </w:pPr>
      <w:r>
        <w:drawing>
          <wp:inline>
            <wp:extent cx="4907280" cy="2410955"/>
            <wp:effectExtent b="0" l="0" r="0" t="0"/>
            <wp:docPr descr="Image: rId437.png" title="" id="438" name="Picture"/>
            <a:graphic>
              <a:graphicData uri="http://schemas.openxmlformats.org/drawingml/2006/picture">
                <pic:pic>
                  <pic:nvPicPr>
                    <pic:cNvPr descr="figures/fig_29_volatility_estimators.png" id="439" name="Picture"/>
                    <pic:cNvPicPr>
                      <a:picLocks noChangeArrowheads="1" noChangeAspect="1"/>
                    </pic:cNvPicPr>
                  </pic:nvPicPr>
                  <pic:blipFill>
                    <a:blip r:embed="rId437"/>
                    <a:stretch>
                      <a:fillRect/>
                    </a:stretch>
                  </pic:blipFill>
                  <pic:spPr bwMode="auto">
                    <a:xfrm>
                      <a:off x="0" y="0"/>
                      <a:ext cx="4907280" cy="2410955"/>
                    </a:xfrm>
                    <a:prstGeom prst="rect">
                      <a:avLst/>
                    </a:prstGeom>
                    <a:noFill/>
                    <a:ln w="9525">
                      <a:noFill/>
                      <a:headEnd/>
                      <a:tailEnd/>
                    </a:ln>
                  </pic:spPr>
                </pic:pic>
              </a:graphicData>
            </a:graphic>
          </wp:inline>
        </w:drawing>
      </w:r>
    </w:p>
    <w:p>
      <w:pPr>
        <w:pStyle w:val="Caption"/>
        <w:keepNext w:val="0"/>
        <w:jc w:val="center"/>
      </w:pPr>
      <w:r>
        <w:rPr>
          <w:b/>
          <w:bCs/>
        </w:rPr>
        <w:t xml:space="preserve">Figure 29.</w:t>
      </w:r>
      <w:r>
        <w:t xml:space="preserve"> </w:t>
      </w:r>
      <w:r>
        <w:t xml:space="preserve">Rolling, exponentially weighted, and realized-volatility proxies for the same return series.</w:t>
      </w:r>
    </w:p>
    <w:p>
      <w:pPr>
        <w:pStyle w:val="BodyText"/>
      </w:pPr>
      <w:r>
        <w:drawing>
          <wp:inline>
            <wp:extent cx="4907280" cy="2510344"/>
            <wp:effectExtent b="0" l="0" r="0" t="0"/>
            <wp:docPr descr="Image: rId440.png" title="" id="441" name="Picture"/>
            <a:graphic>
              <a:graphicData uri="http://schemas.openxmlformats.org/drawingml/2006/picture">
                <pic:pic>
                  <pic:nvPicPr>
                    <pic:cNvPr descr="figures/fig_30_ohlc_volatility.png" id="442" name="Picture"/>
                    <pic:cNvPicPr>
                      <a:picLocks noChangeArrowheads="1" noChangeAspect="1"/>
                    </pic:cNvPicPr>
                  </pic:nvPicPr>
                  <pic:blipFill>
                    <a:blip r:embed="rId440"/>
                    <a:stretch>
                      <a:fillRect/>
                    </a:stretch>
                  </pic:blipFill>
                  <pic:spPr bwMode="auto">
                    <a:xfrm>
                      <a:off x="0" y="0"/>
                      <a:ext cx="4907280" cy="2510344"/>
                    </a:xfrm>
                    <a:prstGeom prst="rect">
                      <a:avLst/>
                    </a:prstGeom>
                    <a:noFill/>
                    <a:ln w="9525">
                      <a:noFill/>
                      <a:headEnd/>
                      <a:tailEnd/>
                    </a:ln>
                  </pic:spPr>
                </pic:pic>
              </a:graphicData>
            </a:graphic>
          </wp:inline>
        </w:drawing>
      </w:r>
    </w:p>
    <w:p>
      <w:pPr>
        <w:pStyle w:val="Caption"/>
        <w:keepNext w:val="0"/>
        <w:jc w:val="center"/>
      </w:pPr>
      <w:r>
        <w:rPr>
          <w:b/>
          <w:bCs/>
        </w:rPr>
        <w:t xml:space="preserve">Figure 30.</w:t>
      </w:r>
      <w:r>
        <w:t xml:space="preserve"> </w:t>
      </w:r>
      <w:r>
        <w:t xml:space="preserve">Close-to-close, Parkinson, and Garman-Klass volatility estimates from simulated OHLC prices.</w:t>
      </w:r>
    </w:p>
    <w:bookmarkEnd w:id="443"/>
    <w:bookmarkStart w:id="444" w:name="reference-table-21"/>
    <w:p>
      <w:pPr>
        <w:pStyle w:val="Heading2"/>
        <w:keepNext/>
      </w:pPr>
      <w:r>
        <w:t>41.8</w:t>
        <w:tab/>
        <w:t>Reference table</w:t>
      </w:r>
    </w:p>
    <w:p>
      <w:pPr>
        <w:pStyle w:val="Caption"/>
        <w:keepNext/>
        <w:jc w:val="center"/>
      </w:pPr>
      <w:r>
        <w:rPr>
          <w:b/>
          <w:bCs/>
        </w:rPr>
        <w:t xml:space="preserve">Table 22. Chapter reference.</w:t>
      </w:r>
    </w:p>
    <w:tbl>
      <w:tblPr>
        <w:tblStyle w:val="Table"/>
        <w:tblW w:type="pct" w:w="5000"/>
        <w:jc w:val="center"/>
        <w:tblLayout w:type="autofit"/>
        <w:tblLook w:firstRow="1" w:lastRow="0" w:firstColumn="0" w:lastColumn="0" w:noHBand="0" w:noVBand="0" w:val="0020"/>
      </w:tblPr>
      <w:tblGrid>
        <w:gridCol w:w="2640"/>
        <w:gridCol w:w="2640"/>
        <w:gridCol w:w="2640"/>
      </w:tblGrid>
      <w:tr>
        <w:trPr>
          <w:tblHeader w:val="on"/>
          <w:tblHeader w:val="true"/>
          <w:cantSplit/>
        </w:trPr>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0A2342" w:val="clear"/>
          </w:tcPr>
          <w:p>
            <w:pPr>
              <w:pStyle w:val="Compact"/>
              <w:spacing w:before="30" w:after="30" w:line="240" w:lineRule="auto"/>
              <w:jc w:val="left"/>
            </w:pPr>
            <w:r>
              <w:rPr>
                <w:rFonts w:ascii="Noto Sans" w:hAnsi="Noto Sans" w:eastAsia="Noto Sans" w:cs="Noto Sans"/>
                <w:b/>
                <w:color w:val="FFFFFF"/>
                <w:sz w:val="16"/>
              </w:rPr>
              <w:t xml:space="preserve">Method</w:t>
            </w:r>
          </w:p>
        </w:tc>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0A2342" w:val="clear"/>
          </w:tcPr>
          <w:p>
            <w:pPr>
              <w:pStyle w:val="Compact"/>
              <w:spacing w:before="30" w:after="30" w:line="240" w:lineRule="auto"/>
              <w:jc w:val="left"/>
            </w:pPr>
            <w:r>
              <w:rPr>
                <w:rFonts w:ascii="Noto Sans" w:hAnsi="Noto Sans" w:eastAsia="Noto Sans" w:cs="Noto Sans"/>
                <w:b/>
                <w:color w:val="FFFFFF"/>
                <w:sz w:val="16"/>
              </w:rPr>
              <w:t xml:space="preserve">Information used</w:t>
            </w:r>
          </w:p>
        </w:tc>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0A2342" w:val="clear"/>
          </w:tcPr>
          <w:p>
            <w:pPr>
              <w:pStyle w:val="Compact"/>
              <w:spacing w:before="30" w:after="30" w:line="240" w:lineRule="auto"/>
              <w:jc w:val="left"/>
            </w:pPr>
            <w:r>
              <w:rPr>
                <w:rFonts w:ascii="Noto Sans" w:hAnsi="Noto Sans" w:eastAsia="Noto Sans" w:cs="Noto Sans"/>
                <w:b/>
                <w:color w:val="FFFFFF"/>
                <w:sz w:val="16"/>
              </w:rPr>
              <w:t xml:space="preserve">Main limitation</w:t>
            </w:r>
          </w:p>
        </w:tc>
      </w:tr>
      <w:tr>
        <w:trPr>
          <w:cantSplit/>
        </w:trPr>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EEF4F8" w:val="clear"/>
          </w:tcPr>
          <w:p>
            <w:pPr>
              <w:pStyle w:val="Compact"/>
              <w:spacing w:before="30" w:after="30" w:line="240" w:lineRule="auto"/>
              <w:jc w:val="left"/>
            </w:pPr>
            <w:r>
              <w:rPr>
                <w:rFonts w:ascii="Noto Sans" w:hAnsi="Noto Sans" w:eastAsia="Noto Sans" w:cs="Noto Sans"/>
                <w:b w:val="0"/>
                <w:color w:val="18212B"/>
                <w:sz w:val="16"/>
              </w:rPr>
              <w:t xml:space="preserve">rolling SD</w:t>
            </w:r>
          </w:p>
        </w:tc>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EEF4F8" w:val="clear"/>
          </w:tcPr>
          <w:p>
            <w:pPr>
              <w:pStyle w:val="Compact"/>
              <w:spacing w:before="30" w:after="30" w:line="240" w:lineRule="auto"/>
              <w:jc w:val="left"/>
            </w:pPr>
            <w:r>
              <w:rPr>
                <w:rFonts w:ascii="Noto Sans" w:hAnsi="Noto Sans" w:eastAsia="Noto Sans" w:cs="Noto Sans"/>
                <w:b w:val="0"/>
                <w:color w:val="18212B"/>
                <w:sz w:val="16"/>
              </w:rPr>
              <w:t xml:space="preserve">recent close returns</w:t>
            </w:r>
          </w:p>
        </w:tc>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EEF4F8" w:val="clear"/>
          </w:tcPr>
          <w:p>
            <w:pPr>
              <w:pStyle w:val="Compact"/>
              <w:spacing w:before="30" w:after="30" w:line="240" w:lineRule="auto"/>
              <w:jc w:val="left"/>
            </w:pPr>
            <w:r>
              <w:rPr>
                <w:rFonts w:ascii="Noto Sans" w:hAnsi="Noto Sans" w:eastAsia="Noto Sans" w:cs="Noto Sans"/>
                <w:b w:val="0"/>
                <w:color w:val="18212B"/>
                <w:sz w:val="16"/>
              </w:rPr>
              <w:t xml:space="preserve">window choice</w:t>
            </w:r>
          </w:p>
        </w:tc>
      </w:tr>
      <w:tr>
        <w:trPr>
          <w:cantSplit/>
        </w:trPr>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FFFFFF" w:val="clear"/>
          </w:tcPr>
          <w:p>
            <w:pPr>
              <w:pStyle w:val="Compact"/>
              <w:spacing w:before="30" w:after="30" w:line="240" w:lineRule="auto"/>
              <w:jc w:val="left"/>
            </w:pPr>
            <w:r>
              <w:rPr>
                <w:rFonts w:ascii="Noto Sans" w:hAnsi="Noto Sans" w:eastAsia="Noto Sans" w:cs="Noto Sans"/>
                <w:b w:val="0"/>
                <w:color w:val="18212B"/>
                <w:sz w:val="16"/>
              </w:rPr>
              <w:t xml:space="preserve">EWMA</w:t>
            </w:r>
          </w:p>
        </w:tc>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FFFFFF" w:val="clear"/>
          </w:tcPr>
          <w:p>
            <w:pPr>
              <w:pStyle w:val="Compact"/>
              <w:spacing w:before="30" w:after="30" w:line="240" w:lineRule="auto"/>
              <w:jc w:val="left"/>
            </w:pPr>
            <w:r>
              <w:rPr>
                <w:rFonts w:ascii="Noto Sans" w:hAnsi="Noto Sans" w:eastAsia="Noto Sans" w:cs="Noto Sans"/>
                <w:b w:val="0"/>
                <w:color w:val="18212B"/>
                <w:sz w:val="16"/>
              </w:rPr>
              <w:t xml:space="preserve">all past returns with decay</w:t>
            </w:r>
          </w:p>
        </w:tc>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FFFFFF" w:val="clear"/>
          </w:tcPr>
          <w:p>
            <w:pPr>
              <w:pStyle w:val="Compact"/>
              <w:spacing w:before="30" w:after="30" w:line="240" w:lineRule="auto"/>
              <w:jc w:val="left"/>
            </w:pPr>
            <w:r>
              <w:rPr>
                <w:rFonts w:ascii="Noto Sans" w:hAnsi="Noto Sans" w:eastAsia="Noto Sans" w:cs="Noto Sans"/>
                <w:b w:val="0"/>
                <w:color w:val="18212B"/>
                <w:sz w:val="16"/>
              </w:rPr>
              <w:t xml:space="preserve">fixed decay parameter</w:t>
            </w:r>
          </w:p>
        </w:tc>
      </w:tr>
      <w:tr>
        <w:trPr>
          <w:cantSplit/>
        </w:trPr>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EEF4F8" w:val="clear"/>
          </w:tcPr>
          <w:p>
            <w:pPr>
              <w:pStyle w:val="Compact"/>
              <w:spacing w:before="30" w:after="30" w:line="240" w:lineRule="auto"/>
              <w:jc w:val="left"/>
            </w:pPr>
            <w:r>
              <w:rPr>
                <w:rFonts w:ascii="Noto Sans" w:hAnsi="Noto Sans" w:eastAsia="Noto Sans" w:cs="Noto Sans"/>
                <w:b w:val="0"/>
                <w:color w:val="18212B"/>
                <w:sz w:val="16"/>
              </w:rPr>
              <w:t xml:space="preserve">GARCH</w:t>
            </w:r>
          </w:p>
        </w:tc>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EEF4F8" w:val="clear"/>
          </w:tcPr>
          <w:p>
            <w:pPr>
              <w:pStyle w:val="Compact"/>
              <w:spacing w:before="30" w:after="30" w:line="240" w:lineRule="auto"/>
              <w:jc w:val="left"/>
            </w:pPr>
            <w:r>
              <w:rPr>
                <w:rFonts w:ascii="Noto Sans" w:hAnsi="Noto Sans" w:eastAsia="Noto Sans" w:cs="Noto Sans"/>
                <w:b w:val="0"/>
                <w:color w:val="18212B"/>
                <w:sz w:val="16"/>
              </w:rPr>
              <w:t xml:space="preserve">model-based shocks and variance</w:t>
            </w:r>
          </w:p>
        </w:tc>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EEF4F8" w:val="clear"/>
          </w:tcPr>
          <w:p>
            <w:pPr>
              <w:pStyle w:val="Compact"/>
              <w:spacing w:before="30" w:after="30" w:line="240" w:lineRule="auto"/>
              <w:jc w:val="left"/>
            </w:pPr>
            <w:r>
              <w:rPr>
                <w:rFonts w:ascii="Noto Sans" w:hAnsi="Noto Sans" w:eastAsia="Noto Sans" w:cs="Noto Sans"/>
                <w:b w:val="0"/>
                <w:color w:val="18212B"/>
                <w:sz w:val="16"/>
              </w:rPr>
              <w:t xml:space="preserve">specification risk</w:t>
            </w:r>
          </w:p>
        </w:tc>
      </w:tr>
      <w:tr>
        <w:trPr>
          <w:cantSplit/>
        </w:trPr>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FFFFFF" w:val="clear"/>
          </w:tcPr>
          <w:p>
            <w:pPr>
              <w:pStyle w:val="Compact"/>
              <w:spacing w:before="30" w:after="30" w:line="240" w:lineRule="auto"/>
              <w:jc w:val="left"/>
            </w:pPr>
            <w:r>
              <w:rPr>
                <w:rFonts w:ascii="Noto Sans" w:hAnsi="Noto Sans" w:eastAsia="Noto Sans" w:cs="Noto Sans"/>
                <w:b w:val="0"/>
                <w:color w:val="18212B"/>
                <w:sz w:val="16"/>
              </w:rPr>
              <w:t xml:space="preserve">realized variance</w:t>
            </w:r>
          </w:p>
        </w:tc>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FFFFFF" w:val="clear"/>
          </w:tcPr>
          <w:p>
            <w:pPr>
              <w:pStyle w:val="Compact"/>
              <w:spacing w:before="30" w:after="30" w:line="240" w:lineRule="auto"/>
              <w:jc w:val="left"/>
            </w:pPr>
            <w:r>
              <w:rPr>
                <w:rFonts w:ascii="Noto Sans" w:hAnsi="Noto Sans" w:eastAsia="Noto Sans" w:cs="Noto Sans"/>
                <w:b w:val="0"/>
                <w:color w:val="18212B"/>
                <w:sz w:val="16"/>
              </w:rPr>
              <w:t xml:space="preserve">intraday returns</w:t>
            </w:r>
          </w:p>
        </w:tc>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FFFFFF" w:val="clear"/>
          </w:tcPr>
          <w:p>
            <w:pPr>
              <w:pStyle w:val="Compact"/>
              <w:spacing w:before="30" w:after="30" w:line="240" w:lineRule="auto"/>
              <w:jc w:val="left"/>
            </w:pPr>
            <w:r>
              <w:rPr>
                <w:rFonts w:ascii="Noto Sans" w:hAnsi="Noto Sans" w:eastAsia="Noto Sans" w:cs="Noto Sans"/>
                <w:b w:val="0"/>
                <w:color w:val="18212B"/>
                <w:sz w:val="16"/>
              </w:rPr>
              <w:t xml:space="preserve">microstructure noise and overnight gap</w:t>
            </w:r>
          </w:p>
        </w:tc>
      </w:tr>
      <w:tr>
        <w:trPr>
          <w:cantSplit/>
        </w:trPr>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EEF4F8" w:val="clear"/>
          </w:tcPr>
          <w:p>
            <w:pPr>
              <w:pStyle w:val="Compact"/>
              <w:spacing w:before="30" w:after="30" w:line="240" w:lineRule="auto"/>
              <w:jc w:val="left"/>
            </w:pPr>
            <w:r>
              <w:rPr>
                <w:rFonts w:ascii="Noto Sans" w:hAnsi="Noto Sans" w:eastAsia="Noto Sans" w:cs="Noto Sans"/>
                <w:b w:val="0"/>
                <w:color w:val="18212B"/>
                <w:sz w:val="16"/>
              </w:rPr>
              <w:t xml:space="preserve">Yang-Zhang</w:t>
            </w:r>
          </w:p>
        </w:tc>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EEF4F8" w:val="clear"/>
          </w:tcPr>
          <w:p>
            <w:pPr>
              <w:pStyle w:val="Compact"/>
              <w:spacing w:before="30" w:after="30" w:line="240" w:lineRule="auto"/>
              <w:jc w:val="left"/>
            </w:pPr>
            <w:r>
              <w:rPr>
                <w:rFonts w:ascii="Noto Sans" w:hAnsi="Noto Sans" w:eastAsia="Noto Sans" w:cs="Noto Sans"/>
                <w:b w:val="0"/>
                <w:color w:val="18212B"/>
                <w:sz w:val="16"/>
              </w:rPr>
              <w:t xml:space="preserve">open/high/low/close</w:t>
            </w:r>
          </w:p>
        </w:tc>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EEF4F8" w:val="clear"/>
          </w:tcPr>
          <w:p>
            <w:pPr>
              <w:pStyle w:val="Compact"/>
              <w:spacing w:before="30" w:after="30" w:line="240" w:lineRule="auto"/>
              <w:jc w:val="left"/>
            </w:pPr>
            <w:r>
              <w:rPr>
                <w:rFonts w:ascii="Noto Sans" w:hAnsi="Noto Sans" w:eastAsia="Noto Sans" w:cs="Noto Sans"/>
                <w:b w:val="0"/>
                <w:color w:val="18212B"/>
                <w:sz w:val="16"/>
              </w:rPr>
              <w:t xml:space="preserve">corporate actions and assumptions</w:t>
            </w:r>
          </w:p>
        </w:tc>
      </w:tr>
    </w:tbl>
    <w:p>
      <w:pPr>
        <w:pStyle w:val="BlockText"/>
        <w:shd w:fill="EAF7F5" w:val="clear"/>
        <w:pBdr>
          <w:left w:val="single" w:sz="18" w:space="8" w:color="008F87"/>
        </w:pBdr>
      </w:pPr>
      <w:r>
        <w:rPr>
          <w:b/>
          <w:bCs/>
        </w:rPr>
        <w:t xml:space="preserve">Why This Matters</w:t>
      </w:r>
    </w:p>
    <w:p>
      <w:pPr>
        <w:pStyle w:val="BlockText"/>
        <w:shd w:fill="EAF7F5" w:val="clear"/>
        <w:pBdr>
          <w:left w:val="single" w:sz="18" w:space="8" w:color="008F87"/>
        </w:pBdr>
      </w:pPr>
      <w:r>
        <w:t xml:space="preserve">Alternative volatility measures reveal how much the result depends on data frequency, asymmetry, and model assumptions.</w:t>
      </w:r>
    </w:p>
    <w:p>
      <w:pPr>
        <w:pStyle w:val="BlockText"/>
        <w:shd w:fill="EAF7F5" w:val="clear"/>
        <w:pBdr>
          <w:left w:val="single" w:sz="18" w:space="8" w:color="008F87"/>
        </w:pBdr>
      </w:pPr>
      <w:r>
        <w:rPr>
          <w:b/>
          <w:bCs/>
        </w:rPr>
        <w:t xml:space="preserve">Common Mistake</w:t>
      </w:r>
    </w:p>
    <w:p>
      <w:pPr>
        <w:pStyle w:val="BlockText"/>
        <w:shd w:fill="EAF7F5" w:val="clear"/>
        <w:pBdr>
          <w:left w:val="single" w:sz="18" w:space="8" w:color="008F87"/>
        </w:pBdr>
      </w:pPr>
      <w:r>
        <w:t xml:space="preserve">Calling every negative-return coefficient a</w:t>
      </w:r>
      <w:r>
        <w:t xml:space="preserve"> </w:t>
      </w:r>
      <w:r>
        <w:t xml:space="preserve">“</w:t>
      </w:r>
      <w:r>
        <w:t xml:space="preserve">leverage effect</w:t>
      </w:r>
      <w:r>
        <w:t xml:space="preserve">”</w:t>
      </w:r>
      <w:r>
        <w:t xml:space="preserve"> </w:t>
      </w:r>
      <w:r>
        <w:t xml:space="preserve">without checking the package equation and indicator definition.</w:t>
      </w:r>
    </w:p>
    <w:p>
      <w:pPr>
        <w:pStyle w:val="BlockText"/>
        <w:shd w:fill="EAF7F5" w:val="clear"/>
        <w:pBdr>
          <w:left w:val="single" w:sz="18" w:space="8" w:color="008F87"/>
        </w:pBdr>
      </w:pPr>
      <w:r>
        <w:rPr>
          <w:b/>
          <w:bCs/>
        </w:rPr>
        <w:t xml:space="preserve">Ceteris LAB Tip</w:t>
      </w:r>
    </w:p>
    <w:p>
      <w:pPr>
        <w:pStyle w:val="BlockText"/>
        <w:shd w:fill="EAF7F5" w:val="clear"/>
        <w:pBdr>
          <w:left w:val="single" w:sz="18" w:space="8" w:color="008F87"/>
        </w:pBdr>
      </w:pPr>
      <w:r>
        <w:t xml:space="preserve">Draw a news-impact curve from the fitted equation. The picture often clarifies asymmetry better than a coefficient table.</w:t>
      </w:r>
    </w:p>
    <w:p>
      <w:pPr>
        <w:pStyle w:val="BlockText"/>
        <w:shd w:fill="EAF7F5" w:val="clear"/>
        <w:pBdr>
          <w:left w:val="single" w:sz="18" w:space="8" w:color="008F87"/>
        </w:pBdr>
      </w:pPr>
      <w:r>
        <w:rPr>
          <w:b/>
          <w:bCs/>
        </w:rPr>
        <w:t xml:space="preserve">R-to-Python / Source Bridge</w:t>
      </w:r>
    </w:p>
    <w:p>
      <w:pPr>
        <w:pStyle w:val="BlockText"/>
        <w:shd w:fill="EAF7F5" w:val="clear"/>
        <w:pBdr>
          <w:left w:val="single" w:sz="18" w:space="8" w:color="008F87"/>
        </w:pBdr>
      </w:pPr>
      <w:r>
        <w:t xml:space="preserve">The source</w:t>
      </w:r>
      <w:r>
        <w:t xml:space="preserve"> </w:t>
      </w:r>
      <w:r>
        <w:t xml:space="preserve">“</w:t>
      </w:r>
      <w:r>
        <w:t xml:space="preserve">More Volatility Models</w:t>
      </w:r>
      <w:r>
        <w:t xml:space="preserve">”</w:t>
      </w:r>
      <w:r>
        <w:t xml:space="preserve"> </w:t>
      </w:r>
      <w:r>
        <w:t xml:space="preserve">and</w:t>
      </w:r>
      <w:r>
        <w:t xml:space="preserve"> </w:t>
      </w:r>
      <w:r>
        <w:t xml:space="preserve">“</w:t>
      </w:r>
      <w:r>
        <w:t xml:space="preserve">Alternative Approaches</w:t>
      </w:r>
      <w:r>
        <w:t xml:space="preserve">”</w:t>
      </w:r>
      <w:r>
        <w:t xml:space="preserve"> </w:t>
      </w:r>
      <w:r>
        <w:t xml:space="preserve">lectures cover GARCH-M, EGARCH, GJR/TGARCH, APARCH, realized volatility, and OHLC estimators. This chapter consolidates them into one tested Python workflow</w:t>
      </w:r>
      <w:r>
        <w:t xml:space="preserve"> </w:t>
      </w:r>
      <w:r>
        <w:t xml:space="preserve">(Tsay 2013)</w:t>
      </w:r>
      <w:r>
        <w:t xml:space="preserve">.</w:t>
      </w:r>
    </w:p>
    <w:bookmarkEnd w:id="444"/>
    <w:bookmarkStart w:id="445" w:name="guided-practice-21"/>
    <w:p>
      <w:pPr>
        <w:pStyle w:val="Heading2"/>
        <w:keepNext/>
      </w:pPr>
      <w:r>
        <w:t>41.9</w:t>
        <w:tab/>
        <w:t>Guided practice</w:t>
      </w:r>
    </w:p>
    <w:p>
      <w:pPr>
        <w:pStyle w:val="Compact"/>
        <w:numPr>
          <w:ilvl w:val="0"/>
          <w:numId w:val="1088"/>
        </w:numPr>
      </w:pPr>
      <w:r>
        <w:t xml:space="preserve">Re-run Demonstration 22.1 and change one input while keeping the analytical question fixed.</w:t>
      </w:r>
    </w:p>
    <w:p>
      <w:pPr>
        <w:pStyle w:val="Compact"/>
        <w:numPr>
          <w:ilvl w:val="0"/>
          <w:numId w:val="1088"/>
        </w:numPr>
      </w:pPr>
      <w:r>
        <w:t xml:space="preserve">Explain in two sentences how the output supports, or fails to support, the chapter opening question.</w:t>
      </w:r>
    </w:p>
    <w:p>
      <w:pPr>
        <w:pStyle w:val="Compact"/>
        <w:numPr>
          <w:ilvl w:val="0"/>
          <w:numId w:val="1088"/>
        </w:numPr>
      </w:pPr>
      <w:r>
        <w:t xml:space="preserve">Add one validation check that would prevent a plausible error.</w:t>
      </w:r>
    </w:p>
    <w:bookmarkEnd w:id="445"/>
    <w:bookmarkStart w:id="446" w:name="exercises-21"/>
    <w:p>
      <w:pPr>
        <w:pStyle w:val="Heading2"/>
        <w:keepNext/>
      </w:pPr>
      <w:r>
        <w:t>41.10</w:t>
        <w:tab/>
        <w:t>Exercises</w:t>
      </w:r>
    </w:p>
    <w:p>
      <w:pPr>
        <w:pStyle w:val="Compact"/>
        <w:numPr>
          <w:ilvl w:val="0"/>
          <w:numId w:val="1089"/>
        </w:numPr>
      </w:pPr>
      <w:r>
        <w:t xml:space="preserve">Calculate a rolling and EWMA volatility series.</w:t>
      </w:r>
    </w:p>
    <w:p>
      <w:pPr>
        <w:pStyle w:val="Compact"/>
        <w:numPr>
          <w:ilvl w:val="0"/>
          <w:numId w:val="1089"/>
        </w:numPr>
      </w:pPr>
      <w:r>
        <w:t xml:space="preserve">Compare Gaussian GARCH and GJR-GARCH.</w:t>
      </w:r>
    </w:p>
    <w:p>
      <w:pPr>
        <w:pStyle w:val="Compact"/>
        <w:numPr>
          <w:ilvl w:val="0"/>
          <w:numId w:val="1089"/>
        </w:numPr>
      </w:pPr>
      <w:r>
        <w:t xml:space="preserve">Compute realized variance at two sampling intervals.</w:t>
      </w:r>
    </w:p>
    <w:p>
      <w:pPr>
        <w:pStyle w:val="Compact"/>
        <w:numPr>
          <w:ilvl w:val="0"/>
          <w:numId w:val="1089"/>
        </w:numPr>
      </w:pPr>
      <w:r>
        <w:t xml:space="preserve">Implement Parkinson and Yang-Zhang estimators on adjusted OHLC data.</w:t>
      </w:r>
    </w:p>
    <w:bookmarkEnd w:id="446"/>
    <w:bookmarkStart w:id="447" w:name="chapter-summary-21"/>
    <w:p>
      <w:pPr>
        <w:pStyle w:val="Heading2"/>
        <w:keepNext/>
      </w:pPr>
      <w:r>
        <w:t>41.11</w:t>
        <w:tab/>
        <w:t>Chapter summary</w:t>
      </w:r>
    </w:p>
    <w:p>
      <w:pPr>
        <w:pStyle w:val="Compact"/>
        <w:numPr>
          <w:ilvl w:val="0"/>
          <w:numId w:val="1090"/>
        </w:numPr>
      </w:pPr>
      <w:r>
        <w:t xml:space="preserve">Asymmetric models allow shock sign to affect future variance.</w:t>
      </w:r>
    </w:p>
    <w:p>
      <w:pPr>
        <w:pStyle w:val="Compact"/>
        <w:numPr>
          <w:ilvl w:val="0"/>
          <w:numId w:val="1090"/>
        </w:numPr>
      </w:pPr>
      <w:r>
        <w:t xml:space="preserve">Realized volatility uses intraday information but faces microstructure noise.</w:t>
      </w:r>
    </w:p>
    <w:p>
      <w:pPr>
        <w:pStyle w:val="Compact"/>
        <w:numPr>
          <w:ilvl w:val="0"/>
          <w:numId w:val="1090"/>
        </w:numPr>
      </w:pPr>
      <w:r>
        <w:t xml:space="preserve">Range-based estimators improve information use under specific assumptions.</w:t>
      </w:r>
    </w:p>
    <w:bookmarkEnd w:id="447"/>
    <w:bookmarkStart w:id="448" w:name="key-python-commands-21"/>
    <w:p>
      <w:pPr>
        <w:pStyle w:val="Heading2"/>
        <w:keepNext/>
      </w:pPr>
      <w:r>
        <w:t>41.12</w:t>
        <w:tab/>
        <w:t>Key Python commands</w:t>
      </w:r>
    </w:p>
    <w:p>
      <w:pPr>
        <w:pStyle w:val="SourceCode"/>
        <w:keepLines/>
        <w:shd w:fill="F6F8FA" w:val="clear"/>
      </w:pPr>
      <w:r>
        <w:rPr>
          <w:rStyle w:val="ImportTok"/>
        </w:rPr>
        <w:t xml:space="preserve">import</w:t>
      </w:r>
      <w:r>
        <w:rPr>
          <w:rStyle w:val="NormalTok"/>
        </w:rPr>
        <w:t xml:space="preserve"> numpy </w:t>
      </w:r>
      <w:r>
        <w:rPr>
          <w:rStyle w:val="ImportTok"/>
        </w:rPr>
        <w:t xml:space="preserve">as</w:t>
      </w:r>
      <w:r>
        <w:rPr>
          <w:rStyle w:val="NormalTok"/>
        </w:rPr>
        <w:t xml:space="preserve"> np</w:t>
      </w:r>
      <w:r>
        <w:br/>
      </w:r>
      <w:r>
        <w:rPr>
          <w:rStyle w:val="NormalTok"/>
        </w:rPr>
        <w:t xml:space="preserve">returns </w:t>
      </w:r>
      <w:r>
        <w:rPr>
          <w:rStyle w:val="OperatorTok"/>
        </w:rPr>
        <w:t xml:space="preserve">=</w:t>
      </w:r>
      <w:r>
        <w:rPr>
          <w:rStyle w:val="NormalTok"/>
        </w:rPr>
        <w:t xml:space="preserve"> np.array([</w:t>
      </w:r>
      <w:r>
        <w:rPr>
          <w:rStyle w:val="FloatTok"/>
        </w:rPr>
        <w:t xml:space="preserve">0.01</w:t>
      </w:r>
      <w:r>
        <w:rPr>
          <w:rStyle w:val="NormalTok"/>
        </w:rPr>
        <w:t xml:space="preserve">, </w:t>
      </w:r>
      <w:r>
        <w:rPr>
          <w:rStyle w:val="OperatorTok"/>
        </w:rPr>
        <w:t xml:space="preserve">-</w:t>
      </w:r>
      <w:r>
        <w:rPr>
          <w:rStyle w:val="FloatTok"/>
        </w:rPr>
        <w:t xml:space="preserve">0.02</w:t>
      </w:r>
      <w:r>
        <w:rPr>
          <w:rStyle w:val="NormalTok"/>
        </w:rPr>
        <w:t xml:space="preserve">, </w:t>
      </w:r>
      <w:r>
        <w:rPr>
          <w:rStyle w:val="FloatTok"/>
        </w:rPr>
        <w:t xml:space="preserve">0.005</w:t>
      </w:r>
      <w:r>
        <w:rPr>
          <w:rStyle w:val="NormalTok"/>
        </w:rPr>
        <w:t xml:space="preserve">, </w:t>
      </w:r>
      <w:r>
        <w:rPr>
          <w:rStyle w:val="FloatTok"/>
        </w:rPr>
        <w:t xml:space="preserve">0.015</w:t>
      </w:r>
      <w:r>
        <w:rPr>
          <w:rStyle w:val="NormalTok"/>
        </w:rPr>
        <w:t xml:space="preserve">])</w:t>
      </w:r>
      <w:r>
        <w:br/>
      </w:r>
      <w:r>
        <w:rPr>
          <w:rStyle w:val="NormalTok"/>
        </w:rPr>
        <w:t xml:space="preserve">variance </w:t>
      </w:r>
      <w:r>
        <w:rPr>
          <w:rStyle w:val="OperatorTok"/>
        </w:rPr>
        <w:t xml:space="preserve">=</w:t>
      </w:r>
      <w:r>
        <w:rPr>
          <w:rStyle w:val="NormalTok"/>
        </w:rPr>
        <w:t xml:space="preserve"> returns.var()</w:t>
      </w:r>
      <w:r>
        <w:br/>
      </w:r>
      <w:r>
        <w:rPr>
          <w:rStyle w:val="NormalTok"/>
        </w:rPr>
        <w:t xml:space="preserve">variance </w:t>
      </w:r>
      <w:r>
        <w:rPr>
          <w:rStyle w:val="OperatorTok"/>
        </w:rPr>
        <w:t xml:space="preserve">=</w:t>
      </w:r>
      <w:r>
        <w:rPr>
          <w:rStyle w:val="NormalTok"/>
        </w:rPr>
        <w:t xml:space="preserve"> lam </w:t>
      </w:r>
      <w:r>
        <w:rPr>
          <w:rStyle w:val="OperatorTok"/>
        </w:rPr>
        <w:t xml:space="preserve">*</w:t>
      </w:r>
      <w:r>
        <w:rPr>
          <w:rStyle w:val="NormalTok"/>
        </w:rPr>
        <w:t xml:space="preserve"> variance </w:t>
      </w:r>
      <w:r>
        <w:rPr>
          <w:rStyle w:val="OperatorTok"/>
        </w:rPr>
        <w:t xml:space="preserve">+</w:t>
      </w:r>
      <w:r>
        <w:rPr>
          <w:rStyle w:val="NormalTok"/>
        </w:rPr>
        <w:t xml:space="preserve"> (</w:t>
      </w:r>
      <w:r>
        <w:rPr>
          <w:rStyle w:val="DecValTok"/>
        </w:rPr>
        <w:t xml:space="preserve">1</w:t>
      </w:r>
      <w:r>
        <w:rPr>
          <w:rStyle w:val="OperatorTok"/>
        </w:rPr>
        <w:t xml:space="preserve">-</w:t>
      </w:r>
      <w:r>
        <w:rPr>
          <w:rStyle w:val="NormalTok"/>
        </w:rPr>
        <w:t xml:space="preserve">lam) </w:t>
      </w:r>
      <w:r>
        <w:rPr>
          <w:rStyle w:val="OperatorTok"/>
        </w:rPr>
        <w:t xml:space="preserve">*</w:t>
      </w:r>
      <w:r>
        <w:rPr>
          <w:rStyle w:val="NormalTok"/>
        </w:rPr>
        <w:t xml:space="preserve"> r</w:t>
      </w:r>
      <w:r>
        <w:rPr>
          <w:rStyle w:val="OperatorTok"/>
        </w:rPr>
        <w:t xml:space="preserve">**</w:t>
      </w:r>
      <w:r>
        <w:rPr>
          <w:rStyle w:val="DecValTok"/>
        </w:rPr>
        <w:t xml:space="preserve">2</w:t>
      </w:r>
      <w:r>
        <w:br/>
      </w:r>
      <w:r>
        <w:rPr>
          <w:rStyle w:val="NormalTok"/>
        </w:rPr>
        <w:t xml:space="preserve">path.append(variance)</w:t>
      </w:r>
      <w:r>
        <w:br/>
      </w:r>
      <w:r>
        <w:rPr>
          <w:rStyle w:val="BuiltInTok"/>
        </w:rPr>
        <w:t xml:space="preserve">print</w:t>
      </w:r>
      <w:r>
        <w:rPr>
          <w:rStyle w:val="NormalTok"/>
        </w:rPr>
        <w:t xml:space="preserve">(np.</w:t>
      </w:r>
      <w:r>
        <w:rPr>
          <w:rStyle w:val="BuiltInTok"/>
        </w:rPr>
        <w:t xml:space="preserve">round</w:t>
      </w:r>
      <w:r>
        <w:rPr>
          <w:rStyle w:val="NormalTok"/>
        </w:rPr>
        <w:t xml:space="preserve">(np.sqrt(path), </w:t>
      </w:r>
      <w:r>
        <w:rPr>
          <w:rStyle w:val="DecValTok"/>
        </w:rPr>
        <w:t xml:space="preserve">4</w:t>
      </w:r>
      <w:r>
        <w:rPr>
          <w:rStyle w:val="NormalTok"/>
        </w:rPr>
        <w:t xml:space="preserve">))</w:t>
      </w:r>
    </w:p>
    <w:bookmarkEnd w:id="448"/>
    <w:bookmarkEnd w:id="449"/>
    <w:bookmarkStart w:id="476" w:name="X5782de4a538c050ce79113f2fdb99aff0ab9f9a"/>
    <w:p>
      <w:pPr>
        <w:pStyle w:val="Heading1"/>
        <w:keepNext/>
        <w:pageBreakBefore/>
      </w:pPr>
      <w:r>
        <w:t>42</w:t>
        <w:tab/>
        <w:t>Nonlinear Models, Regimes, Market Microstructure, and Ordered Outcomes</w:t>
      </w:r>
    </w:p>
    <w:p>
      <w:pPr>
        <w:pStyle w:val="FirstParagraph"/>
      </w:pPr>
      <w:r>
        <w:rPr>
          <w:i/>
          <w:iCs/>
        </w:rPr>
        <w:t xml:space="preserve">Opening question:</w:t>
      </w:r>
      <w:r>
        <w:t xml:space="preserve"> </w:t>
      </w:r>
      <w:r>
        <w:rPr>
          <w:b/>
          <w:bCs/>
        </w:rPr>
        <w:t xml:space="preserve">What if the same lag has a different effect in calm and stressed regimes, or the observed price change is an ordered category?</w:t>
      </w:r>
    </w:p>
    <w:bookmarkStart w:id="450" w:name="learning-objectives-22"/>
    <w:p>
      <w:pPr>
        <w:pStyle w:val="Heading2"/>
        <w:keepNext/>
      </w:pPr>
      <w:r>
        <w:t>42.1</w:t>
        <w:tab/>
        <w:t>Learning objectives</w:t>
      </w:r>
    </w:p>
    <w:p>
      <w:pPr>
        <w:pStyle w:val="Compact"/>
        <w:numPr>
          <w:ilvl w:val="0"/>
          <w:numId w:val="1091"/>
        </w:numPr>
      </w:pPr>
      <w:r>
        <w:t xml:space="preserve">Simulate and interpret threshold autoregression.</w:t>
      </w:r>
    </w:p>
    <w:p>
      <w:pPr>
        <w:pStyle w:val="Compact"/>
        <w:numPr>
          <w:ilvl w:val="0"/>
          <w:numId w:val="1091"/>
        </w:numPr>
      </w:pPr>
      <w:r>
        <w:t xml:space="preserve">Explain Markov-switching regimes and expected duration.</w:t>
      </w:r>
    </w:p>
    <w:p>
      <w:pPr>
        <w:pStyle w:val="Compact"/>
        <w:numPr>
          <w:ilvl w:val="0"/>
          <w:numId w:val="1091"/>
        </w:numPr>
      </w:pPr>
      <w:r>
        <w:t xml:space="preserve">Describe market-microstructure effects.</w:t>
      </w:r>
    </w:p>
    <w:p>
      <w:pPr>
        <w:pStyle w:val="Compact"/>
        <w:numPr>
          <w:ilvl w:val="0"/>
          <w:numId w:val="1091"/>
        </w:numPr>
      </w:pPr>
      <w:r>
        <w:t xml:space="preserve">Estimate and interpret ordered probit probabilities.</w:t>
      </w:r>
    </w:p>
    <w:p>
      <w:pPr>
        <w:pStyle w:val="FirstParagraph"/>
      </w:pPr>
      <w:r>
        <w:rPr>
          <w:b/>
          <w:bCs/>
        </w:rPr>
        <w:t xml:space="preserve">Prerequisites:</w:t>
      </w:r>
      <w:r>
        <w:t xml:space="preserve"> </w:t>
      </w:r>
      <w:r>
        <w:t xml:space="preserve">Chapters 18, 19, and 22.</w:t>
      </w:r>
    </w:p>
    <w:p>
      <w:pPr>
        <w:pStyle w:val="BodyText"/>
      </w:pPr>
      <w:r>
        <w:rPr>
          <w:b/>
          <w:bCs/>
        </w:rPr>
        <w:t xml:space="preserve">Key terms:</w:t>
      </w:r>
      <w:r>
        <w:t xml:space="preserve"> </w:t>
      </w:r>
      <w:r>
        <w:t xml:space="preserve">TAR, regime, Markov switching, bid-ask bounce, ordered probit, threshold.</w:t>
      </w:r>
    </w:p>
    <w:bookmarkEnd w:id="450"/>
    <w:bookmarkStart w:id="451" w:name="threshold-models-make-dynamics-piecewise"/>
    <w:p>
      <w:pPr>
        <w:pStyle w:val="Heading2"/>
        <w:keepNext/>
      </w:pPr>
      <w:r>
        <w:t>42.2</w:t>
        <w:tab/>
        <w:t>Threshold models make dynamics piecewise</w:t>
      </w:r>
    </w:p>
    <w:p>
      <w:pPr>
        <w:pStyle w:val="FirstParagraph"/>
      </w:pPr>
      <w:r>
        <w:t xml:space="preserve">A threshold autoregression applies different linear equations depending on a lagged state variable. Each regime may be simple even when the combined process is nonlinear and asymmetric. Regime-specific coefficients can exceed one in magnitude without automatically making the complete process explosive, because switching rules constrain the path. Simulation and stability analysis are essential.</w:t>
      </w:r>
    </w:p>
    <w:bookmarkEnd w:id="451"/>
    <w:bookmarkStart w:id="452" w:name="X8c325905f4118b307fea1fc2795ca7c3aaee175"/>
    <w:p>
      <w:pPr>
        <w:pStyle w:val="Heading2"/>
        <w:keepNext/>
      </w:pPr>
      <w:r>
        <w:t>42.3</w:t>
        <w:tab/>
        <w:t>Markov switching treats the regime as latent</w:t>
      </w:r>
    </w:p>
    <w:p>
      <w:pPr>
        <w:pStyle w:val="FirstParagraph"/>
      </w:pPr>
      <w:r>
        <w:t xml:space="preserve">A Markov-switching model assumes an unobserved state that follows transition probabilities. The expected duration of a state is related to the probability of remaining in it. Regime labels are arbitrary and should be interpreted through estimated means, variances, and posterior probabilities. Apparent regimes can also reflect structural breaks or omitted variables rather than a persistent hidden process.</w:t>
      </w:r>
    </w:p>
    <w:bookmarkEnd w:id="452"/>
    <w:bookmarkStart w:id="453" w:name="Xfec1341b9414cad5f54aca74af64c4b71b0c052"/>
    <w:p>
      <w:pPr>
        <w:pStyle w:val="Heading2"/>
        <w:keepNext/>
      </w:pPr>
      <w:r>
        <w:t>42.4</w:t>
        <w:tab/>
        <w:t>Market data are generated by trading mechanisms</w:t>
      </w:r>
    </w:p>
    <w:p>
      <w:pPr>
        <w:pStyle w:val="FirstParagraph"/>
      </w:pPr>
      <w:r>
        <w:t xml:space="preserve">Transaction prices are discrete, trades arrive irregularly, and bid-ask bounce can create negative short-lag dependence. Ordered probit models represent observed categories as intervals of a latent continuous variable. Thresholds and covariates determine category probabilities. The model describes ordering, not equal distance between categories, and a standard implementation assumes a common latent error scale unless extended.</w:t>
      </w:r>
    </w:p>
    <w:bookmarkEnd w:id="453"/>
    <w:bookmarkStart w:id="454" w:name="core-equations-10"/>
    <w:p>
      <w:pPr>
        <w:pStyle w:val="Heading2"/>
        <w:keepNext/>
      </w:pPr>
      <w:r>
        <w:t>42.5</w:t>
        <w:tab/>
        <w:t>Core equations</w:t>
      </w:r>
    </w:p>
    <w:p>
      <w:pPr>
        <w:pStyle w:val="FirstParagraph"/>
      </w:pPr>
      <w:r>
        <w:rPr>
          <w:b/>
          <w:bCs/>
        </w:rPr>
        <w:t xml:space="preserve">Ordered response</w:t>
      </w:r>
    </w:p>
    <w:p>
      <w:pPr>
        <w:pStyle w:val="BodyText"/>
      </w:pPr>
      <m:oMathPara>
        <m:oMathParaPr>
          <m:jc m:val="center"/>
        </m:oMathParaPr>
        <m:oMath>
          <m:sSub>
            <m:e>
              <m:r>
                <m:t>y</m:t>
              </m:r>
            </m:e>
            <m:sub>
              <m:r>
                <m:t>i</m:t>
              </m:r>
            </m:sub>
          </m:sSub>
          <m:r>
            <m:rPr>
              <m:sty m:val="p"/>
            </m:rPr>
            <m:t>=</m:t>
          </m:r>
          <m:r>
            <m:t>j</m:t>
          </m:r>
          <m:r>
            <m:t> </m:t>
          </m:r>
          <m:r>
            <m:rPr>
              <m:nor/>
              <m:sty m:val="p"/>
            </m:rPr>
            <m:t>if</m:t>
          </m:r>
          <m:r>
            <m:t> </m:t>
          </m:r>
          <m:sSub>
            <m:e>
              <m:r>
                <m:t>α</m:t>
              </m:r>
            </m:e>
            <m:sub>
              <m:r>
                <m:t>j</m:t>
              </m:r>
              <m:r>
                <m:rPr>
                  <m:sty m:val="p"/>
                </m:rPr>
                <m:t>−</m:t>
              </m:r>
              <m:r>
                <m:t>1</m:t>
              </m:r>
            </m:sub>
          </m:sSub>
          <m:r>
            <m:rPr>
              <m:sty m:val="p"/>
            </m:rPr>
            <m:t>&lt;</m:t>
          </m:r>
          <m:sSub>
            <m:e>
              <m:r>
                <m:t>x</m:t>
              </m:r>
            </m:e>
            <m:sub>
              <m:r>
                <m:t>i</m:t>
              </m:r>
            </m:sub>
          </m:sSub>
          <m:r>
            <m:t>β</m:t>
          </m:r>
          <m:r>
            <m:rPr>
              <m:sty m:val="p"/>
            </m:rPr>
            <m:t>+</m:t>
          </m:r>
          <m:sSub>
            <m:e>
              <m:r>
                <m:t>ε</m:t>
              </m:r>
            </m:e>
            <m:sub>
              <m:r>
                <m:t>i</m:t>
              </m:r>
            </m:sub>
          </m:sSub>
          <m:r>
            <m:rPr>
              <m:sty m:val="p"/>
            </m:rPr>
            <m:t>≤</m:t>
          </m:r>
          <m:sSub>
            <m:e>
              <m:r>
                <m:t>α</m:t>
              </m:r>
            </m:e>
            <m:sub>
              <m:r>
                <m:t>j</m:t>
              </m:r>
            </m:sub>
          </m:sSub>
        </m:oMath>
      </m:oMathPara>
    </w:p>
    <w:p>
      <w:pPr>
        <w:pStyle w:val="FirstParagraph"/>
      </w:pPr>
      <w:r>
        <w:t xml:space="preserve">Observed categories arise when a latent index crosses ordered thresholds.</w:t>
      </w:r>
    </w:p>
    <w:bookmarkEnd w:id="454"/>
    <w:bookmarkStart w:id="457" w:name="python-demonstrations-22"/>
    <w:p>
      <w:pPr>
        <w:pStyle w:val="Heading2"/>
        <w:keepNext/>
      </w:pPr>
      <w:r>
        <w:t>42.6</w:t>
        <w:tab/>
        <w:t>Python demonstrations</w:t>
      </w:r>
    </w:p>
    <w:bookmarkStart w:id="455" w:name="Xe5a4639d5725fb73c45bc89bc4ec4c3f1ba64be"/>
    <w:p>
      <w:pPr>
        <w:pStyle w:val="Heading3"/>
        <w:keepNext/>
      </w:pPr>
      <w:r>
        <w:t>42.6.1</w:t>
        <w:tab/>
        <w:t>Demonstration 23.1: Simulate a two-regime TAR process</w:t>
      </w:r>
    </w:p>
    <w:p>
      <w:pPr>
        <w:pStyle w:val="SourceCode"/>
        <w:keepLines/>
        <w:shd w:fill="F6F8FA" w:val="clear"/>
      </w:pPr>
      <w:r>
        <w:rPr>
          <w:rStyle w:val="ImportTok"/>
        </w:rPr>
        <w:t xml:space="preserve">import</w:t>
      </w:r>
      <w:r>
        <w:rPr>
          <w:rStyle w:val="NormalTok"/>
        </w:rPr>
        <w:t xml:space="preserve"> numpy </w:t>
      </w:r>
      <w:r>
        <w:rPr>
          <w:rStyle w:val="ImportTok"/>
        </w:rPr>
        <w:t xml:space="preserve">as</w:t>
      </w:r>
      <w:r>
        <w:rPr>
          <w:rStyle w:val="NormalTok"/>
        </w:rPr>
        <w:t xml:space="preserve"> np</w:t>
      </w:r>
      <w:r>
        <w:br/>
      </w:r>
      <w:r>
        <w:br/>
      </w:r>
      <w:r>
        <w:rPr>
          <w:rStyle w:val="NormalTok"/>
        </w:rPr>
        <w:t xml:space="preserve">rng </w:t>
      </w:r>
      <w:r>
        <w:rPr>
          <w:rStyle w:val="OperatorTok"/>
        </w:rPr>
        <w:t xml:space="preserve">=</w:t>
      </w:r>
      <w:r>
        <w:rPr>
          <w:rStyle w:val="NormalTok"/>
        </w:rPr>
        <w:t xml:space="preserve"> np.random.default_rng(</w:t>
      </w:r>
      <w:r>
        <w:rPr>
          <w:rStyle w:val="DecValTok"/>
        </w:rPr>
        <w:t xml:space="preserve">23</w:t>
      </w:r>
      <w:r>
        <w:rPr>
          <w:rStyle w:val="NormalTok"/>
        </w:rPr>
        <w:t xml:space="preserve">)</w:t>
      </w:r>
      <w:r>
        <w:br/>
      </w:r>
      <w:r>
        <w:rPr>
          <w:rStyle w:val="NormalTok"/>
        </w:rPr>
        <w:t xml:space="preserve">x </w:t>
      </w:r>
      <w:r>
        <w:rPr>
          <w:rStyle w:val="OperatorTok"/>
        </w:rPr>
        <w:t xml:space="preserve">=</w:t>
      </w:r>
      <w:r>
        <w:rPr>
          <w:rStyle w:val="NormalTok"/>
        </w:rPr>
        <w:t xml:space="preserve"> np.zeros(</w:t>
      </w:r>
      <w:r>
        <w:rPr>
          <w:rStyle w:val="DecValTok"/>
        </w:rPr>
        <w:t xml:space="preserve">300</w:t>
      </w:r>
      <w:r>
        <w:rPr>
          <w:rStyle w:val="NormalTok"/>
        </w:rPr>
        <w:t xml:space="preserve">)</w:t>
      </w:r>
      <w:r>
        <w:br/>
      </w:r>
      <w:r>
        <w:rPr>
          <w:rStyle w:val="ControlFlowTok"/>
        </w:rPr>
        <w:t xml:space="preserve">for</w:t>
      </w:r>
      <w:r>
        <w:rPr>
          <w:rStyle w:val="NormalTok"/>
        </w:rPr>
        <w:t xml:space="preserve"> t </w:t>
      </w:r>
      <w:r>
        <w:rPr>
          <w:rStyle w:val="KeywordTok"/>
        </w:rPr>
        <w:t xml:space="preserve">in</w:t>
      </w:r>
      <w:r>
        <w:rPr>
          <w:rStyle w:val="NormalTok"/>
        </w:rPr>
        <w:t xml:space="preserve"> </w:t>
      </w:r>
      <w:r>
        <w:rPr>
          <w:rStyle w:val="BuiltInTok"/>
        </w:rPr>
        <w:t xml:space="preserve">range</w:t>
      </w:r>
      <w:r>
        <w:rPr>
          <w:rStyle w:val="NormalTok"/>
        </w:rPr>
        <w:t xml:space="preserve">(</w:t>
      </w:r>
      <w:r>
        <w:rPr>
          <w:rStyle w:val="DecValTok"/>
        </w:rPr>
        <w:t xml:space="preserve">1</w:t>
      </w:r>
      <w:r>
        <w:rPr>
          <w:rStyle w:val="NormalTok"/>
        </w:rPr>
        <w:t xml:space="preserve">, </w:t>
      </w:r>
      <w:r>
        <w:rPr>
          <w:rStyle w:val="BuiltInTok"/>
        </w:rPr>
        <w:t xml:space="preserve">len</w:t>
      </w:r>
      <w:r>
        <w:rPr>
          <w:rStyle w:val="NormalTok"/>
        </w:rPr>
        <w:t xml:space="preserve">(x)):</w:t>
      </w:r>
      <w:r>
        <w:br/>
      </w:r>
      <w:r>
        <w:rPr>
          <w:rStyle w:val="NormalTok"/>
        </w:rPr>
        <w:t xml:space="preserve">    phi </w:t>
      </w:r>
      <w:r>
        <w:rPr>
          <w:rStyle w:val="OperatorTok"/>
        </w:rPr>
        <w:t xml:space="preserve">=</w:t>
      </w:r>
      <w:r>
        <w:rPr>
          <w:rStyle w:val="NormalTok"/>
        </w:rPr>
        <w:t xml:space="preserve"> </w:t>
      </w:r>
      <w:r>
        <w:rPr>
          <w:rStyle w:val="OperatorTok"/>
        </w:rPr>
        <w:t xml:space="preserve">-</w:t>
      </w:r>
      <w:r>
        <w:rPr>
          <w:rStyle w:val="FloatTok"/>
        </w:rPr>
        <w:t xml:space="preserve">1.2</w:t>
      </w:r>
      <w:r>
        <w:rPr>
          <w:rStyle w:val="NormalTok"/>
        </w:rPr>
        <w:t xml:space="preserve"> </w:t>
      </w:r>
      <w:r>
        <w:rPr>
          <w:rStyle w:val="ControlFlowTok"/>
        </w:rPr>
        <w:t xml:space="preserve">if</w:t>
      </w:r>
      <w:r>
        <w:rPr>
          <w:rStyle w:val="NormalTok"/>
        </w:rPr>
        <w:t xml:space="preserve"> x[t</w:t>
      </w:r>
      <w:r>
        <w:rPr>
          <w:rStyle w:val="OperatorTok"/>
        </w:rPr>
        <w:t xml:space="preserve">-</w:t>
      </w:r>
      <w:r>
        <w:rPr>
          <w:rStyle w:val="DecValTok"/>
        </w:rPr>
        <w:t xml:space="preserve">1</w:t>
      </w:r>
      <w:r>
        <w:rPr>
          <w:rStyle w:val="NormalTok"/>
        </w:rPr>
        <w:t xml:space="preserve">] </w:t>
      </w:r>
      <w:r>
        <w:rPr>
          <w:rStyle w:val="OperatorTok"/>
        </w:rPr>
        <w:t xml:space="preserve">&lt;</w:t>
      </w:r>
      <w:r>
        <w:rPr>
          <w:rStyle w:val="NormalTok"/>
        </w:rPr>
        <w:t xml:space="preserve"> </w:t>
      </w:r>
      <w:r>
        <w:rPr>
          <w:rStyle w:val="DecValTok"/>
        </w:rPr>
        <w:t xml:space="preserve">0</w:t>
      </w:r>
      <w:r>
        <w:rPr>
          <w:rStyle w:val="NormalTok"/>
        </w:rPr>
        <w:t xml:space="preserve"> </w:t>
      </w:r>
      <w:r>
        <w:rPr>
          <w:rStyle w:val="ControlFlowTok"/>
        </w:rPr>
        <w:t xml:space="preserve">else</w:t>
      </w:r>
      <w:r>
        <w:rPr>
          <w:rStyle w:val="NormalTok"/>
        </w:rPr>
        <w:t xml:space="preserve"> </w:t>
      </w:r>
      <w:r>
        <w:rPr>
          <w:rStyle w:val="FloatTok"/>
        </w:rPr>
        <w:t xml:space="preserve">0.55</w:t>
      </w:r>
      <w:r>
        <w:br/>
      </w:r>
      <w:r>
        <w:rPr>
          <w:rStyle w:val="NormalTok"/>
        </w:rPr>
        <w:t xml:space="preserve">    x[t] </w:t>
      </w:r>
      <w:r>
        <w:rPr>
          <w:rStyle w:val="OperatorTok"/>
        </w:rPr>
        <w:t xml:space="preserve">=</w:t>
      </w:r>
      <w:r>
        <w:rPr>
          <w:rStyle w:val="NormalTok"/>
        </w:rPr>
        <w:t xml:space="preserve"> phi</w:t>
      </w:r>
      <w:r>
        <w:rPr>
          <w:rStyle w:val="OperatorTok"/>
        </w:rPr>
        <w:t xml:space="preserve">*</w:t>
      </w:r>
      <w:r>
        <w:rPr>
          <w:rStyle w:val="NormalTok"/>
        </w:rPr>
        <w:t xml:space="preserve">x[t</w:t>
      </w:r>
      <w:r>
        <w:rPr>
          <w:rStyle w:val="OperatorTok"/>
        </w:rPr>
        <w:t xml:space="preserve">-</w:t>
      </w:r>
      <w:r>
        <w:rPr>
          <w:rStyle w:val="DecValTok"/>
        </w:rPr>
        <w:t xml:space="preserve">1</w:t>
      </w:r>
      <w:r>
        <w:rPr>
          <w:rStyle w:val="NormalTok"/>
        </w:rPr>
        <w:t xml:space="preserve">] </w:t>
      </w:r>
      <w:r>
        <w:rPr>
          <w:rStyle w:val="OperatorTok"/>
        </w:rPr>
        <w:t xml:space="preserve">+</w:t>
      </w:r>
      <w:r>
        <w:rPr>
          <w:rStyle w:val="NormalTok"/>
        </w:rPr>
        <w:t xml:space="preserve"> rng.normal()</w:t>
      </w:r>
      <w:r>
        <w:br/>
      </w:r>
      <w:r>
        <w:rPr>
          <w:rStyle w:val="BuiltInTok"/>
        </w:rPr>
        <w:t xml:space="preserve">print</w:t>
      </w:r>
      <w:r>
        <w:rPr>
          <w:rStyle w:val="NormalTok"/>
        </w:rPr>
        <w:t xml:space="preserve">(</w:t>
      </w:r>
      <w:r>
        <w:rPr>
          <w:rStyle w:val="BuiltInTok"/>
        </w:rPr>
        <w:t xml:space="preserve">round</w:t>
      </w:r>
      <w:r>
        <w:rPr>
          <w:rStyle w:val="NormalTok"/>
        </w:rPr>
        <w:t xml:space="preserve">(x.mean(), </w:t>
      </w:r>
      <w:r>
        <w:rPr>
          <w:rStyle w:val="DecValTok"/>
        </w:rPr>
        <w:t xml:space="preserve">3</w:t>
      </w:r>
      <w:r>
        <w:rPr>
          <w:rStyle w:val="NormalTok"/>
        </w:rPr>
        <w:t xml:space="preserve">), </w:t>
      </w:r>
      <w:r>
        <w:rPr>
          <w:rStyle w:val="BuiltInTok"/>
        </w:rPr>
        <w:t xml:space="preserve">round</w:t>
      </w:r>
      <w:r>
        <w:rPr>
          <w:rStyle w:val="NormalTok"/>
        </w:rPr>
        <w:t xml:space="preserve">((x </w:t>
      </w:r>
      <w:r>
        <w:rPr>
          <w:rStyle w:val="OperatorTok"/>
        </w:rPr>
        <w:t xml:space="preserve">&lt;</w:t>
      </w:r>
      <w:r>
        <w:rPr>
          <w:rStyle w:val="NormalTok"/>
        </w:rPr>
        <w:t xml:space="preserve"> </w:t>
      </w:r>
      <w:r>
        <w:rPr>
          <w:rStyle w:val="DecValTok"/>
        </w:rPr>
        <w:t xml:space="preserve">0</w:t>
      </w:r>
      <w:r>
        <w:rPr>
          <w:rStyle w:val="NormalTok"/>
        </w:rPr>
        <w:t xml:space="preserve">).mean(), </w:t>
      </w:r>
      <w:r>
        <w:rPr>
          <w:rStyle w:val="DecValTok"/>
        </w:rPr>
        <w:t xml:space="preserve">3</w:t>
      </w:r>
      <w:r>
        <w:rPr>
          <w:rStyle w:val="NormalTok"/>
        </w:rPr>
        <w:t xml:space="preserve">))</w:t>
      </w:r>
    </w:p>
    <w:p>
      <w:pPr>
        <w:pStyle w:val="FirstParagraph"/>
      </w:pPr>
      <w:r>
        <w:rPr>
          <w:b/>
          <w:bCs/>
        </w:rPr>
        <w:t xml:space="preserve">Verified output</w:t>
      </w:r>
    </w:p>
    <w:p>
      <w:pPr>
        <w:pStyle w:val="SourceCode"/>
        <w:keepLines/>
        <w:shd w:fill="F6F8FA" w:val="clear"/>
      </w:pPr>
      <w:r>
        <w:rPr>
          <w:rStyle w:val="VerbatimChar"/>
        </w:rPr>
        <w:t xml:space="preserve">0.726 0.263</w:t>
      </w:r>
    </w:p>
    <w:p>
      <w:pPr>
        <w:pStyle w:val="FirstParagraph"/>
      </w:pPr>
      <w:r>
        <w:rPr>
          <w:b/>
          <w:bCs/>
        </w:rPr>
        <w:t xml:space="preserve">Interpretation.</w:t>
      </w:r>
      <w:r>
        <w:t xml:space="preserve"> </w:t>
      </w:r>
      <w:r>
        <w:t xml:space="preserve">The unconditional mean is positive even though neither regime includes an intercept, illustrating nonlinear asymmetry.</w:t>
      </w:r>
    </w:p>
    <w:bookmarkEnd w:id="455"/>
    <w:bookmarkStart w:id="456" w:name="demonstration-23.2-fit-an-ordered-probit"/>
    <w:p>
      <w:pPr>
        <w:pStyle w:val="Heading3"/>
        <w:keepNext/>
      </w:pPr>
      <w:r>
        <w:t>42.6.2</w:t>
        <w:tab/>
        <w:t>Demonstration 23.2: Fit an ordered probit</w:t>
      </w:r>
    </w:p>
    <w:p>
      <w:pPr>
        <w:pStyle w:val="SourceCode"/>
        <w:shd w:fill="F6F8FA" w:val="clear"/>
      </w:pPr>
      <w:r>
        <w:rPr>
          <w:rStyle w:val="ImportTok"/>
        </w:rPr>
        <w:t xml:space="preserve">import</w:t>
      </w:r>
      <w:r>
        <w:rPr>
          <w:rStyle w:val="NormalTok"/>
        </w:rPr>
        <w:t xml:space="preserve"> numpy </w:t>
      </w:r>
      <w:r>
        <w:rPr>
          <w:rStyle w:val="ImportTok"/>
        </w:rPr>
        <w:t xml:space="preserve">as</w:t>
      </w:r>
      <w:r>
        <w:rPr>
          <w:rStyle w:val="NormalTok"/>
        </w:rPr>
        <w:t xml:space="preserve"> np</w:t>
      </w:r>
      <w:r>
        <w:br/>
      </w:r>
      <w:r>
        <w:rPr>
          <w:rStyle w:val="ImportTok"/>
        </w:rPr>
        <w:t xml:space="preserve">import</w:t>
      </w:r>
      <w:r>
        <w:rPr>
          <w:rStyle w:val="NormalTok"/>
        </w:rPr>
        <w:t xml:space="preserve"> pandas </w:t>
      </w:r>
      <w:r>
        <w:rPr>
          <w:rStyle w:val="ImportTok"/>
        </w:rPr>
        <w:t xml:space="preserve">as</w:t>
      </w:r>
      <w:r>
        <w:rPr>
          <w:rStyle w:val="NormalTok"/>
        </w:rPr>
        <w:t xml:space="preserve"> pd</w:t>
      </w:r>
      <w:r>
        <w:br/>
      </w:r>
      <w:r>
        <w:rPr>
          <w:rStyle w:val="ImportTok"/>
        </w:rPr>
        <w:t xml:space="preserve">from</w:t>
      </w:r>
      <w:r>
        <w:rPr>
          <w:rStyle w:val="NormalTok"/>
        </w:rPr>
        <w:t xml:space="preserve"> statsmodels.miscmodels.ordinal_model </w:t>
      </w:r>
      <w:r>
        <w:rPr>
          <w:rStyle w:val="ImportTok"/>
        </w:rPr>
        <w:t xml:space="preserve">import</w:t>
      </w:r>
      <w:r>
        <w:rPr>
          <w:rStyle w:val="NormalTok"/>
        </w:rPr>
        <w:t xml:space="preserve"> OrderedModel</w:t>
      </w:r>
      <w:r>
        <w:br/>
      </w:r>
      <w:r>
        <w:br/>
      </w:r>
      <w:r>
        <w:rPr>
          <w:rStyle w:val="NormalTok"/>
        </w:rPr>
        <w:t xml:space="preserve">rng </w:t>
      </w:r>
      <w:r>
        <w:rPr>
          <w:rStyle w:val="OperatorTok"/>
        </w:rPr>
        <w:t xml:space="preserve">=</w:t>
      </w:r>
      <w:r>
        <w:rPr>
          <w:rStyle w:val="NormalTok"/>
        </w:rPr>
        <w:t xml:space="preserve"> np.random.default_rng(</w:t>
      </w:r>
      <w:r>
        <w:rPr>
          <w:rStyle w:val="DecValTok"/>
        </w:rPr>
        <w:t xml:space="preserve">2301</w:t>
      </w:r>
      <w:r>
        <w:rPr>
          <w:rStyle w:val="NormalTok"/>
        </w:rPr>
        <w:t xml:space="preserve">)</w:t>
      </w:r>
      <w:r>
        <w:br/>
      </w:r>
      <w:r>
        <w:rPr>
          <w:rStyle w:val="NormalTok"/>
        </w:rPr>
        <w:t xml:space="preserve">x </w:t>
      </w:r>
      <w:r>
        <w:rPr>
          <w:rStyle w:val="OperatorTok"/>
        </w:rPr>
        <w:t xml:space="preserve">=</w:t>
      </w:r>
      <w:r>
        <w:rPr>
          <w:rStyle w:val="NormalTok"/>
        </w:rPr>
        <w:t xml:space="preserve"> rng.normal(size</w:t>
      </w:r>
      <w:r>
        <w:rPr>
          <w:rStyle w:val="OperatorTok"/>
        </w:rPr>
        <w:t xml:space="preserve">=</w:t>
      </w:r>
      <w:r>
        <w:rPr>
          <w:rStyle w:val="DecValTok"/>
        </w:rPr>
        <w:t xml:space="preserve">700</w:t>
      </w:r>
      <w:r>
        <w:rPr>
          <w:rStyle w:val="NormalTok"/>
        </w:rPr>
        <w:t xml:space="preserve">)</w:t>
      </w:r>
      <w:r>
        <w:br/>
      </w:r>
      <w:r>
        <w:rPr>
          <w:rStyle w:val="NormalTok"/>
        </w:rPr>
        <w:t xml:space="preserve">latent </w:t>
      </w:r>
      <w:r>
        <w:rPr>
          <w:rStyle w:val="OperatorTok"/>
        </w:rPr>
        <w:t xml:space="preserve">=</w:t>
      </w:r>
      <w:r>
        <w:rPr>
          <w:rStyle w:val="NormalTok"/>
        </w:rPr>
        <w:t xml:space="preserve"> </w:t>
      </w:r>
      <w:r>
        <w:rPr>
          <w:rStyle w:val="FloatTok"/>
        </w:rPr>
        <w:t xml:space="preserve">0.8</w:t>
      </w:r>
      <w:r>
        <w:rPr>
          <w:rStyle w:val="OperatorTok"/>
        </w:rPr>
        <w:t xml:space="preserve">*</w:t>
      </w:r>
      <w:r>
        <w:rPr>
          <w:rStyle w:val="NormalTok"/>
        </w:rPr>
        <w:t xml:space="preserve">x </w:t>
      </w:r>
      <w:r>
        <w:rPr>
          <w:rStyle w:val="OperatorTok"/>
        </w:rPr>
        <w:t xml:space="preserve">+</w:t>
      </w:r>
      <w:r>
        <w:rPr>
          <w:rStyle w:val="NormalTok"/>
        </w:rPr>
        <w:t xml:space="preserve"> rng.normal(size</w:t>
      </w:r>
      <w:r>
        <w:rPr>
          <w:rStyle w:val="OperatorTok"/>
        </w:rPr>
        <w:t xml:space="preserve">=</w:t>
      </w:r>
      <w:r>
        <w:rPr>
          <w:rStyle w:val="DecValTok"/>
        </w:rPr>
        <w:t xml:space="preserve">700</w:t>
      </w:r>
      <w:r>
        <w:rPr>
          <w:rStyle w:val="NormalTok"/>
        </w:rPr>
        <w:t xml:space="preserve">)</w:t>
      </w:r>
      <w:r>
        <w:br/>
      </w:r>
      <w:r>
        <w:rPr>
          <w:rStyle w:val="NormalTok"/>
        </w:rPr>
        <w:t xml:space="preserve">y </w:t>
      </w:r>
      <w:r>
        <w:rPr>
          <w:rStyle w:val="OperatorTok"/>
        </w:rPr>
        <w:t xml:space="preserve">=</w:t>
      </w:r>
      <w:r>
        <w:rPr>
          <w:rStyle w:val="NormalTok"/>
        </w:rPr>
        <w:t xml:space="preserve"> pd.cut(latent, [</w:t>
      </w:r>
      <w:r>
        <w:rPr>
          <w:rStyle w:val="OperatorTok"/>
        </w:rPr>
        <w:t xml:space="preserve">-</w:t>
      </w:r>
      <w:r>
        <w:rPr>
          <w:rStyle w:val="NormalTok"/>
        </w:rPr>
        <w:t xml:space="preserve">np.inf, </w:t>
      </w:r>
      <w:r>
        <w:rPr>
          <w:rStyle w:val="OperatorTok"/>
        </w:rPr>
        <w:t xml:space="preserve">-</w:t>
      </w:r>
      <w:r>
        <w:rPr>
          <w:rStyle w:val="FloatTok"/>
        </w:rPr>
        <w:t xml:space="preserve">0.7</w:t>
      </w:r>
      <w:r>
        <w:rPr>
          <w:rStyle w:val="NormalTok"/>
        </w:rPr>
        <w:t xml:space="preserve">, </w:t>
      </w:r>
      <w:r>
        <w:rPr>
          <w:rStyle w:val="FloatTok"/>
        </w:rPr>
        <w:t xml:space="preserve">0.7</w:t>
      </w:r>
      <w:r>
        <w:rPr>
          <w:rStyle w:val="NormalTok"/>
        </w:rPr>
        <w:t xml:space="preserve">, np.inf], labels</w:t>
      </w:r>
      <w:r>
        <w:rPr>
          <w:rStyle w:val="OperatorTok"/>
        </w:rPr>
        <w:t xml:space="preserve">=</w:t>
      </w:r>
      <w:r>
        <w:rPr>
          <w:rStyle w:val="NormalTok"/>
        </w:rPr>
        <w:t xml:space="preserve">[</w:t>
      </w:r>
      <w:r>
        <w:rPr>
          <w:rStyle w:val="DecValTok"/>
        </w:rPr>
        <w:t xml:space="preserve">0</w:t>
      </w:r>
      <w:r>
        <w:rPr>
          <w:rStyle w:val="NormalTok"/>
        </w:rPr>
        <w:t xml:space="preserve">,</w:t>
      </w:r>
      <w:r>
        <w:rPr>
          <w:rStyle w:val="DecValTok"/>
        </w:rPr>
        <w:t xml:space="preserve">1</w:t>
      </w:r>
      <w:r>
        <w:rPr>
          <w:rStyle w:val="NormalTok"/>
        </w:rPr>
        <w:t xml:space="preserve">,</w:t>
      </w:r>
      <w:r>
        <w:rPr>
          <w:rStyle w:val="DecValTok"/>
        </w:rPr>
        <w:t xml:space="preserve">2</w:t>
      </w:r>
      <w:r>
        <w:rPr>
          <w:rStyle w:val="NormalTok"/>
        </w:rPr>
        <w:t xml:space="preserve">], ordered</w:t>
      </w:r>
      <w:r>
        <w:rPr>
          <w:rStyle w:val="OperatorTok"/>
        </w:rPr>
        <w:t xml:space="preserve">=</w:t>
      </w:r>
      <w:r>
        <w:rPr>
          <w:rStyle w:val="VariableTok"/>
        </w:rPr>
        <w:t xml:space="preserve">True</w:t>
      </w:r>
      <w:r>
        <w:rPr>
          <w:rStyle w:val="NormalTok"/>
        </w:rPr>
        <w:t xml:space="preserve">)</w:t>
      </w:r>
      <w:r>
        <w:br/>
      </w:r>
      <w:r>
        <w:rPr>
          <w:rStyle w:val="NormalTok"/>
        </w:rPr>
        <w:t xml:space="preserve">model </w:t>
      </w:r>
      <w:r>
        <w:rPr>
          <w:rStyle w:val="OperatorTok"/>
        </w:rPr>
        <w:t xml:space="preserve">=</w:t>
      </w:r>
      <w:r>
        <w:rPr>
          <w:rStyle w:val="NormalTok"/>
        </w:rPr>
        <w:t xml:space="preserve"> OrderedModel(y, pd.DataFrame({</w:t>
      </w:r>
      <w:r>
        <w:rPr>
          <w:rStyle w:val="StringTok"/>
        </w:rPr>
        <w:t xml:space="preserve">"x"</w:t>
      </w:r>
      <w:r>
        <w:rPr>
          <w:rStyle w:val="NormalTok"/>
        </w:rPr>
        <w:t xml:space="preserve">: x}), distr</w:t>
      </w:r>
      <w:r>
        <w:rPr>
          <w:rStyle w:val="OperatorTok"/>
        </w:rPr>
        <w:t xml:space="preserve">=</w:t>
      </w:r>
      <w:r>
        <w:rPr>
          <w:rStyle w:val="StringTok"/>
        </w:rPr>
        <w:t xml:space="preserve">"probit"</w:t>
      </w:r>
      <w:r>
        <w:rPr>
          <w:rStyle w:val="NormalTok"/>
        </w:rPr>
        <w:t xml:space="preserve">).fit(method</w:t>
      </w:r>
      <w:r>
        <w:rPr>
          <w:rStyle w:val="OperatorTok"/>
        </w:rPr>
        <w:t xml:space="preserve">=</w:t>
      </w:r>
      <w:r>
        <w:rPr>
          <w:rStyle w:val="StringTok"/>
        </w:rPr>
        <w:t xml:space="preserve">"bfgs"</w:t>
      </w:r>
      <w:r>
        <w:rPr>
          <w:rStyle w:val="NormalTok"/>
        </w:rPr>
        <w:t xml:space="preserve">, disp</w:t>
      </w:r>
      <w:r>
        <w:rPr>
          <w:rStyle w:val="OperatorTok"/>
        </w:rPr>
        <w:t xml:space="preserve">=</w:t>
      </w:r>
      <w:r>
        <w:rPr>
          <w:rStyle w:val="VariableTok"/>
        </w:rPr>
        <w:t xml:space="preserve">False</w:t>
      </w:r>
      <w:r>
        <w:rPr>
          <w:rStyle w:val="NormalTok"/>
        </w:rPr>
        <w:t xml:space="preserve">)</w:t>
      </w:r>
      <w:r>
        <w:br/>
      </w:r>
      <w:r>
        <w:rPr>
          <w:rStyle w:val="BuiltInTok"/>
        </w:rPr>
        <w:t xml:space="preserve">print</w:t>
      </w:r>
      <w:r>
        <w:rPr>
          <w:rStyle w:val="NormalTok"/>
        </w:rPr>
        <w:t xml:space="preserve">(</w:t>
      </w:r>
      <w:r>
        <w:rPr>
          <w:rStyle w:val="BuiltInTok"/>
        </w:rPr>
        <w:t xml:space="preserve">round</w:t>
      </w:r>
      <w:r>
        <w:rPr>
          <w:rStyle w:val="NormalTok"/>
        </w:rPr>
        <w:t xml:space="preserve">(model.params[</w:t>
      </w:r>
      <w:r>
        <w:rPr>
          <w:rStyle w:val="StringTok"/>
        </w:rPr>
        <w:t xml:space="preserve">"x"</w:t>
      </w:r>
      <w:r>
        <w:rPr>
          <w:rStyle w:val="NormalTok"/>
        </w:rPr>
        <w:t xml:space="preserve">], </w:t>
      </w:r>
      <w:r>
        <w:rPr>
          <w:rStyle w:val="DecValTok"/>
        </w:rPr>
        <w:t xml:space="preserve">3</w:t>
      </w:r>
      <w:r>
        <w:rPr>
          <w:rStyle w:val="NormalTok"/>
        </w:rPr>
        <w:t xml:space="preserve">))</w:t>
      </w:r>
      <w:r>
        <w:br/>
      </w:r>
      <w:r>
        <w:rPr>
          <w:rStyle w:val="BuiltInTok"/>
        </w:rPr>
        <w:t xml:space="preserve">print</w:t>
      </w:r>
      <w:r>
        <w:rPr>
          <w:rStyle w:val="NormalTok"/>
        </w:rPr>
        <w:t xml:space="preserve">(np.</w:t>
      </w:r>
      <w:r>
        <w:rPr>
          <w:rStyle w:val="BuiltInTok"/>
        </w:rPr>
        <w:t xml:space="preserve">round</w:t>
      </w:r>
      <w:r>
        <w:rPr>
          <w:rStyle w:val="NormalTok"/>
        </w:rPr>
        <w:t xml:space="preserve">(model.model.predict(model.params, exog</w:t>
      </w:r>
      <w:r>
        <w:rPr>
          <w:rStyle w:val="OperatorTok"/>
        </w:rPr>
        <w:t xml:space="preserve">=</w:t>
      </w:r>
      <w:r>
        <w:rPr>
          <w:rStyle w:val="NormalTok"/>
        </w:rPr>
        <w:t xml:space="preserve">pd.DataFrame({</w:t>
      </w:r>
      <w:r>
        <w:rPr>
          <w:rStyle w:val="StringTok"/>
        </w:rPr>
        <w:t xml:space="preserve">"x"</w:t>
      </w:r>
      <w:r>
        <w:rPr>
          <w:rStyle w:val="NormalTok"/>
        </w:rPr>
        <w:t xml:space="preserve">: [</w:t>
      </w:r>
      <w:r>
        <w:rPr>
          <w:rStyle w:val="FloatTok"/>
        </w:rPr>
        <w:t xml:space="preserve">0.0</w:t>
      </w:r>
      <w:r>
        <w:rPr>
          <w:rStyle w:val="NormalTok"/>
        </w:rPr>
        <w:t xml:space="preserve">]}))[</w:t>
      </w:r>
      <w:r>
        <w:rPr>
          <w:rStyle w:val="DecValTok"/>
        </w:rPr>
        <w:t xml:space="preserve">0</w:t>
      </w:r>
      <w:r>
        <w:rPr>
          <w:rStyle w:val="NormalTok"/>
        </w:rPr>
        <w:t xml:space="preserve">], </w:t>
      </w:r>
      <w:r>
        <w:rPr>
          <w:rStyle w:val="DecValTok"/>
        </w:rPr>
        <w:t xml:space="preserve">3</w:t>
      </w:r>
      <w:r>
        <w:rPr>
          <w:rStyle w:val="NormalTok"/>
        </w:rPr>
        <w:t xml:space="preserve">))</w:t>
      </w:r>
    </w:p>
    <w:p>
      <w:pPr>
        <w:pStyle w:val="FirstParagraph"/>
      </w:pPr>
      <w:r>
        <w:rPr>
          <w:b/>
          <w:bCs/>
        </w:rPr>
        <w:t xml:space="preserve">Verified output</w:t>
      </w:r>
    </w:p>
    <w:p>
      <w:pPr>
        <w:pStyle w:val="SourceCode"/>
        <w:keepLines/>
        <w:shd w:fill="F6F8FA" w:val="clear"/>
      </w:pPr>
      <w:r>
        <w:rPr>
          <w:rStyle w:val="VerbatimChar"/>
        </w:rPr>
        <w:t xml:space="preserve">0.805</w:t>
      </w:r>
      <w:r>
        <w:br/>
      </w:r>
      <w:r>
        <w:rPr>
          <w:rStyle w:val="VerbatimChar"/>
        </w:rPr>
        <w:t xml:space="preserve">[0.282 0.518 0.2  ]</w:t>
      </w:r>
    </w:p>
    <w:p>
      <w:pPr>
        <w:pStyle w:val="FirstParagraph"/>
      </w:pPr>
      <w:r>
        <w:rPr>
          <w:b/>
          <w:bCs/>
        </w:rPr>
        <w:t xml:space="preserve">Interpretation.</w:t>
      </w:r>
      <w:r>
        <w:t xml:space="preserve"> </w:t>
      </w:r>
      <w:r>
        <w:t xml:space="preserve">At x=0, the central category is most probable. The probabilities sum to one and depend on both slope and thresholds.</w:t>
      </w:r>
    </w:p>
    <w:bookmarkEnd w:id="456"/>
    <w:bookmarkEnd w:id="457"/>
    <w:bookmarkStart w:id="470" w:name="visual-evidence-22"/>
    <w:p>
      <w:pPr>
        <w:pStyle w:val="Heading2"/>
        <w:keepNext/>
      </w:pPr>
      <w:r>
        <w:t>42.7</w:t>
        <w:tab/>
        <w:t>Visual evidence</w:t>
      </w:r>
    </w:p>
    <w:p>
      <w:pPr>
        <w:pStyle w:val="FirstParagraph"/>
      </w:pPr>
      <w:r>
        <w:drawing>
          <wp:inline>
            <wp:extent cx="4907280" cy="2577974"/>
            <wp:effectExtent b="0" l="0" r="0" t="0"/>
            <wp:docPr descr="Image: rId458.png" title="" id="459" name="Picture"/>
            <a:graphic>
              <a:graphicData uri="http://schemas.openxmlformats.org/drawingml/2006/picture">
                <pic:pic>
                  <pic:nvPicPr>
                    <pic:cNvPr descr="figures/fig_31_tar_process.png" id="460" name="Picture"/>
                    <pic:cNvPicPr>
                      <a:picLocks noChangeArrowheads="1" noChangeAspect="1"/>
                    </pic:cNvPicPr>
                  </pic:nvPicPr>
                  <pic:blipFill>
                    <a:blip r:embed="rId458"/>
                    <a:stretch>
                      <a:fillRect/>
                    </a:stretch>
                  </pic:blipFill>
                  <pic:spPr bwMode="auto">
                    <a:xfrm>
                      <a:off x="0" y="0"/>
                      <a:ext cx="4907280" cy="2577974"/>
                    </a:xfrm>
                    <a:prstGeom prst="rect">
                      <a:avLst/>
                    </a:prstGeom>
                    <a:noFill/>
                    <a:ln w="9525">
                      <a:noFill/>
                      <a:headEnd/>
                      <a:tailEnd/>
                    </a:ln>
                  </pic:spPr>
                </pic:pic>
              </a:graphicData>
            </a:graphic>
          </wp:inline>
        </w:drawing>
      </w:r>
    </w:p>
    <w:p>
      <w:pPr>
        <w:pStyle w:val="Caption"/>
        <w:keepNext w:val="0"/>
        <w:jc w:val="center"/>
      </w:pPr>
      <w:r>
        <w:rPr>
          <w:b/>
          <w:bCs/>
        </w:rPr>
        <w:t xml:space="preserve">Figure 31.</w:t>
      </w:r>
      <w:r>
        <w:t xml:space="preserve"> </w:t>
      </w:r>
      <w:r>
        <w:t xml:space="preserve">A simulated two-regime threshold autoregressive process.</w:t>
      </w:r>
    </w:p>
    <w:p>
      <w:pPr>
        <w:pStyle w:val="BodyText"/>
      </w:pPr>
      <w:r>
        <w:drawing>
          <wp:inline>
            <wp:extent cx="4907280" cy="2861472"/>
            <wp:effectExtent b="0" l="0" r="0" t="0"/>
            <wp:docPr descr="Image: rId461.png" title="" id="462" name="Picture"/>
            <a:graphic>
              <a:graphicData uri="http://schemas.openxmlformats.org/drawingml/2006/picture">
                <pic:pic>
                  <pic:nvPicPr>
                    <pic:cNvPr descr="figures/fig_32_markov_switching.png" id="463" name="Picture"/>
                    <pic:cNvPicPr>
                      <a:picLocks noChangeArrowheads="1" noChangeAspect="1"/>
                    </pic:cNvPicPr>
                  </pic:nvPicPr>
                  <pic:blipFill>
                    <a:blip r:embed="rId461"/>
                    <a:stretch>
                      <a:fillRect/>
                    </a:stretch>
                  </pic:blipFill>
                  <pic:spPr bwMode="auto">
                    <a:xfrm>
                      <a:off x="0" y="0"/>
                      <a:ext cx="4907280" cy="2861472"/>
                    </a:xfrm>
                    <a:prstGeom prst="rect">
                      <a:avLst/>
                    </a:prstGeom>
                    <a:noFill/>
                    <a:ln w="9525">
                      <a:noFill/>
                      <a:headEnd/>
                      <a:tailEnd/>
                    </a:ln>
                  </pic:spPr>
                </pic:pic>
              </a:graphicData>
            </a:graphic>
          </wp:inline>
        </w:drawing>
      </w:r>
    </w:p>
    <w:p>
      <w:pPr>
        <w:pStyle w:val="Caption"/>
        <w:keepNext w:val="0"/>
        <w:jc w:val="center"/>
      </w:pPr>
      <w:r>
        <w:rPr>
          <w:b/>
          <w:bCs/>
        </w:rPr>
        <w:t xml:space="preserve">Figure 32.</w:t>
      </w:r>
      <w:r>
        <w:t xml:space="preserve"> </w:t>
      </w:r>
      <w:r>
        <w:t xml:space="preserve">A two-regime Markov model separates periods with different mean and variance patterns.</w:t>
      </w:r>
    </w:p>
    <w:p>
      <w:pPr>
        <w:pStyle w:val="BodyText"/>
      </w:pPr>
      <w:r>
        <w:drawing>
          <wp:inline>
            <wp:extent cx="4907280" cy="2396091"/>
            <wp:effectExtent b="0" l="0" r="0" t="0"/>
            <wp:docPr descr="Image: rId464.png" title="" id="465" name="Picture"/>
            <a:graphic>
              <a:graphicData uri="http://schemas.openxmlformats.org/drawingml/2006/picture">
                <pic:pic>
                  <pic:nvPicPr>
                    <pic:cNvPr descr="figures/fig_33_ordered_thresholds.png" id="466" name="Picture"/>
                    <pic:cNvPicPr>
                      <a:picLocks noChangeArrowheads="1" noChangeAspect="1"/>
                    </pic:cNvPicPr>
                  </pic:nvPicPr>
                  <pic:blipFill>
                    <a:blip r:embed="rId464"/>
                    <a:stretch>
                      <a:fillRect/>
                    </a:stretch>
                  </pic:blipFill>
                  <pic:spPr bwMode="auto">
                    <a:xfrm>
                      <a:off x="0" y="0"/>
                      <a:ext cx="4907280" cy="2396091"/>
                    </a:xfrm>
                    <a:prstGeom prst="rect">
                      <a:avLst/>
                    </a:prstGeom>
                    <a:noFill/>
                    <a:ln w="9525">
                      <a:noFill/>
                      <a:headEnd/>
                      <a:tailEnd/>
                    </a:ln>
                  </pic:spPr>
                </pic:pic>
              </a:graphicData>
            </a:graphic>
          </wp:inline>
        </w:drawing>
      </w:r>
    </w:p>
    <w:p>
      <w:pPr>
        <w:pStyle w:val="Caption"/>
        <w:keepNext w:val="0"/>
        <w:jc w:val="center"/>
      </w:pPr>
      <w:r>
        <w:rPr>
          <w:b/>
          <w:bCs/>
        </w:rPr>
        <w:t xml:space="preserve">Figure 33.</w:t>
      </w:r>
      <w:r>
        <w:t xml:space="preserve"> </w:t>
      </w:r>
      <w:r>
        <w:t xml:space="preserve">Ordered models map a latent continuous score into ranked observed categories.</w:t>
      </w:r>
    </w:p>
    <w:p>
      <w:pPr>
        <w:pStyle w:val="BodyText"/>
      </w:pPr>
      <w:r>
        <w:drawing>
          <wp:inline>
            <wp:extent cx="4907280" cy="2778315"/>
            <wp:effectExtent b="0" l="0" r="0" t="0"/>
            <wp:docPr descr="Image: rId467.png" title="" id="468" name="Picture"/>
            <a:graphic>
              <a:graphicData uri="http://schemas.openxmlformats.org/drawingml/2006/picture">
                <pic:pic>
                  <pic:nvPicPr>
                    <pic:cNvPr descr="figures/fig_34_ordered_probabilities.png" id="469" name="Picture"/>
                    <pic:cNvPicPr>
                      <a:picLocks noChangeArrowheads="1" noChangeAspect="1"/>
                    </pic:cNvPicPr>
                  </pic:nvPicPr>
                  <pic:blipFill>
                    <a:blip r:embed="rId467"/>
                    <a:stretch>
                      <a:fillRect/>
                    </a:stretch>
                  </pic:blipFill>
                  <pic:spPr bwMode="auto">
                    <a:xfrm>
                      <a:off x="0" y="0"/>
                      <a:ext cx="4907280" cy="2778315"/>
                    </a:xfrm>
                    <a:prstGeom prst="rect">
                      <a:avLst/>
                    </a:prstGeom>
                    <a:noFill/>
                    <a:ln w="9525">
                      <a:noFill/>
                      <a:headEnd/>
                      <a:tailEnd/>
                    </a:ln>
                  </pic:spPr>
                </pic:pic>
              </a:graphicData>
            </a:graphic>
          </wp:inline>
        </w:drawing>
      </w:r>
    </w:p>
    <w:p>
      <w:pPr>
        <w:pStyle w:val="Caption"/>
        <w:keepNext w:val="0"/>
        <w:jc w:val="center"/>
      </w:pPr>
      <w:r>
        <w:rPr>
          <w:b/>
          <w:bCs/>
        </w:rPr>
        <w:t xml:space="preserve">Figure 34.</w:t>
      </w:r>
      <w:r>
        <w:t xml:space="preserve"> </w:t>
      </w:r>
      <w:r>
        <w:t xml:space="preserve">Predicted category probabilities from a fitted ordered-probit model.</w:t>
      </w:r>
    </w:p>
    <w:bookmarkEnd w:id="470"/>
    <w:bookmarkStart w:id="471" w:name="reference-table-22"/>
    <w:p>
      <w:pPr>
        <w:pStyle w:val="Heading2"/>
        <w:keepNext/>
      </w:pPr>
      <w:r>
        <w:t>42.8</w:t>
        <w:tab/>
        <w:t>Reference table</w:t>
      </w:r>
    </w:p>
    <w:p>
      <w:pPr>
        <w:pStyle w:val="Caption"/>
        <w:keepNext/>
        <w:jc w:val="center"/>
      </w:pPr>
      <w:r>
        <w:rPr>
          <w:b/>
          <w:bCs/>
        </w:rPr>
        <w:t xml:space="preserve">Table 23. Chapter reference.</w:t>
      </w:r>
    </w:p>
    <w:tbl>
      <w:tblPr>
        <w:tblStyle w:val="Table"/>
        <w:tblW w:type="pct" w:w="5000"/>
        <w:jc w:val="center"/>
        <w:tblLayout w:type="autofit"/>
        <w:tblLook w:firstRow="1" w:lastRow="0" w:firstColumn="0" w:lastColumn="0" w:noHBand="0" w:noVBand="0" w:val="0020"/>
      </w:tblPr>
      <w:tblGrid>
        <w:gridCol w:w="2640"/>
        <w:gridCol w:w="2640"/>
        <w:gridCol w:w="2640"/>
      </w:tblGrid>
      <w:tr>
        <w:trPr>
          <w:tblHeader w:val="on"/>
          <w:tblHeader w:val="true"/>
          <w:cantSplit/>
        </w:trPr>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0A2342" w:val="clear"/>
          </w:tcPr>
          <w:p>
            <w:pPr>
              <w:pStyle w:val="Compact"/>
              <w:spacing w:before="30" w:after="30" w:line="240" w:lineRule="auto"/>
              <w:jc w:val="left"/>
            </w:pPr>
            <w:r>
              <w:rPr>
                <w:rFonts w:ascii="Noto Sans" w:hAnsi="Noto Sans" w:eastAsia="Noto Sans" w:cs="Noto Sans"/>
                <w:b/>
                <w:color w:val="FFFFFF"/>
                <w:sz w:val="16"/>
              </w:rPr>
              <w:t xml:space="preserve">Model</w:t>
            </w:r>
          </w:p>
        </w:tc>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0A2342" w:val="clear"/>
          </w:tcPr>
          <w:p>
            <w:pPr>
              <w:pStyle w:val="Compact"/>
              <w:spacing w:before="30" w:after="30" w:line="240" w:lineRule="auto"/>
              <w:jc w:val="left"/>
            </w:pPr>
            <w:r>
              <w:rPr>
                <w:rFonts w:ascii="Noto Sans" w:hAnsi="Noto Sans" w:eastAsia="Noto Sans" w:cs="Noto Sans"/>
                <w:b/>
                <w:color w:val="FFFFFF"/>
                <w:sz w:val="16"/>
              </w:rPr>
              <w:t xml:space="preserve">State observed?</w:t>
            </w:r>
          </w:p>
        </w:tc>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0A2342" w:val="clear"/>
          </w:tcPr>
          <w:p>
            <w:pPr>
              <w:pStyle w:val="Compact"/>
              <w:spacing w:before="30" w:after="30" w:line="240" w:lineRule="auto"/>
              <w:jc w:val="left"/>
            </w:pPr>
            <w:r>
              <w:rPr>
                <w:rFonts w:ascii="Noto Sans" w:hAnsi="Noto Sans" w:eastAsia="Noto Sans" w:cs="Noto Sans"/>
                <w:b/>
                <w:color w:val="FFFFFF"/>
                <w:sz w:val="16"/>
              </w:rPr>
              <w:t xml:space="preserve">Key interpretation</w:t>
            </w:r>
          </w:p>
        </w:tc>
      </w:tr>
      <w:tr>
        <w:trPr>
          <w:cantSplit/>
        </w:trPr>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EEF4F8" w:val="clear"/>
          </w:tcPr>
          <w:p>
            <w:pPr>
              <w:pStyle w:val="Compact"/>
              <w:spacing w:before="30" w:after="30" w:line="240" w:lineRule="auto"/>
              <w:jc w:val="left"/>
            </w:pPr>
            <w:r>
              <w:rPr>
                <w:rFonts w:ascii="Noto Sans" w:hAnsi="Noto Sans" w:eastAsia="Noto Sans" w:cs="Noto Sans"/>
                <w:b w:val="0"/>
                <w:color w:val="18212B"/>
                <w:sz w:val="16"/>
              </w:rPr>
              <w:t xml:space="preserve">TAR</w:t>
            </w:r>
          </w:p>
        </w:tc>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EEF4F8" w:val="clear"/>
          </w:tcPr>
          <w:p>
            <w:pPr>
              <w:pStyle w:val="Compact"/>
              <w:spacing w:before="30" w:after="30" w:line="240" w:lineRule="auto"/>
              <w:jc w:val="left"/>
            </w:pPr>
            <w:r>
              <w:rPr>
                <w:rFonts w:ascii="Noto Sans" w:hAnsi="Noto Sans" w:eastAsia="Noto Sans" w:cs="Noto Sans"/>
                <w:b w:val="0"/>
                <w:color w:val="18212B"/>
                <w:sz w:val="16"/>
              </w:rPr>
              <w:t xml:space="preserve">Yes, threshold variable</w:t>
            </w:r>
          </w:p>
        </w:tc>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EEF4F8" w:val="clear"/>
          </w:tcPr>
          <w:p>
            <w:pPr>
              <w:pStyle w:val="Compact"/>
              <w:spacing w:before="30" w:after="30" w:line="240" w:lineRule="auto"/>
              <w:jc w:val="left"/>
            </w:pPr>
            <w:r>
              <w:rPr>
                <w:rFonts w:ascii="Noto Sans" w:hAnsi="Noto Sans" w:eastAsia="Noto Sans" w:cs="Noto Sans"/>
                <w:b w:val="0"/>
                <w:color w:val="18212B"/>
                <w:sz w:val="16"/>
              </w:rPr>
              <w:t xml:space="preserve">piecewise coefficients</w:t>
            </w:r>
          </w:p>
        </w:tc>
      </w:tr>
      <w:tr>
        <w:trPr>
          <w:cantSplit/>
        </w:trPr>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FFFFFF" w:val="clear"/>
          </w:tcPr>
          <w:p>
            <w:pPr>
              <w:pStyle w:val="Compact"/>
              <w:spacing w:before="30" w:after="30" w:line="240" w:lineRule="auto"/>
              <w:jc w:val="left"/>
            </w:pPr>
            <w:r>
              <w:rPr>
                <w:rFonts w:ascii="Noto Sans" w:hAnsi="Noto Sans" w:eastAsia="Noto Sans" w:cs="Noto Sans"/>
                <w:b w:val="0"/>
                <w:color w:val="18212B"/>
                <w:sz w:val="16"/>
              </w:rPr>
              <w:t xml:space="preserve">Markov switching</w:t>
            </w:r>
          </w:p>
        </w:tc>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FFFFFF" w:val="clear"/>
          </w:tcPr>
          <w:p>
            <w:pPr>
              <w:pStyle w:val="Compact"/>
              <w:spacing w:before="30" w:after="30" w:line="240" w:lineRule="auto"/>
              <w:jc w:val="left"/>
            </w:pPr>
            <w:r>
              <w:rPr>
                <w:rFonts w:ascii="Noto Sans" w:hAnsi="Noto Sans" w:eastAsia="Noto Sans" w:cs="Noto Sans"/>
                <w:b w:val="0"/>
                <w:color w:val="18212B"/>
                <w:sz w:val="16"/>
              </w:rPr>
              <w:t xml:space="preserve">No</w:t>
            </w:r>
          </w:p>
        </w:tc>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FFFFFF" w:val="clear"/>
          </w:tcPr>
          <w:p>
            <w:pPr>
              <w:pStyle w:val="Compact"/>
              <w:spacing w:before="30" w:after="30" w:line="240" w:lineRule="auto"/>
              <w:jc w:val="left"/>
            </w:pPr>
            <w:r>
              <w:rPr>
                <w:rFonts w:ascii="Noto Sans" w:hAnsi="Noto Sans" w:eastAsia="Noto Sans" w:cs="Noto Sans"/>
                <w:b w:val="0"/>
                <w:color w:val="18212B"/>
                <w:sz w:val="16"/>
              </w:rPr>
              <w:t xml:space="preserve">transition probabilities and filtered states</w:t>
            </w:r>
          </w:p>
        </w:tc>
      </w:tr>
      <w:tr>
        <w:trPr>
          <w:cantSplit/>
        </w:trPr>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EEF4F8" w:val="clear"/>
          </w:tcPr>
          <w:p>
            <w:pPr>
              <w:pStyle w:val="Compact"/>
              <w:spacing w:before="30" w:after="30" w:line="240" w:lineRule="auto"/>
              <w:jc w:val="left"/>
            </w:pPr>
            <w:r>
              <w:rPr>
                <w:rFonts w:ascii="Noto Sans" w:hAnsi="Noto Sans" w:eastAsia="Noto Sans" w:cs="Noto Sans"/>
                <w:b w:val="0"/>
                <w:color w:val="18212B"/>
                <w:sz w:val="16"/>
              </w:rPr>
              <w:t xml:space="preserve">ordered probit</w:t>
            </w:r>
          </w:p>
        </w:tc>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EEF4F8" w:val="clear"/>
          </w:tcPr>
          <w:p>
            <w:pPr>
              <w:pStyle w:val="Compact"/>
              <w:spacing w:before="30" w:after="30" w:line="240" w:lineRule="auto"/>
              <w:jc w:val="left"/>
            </w:pPr>
            <w:r>
              <w:rPr>
                <w:rFonts w:ascii="Noto Sans" w:hAnsi="Noto Sans" w:eastAsia="Noto Sans" w:cs="Noto Sans"/>
                <w:b w:val="0"/>
                <w:color w:val="18212B"/>
                <w:sz w:val="16"/>
              </w:rPr>
              <w:t xml:space="preserve">Observed category only</w:t>
            </w:r>
          </w:p>
        </w:tc>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EEF4F8" w:val="clear"/>
          </w:tcPr>
          <w:p>
            <w:pPr>
              <w:pStyle w:val="Compact"/>
              <w:spacing w:before="30" w:after="30" w:line="240" w:lineRule="auto"/>
              <w:jc w:val="left"/>
            </w:pPr>
            <w:r>
              <w:rPr>
                <w:rFonts w:ascii="Noto Sans" w:hAnsi="Noto Sans" w:eastAsia="Noto Sans" w:cs="Noto Sans"/>
                <w:b w:val="0"/>
                <w:color w:val="18212B"/>
                <w:sz w:val="16"/>
              </w:rPr>
              <w:t xml:space="preserve">latent index and thresholds</w:t>
            </w:r>
          </w:p>
        </w:tc>
      </w:tr>
      <w:tr>
        <w:trPr>
          <w:cantSplit/>
        </w:trPr>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FFFFFF" w:val="clear"/>
          </w:tcPr>
          <w:p>
            <w:pPr>
              <w:pStyle w:val="Compact"/>
              <w:spacing w:before="30" w:after="30" w:line="240" w:lineRule="auto"/>
              <w:jc w:val="left"/>
            </w:pPr>
            <w:r>
              <w:rPr>
                <w:rFonts w:ascii="Noto Sans" w:hAnsi="Noto Sans" w:eastAsia="Noto Sans" w:cs="Noto Sans"/>
                <w:b w:val="0"/>
                <w:color w:val="18212B"/>
                <w:sz w:val="16"/>
              </w:rPr>
              <w:t xml:space="preserve">microstructure model</w:t>
            </w:r>
          </w:p>
        </w:tc>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FFFFFF" w:val="clear"/>
          </w:tcPr>
          <w:p>
            <w:pPr>
              <w:pStyle w:val="Compact"/>
              <w:spacing w:before="30" w:after="30" w:line="240" w:lineRule="auto"/>
              <w:jc w:val="left"/>
            </w:pPr>
            <w:r>
              <w:rPr>
                <w:rFonts w:ascii="Noto Sans" w:hAnsi="Noto Sans" w:eastAsia="Noto Sans" w:cs="Noto Sans"/>
                <w:b w:val="0"/>
                <w:color w:val="18212B"/>
                <w:sz w:val="16"/>
              </w:rPr>
              <w:t xml:space="preserve">Trades/quotes observed</w:t>
            </w:r>
          </w:p>
        </w:tc>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FFFFFF" w:val="clear"/>
          </w:tcPr>
          <w:p>
            <w:pPr>
              <w:pStyle w:val="Compact"/>
              <w:spacing w:before="30" w:after="30" w:line="240" w:lineRule="auto"/>
              <w:jc w:val="left"/>
            </w:pPr>
            <w:r>
              <w:rPr>
                <w:rFonts w:ascii="Noto Sans" w:hAnsi="Noto Sans" w:eastAsia="Noto Sans" w:cs="Noto Sans"/>
                <w:b w:val="0"/>
                <w:color w:val="18212B"/>
                <w:sz w:val="16"/>
              </w:rPr>
              <w:t xml:space="preserve">institutional price formation</w:t>
            </w:r>
          </w:p>
        </w:tc>
      </w:tr>
    </w:tbl>
    <w:p>
      <w:pPr>
        <w:pStyle w:val="BlockText"/>
        <w:shd w:fill="EAF7F5" w:val="clear"/>
        <w:pBdr>
          <w:left w:val="single" w:sz="18" w:space="8" w:color="008F87"/>
        </w:pBdr>
      </w:pPr>
      <w:r>
        <w:rPr>
          <w:b/>
          <w:bCs/>
        </w:rPr>
        <w:t xml:space="preserve">Why This Matters</w:t>
      </w:r>
    </w:p>
    <w:p>
      <w:pPr>
        <w:pStyle w:val="BlockText"/>
        <w:shd w:fill="EAF7F5" w:val="clear"/>
        <w:pBdr>
          <w:left w:val="single" w:sz="18" w:space="8" w:color="008F87"/>
        </w:pBdr>
      </w:pPr>
      <w:r>
        <w:t xml:space="preserve">Nonlinear and microstructure models prevent a single linear equation from flattening state-dependent behaviour.</w:t>
      </w:r>
    </w:p>
    <w:p>
      <w:pPr>
        <w:pStyle w:val="BlockText"/>
        <w:shd w:fill="EAF7F5" w:val="clear"/>
        <w:pBdr>
          <w:left w:val="single" w:sz="18" w:space="8" w:color="008F87"/>
        </w:pBdr>
      </w:pPr>
      <w:r>
        <w:rPr>
          <w:b/>
          <w:bCs/>
        </w:rPr>
        <w:t xml:space="preserve">Common Mistake</w:t>
      </w:r>
    </w:p>
    <w:p>
      <w:pPr>
        <w:pStyle w:val="BlockText"/>
        <w:shd w:fill="EAF7F5" w:val="clear"/>
        <w:pBdr>
          <w:left w:val="single" w:sz="18" w:space="8" w:color="008F87"/>
        </w:pBdr>
      </w:pPr>
      <w:r>
        <w:t xml:space="preserve">Interpreting estimated regimes as known historical labels without examining posterior probabilities and uncertainty.</w:t>
      </w:r>
    </w:p>
    <w:p>
      <w:pPr>
        <w:pStyle w:val="BlockText"/>
        <w:shd w:fill="EAF7F5" w:val="clear"/>
        <w:pBdr>
          <w:left w:val="single" w:sz="18" w:space="8" w:color="008F87"/>
        </w:pBdr>
      </w:pPr>
      <w:r>
        <w:rPr>
          <w:b/>
          <w:bCs/>
        </w:rPr>
        <w:t xml:space="preserve">Ceteris LAB Tip</w:t>
      </w:r>
    </w:p>
    <w:p>
      <w:pPr>
        <w:pStyle w:val="BlockText"/>
        <w:shd w:fill="EAF7F5" w:val="clear"/>
        <w:pBdr>
          <w:left w:val="single" w:sz="18" w:space="8" w:color="008F87"/>
        </w:pBdr>
      </w:pPr>
      <w:r>
        <w:t xml:space="preserve">For ordered models, graph predicted category probabilities over a meaningful covariate range instead of reading thresholds in isolation.</w:t>
      </w:r>
    </w:p>
    <w:p>
      <w:pPr>
        <w:pStyle w:val="BlockText"/>
        <w:shd w:fill="EAF7F5" w:val="clear"/>
        <w:pBdr>
          <w:left w:val="single" w:sz="18" w:space="8" w:color="008F87"/>
        </w:pBdr>
      </w:pPr>
      <w:r>
        <w:rPr>
          <w:b/>
          <w:bCs/>
        </w:rPr>
        <w:t xml:space="preserve">R-to-Python / Source Bridge</w:t>
      </w:r>
    </w:p>
    <w:p>
      <w:pPr>
        <w:pStyle w:val="BlockText"/>
        <w:shd w:fill="EAF7F5" w:val="clear"/>
        <w:pBdr>
          <w:left w:val="single" w:sz="18" w:space="8" w:color="008F87"/>
        </w:pBdr>
      </w:pPr>
      <w:r>
        <w:t xml:space="preserve">The source nonlinear lecture and separate ordered-probit handout are integrated here. Python replaces custom R indicators and</w:t>
      </w:r>
      <w:r>
        <w:t xml:space="preserve"> </w:t>
      </w:r>
      <w:r>
        <w:rPr>
          <w:rStyle w:val="VerbatimChar"/>
        </w:rPr>
        <w:t xml:space="preserve">polr()</w:t>
      </w:r>
      <w:r>
        <w:t xml:space="preserve"> </w:t>
      </w:r>
      <w:r>
        <w:t xml:space="preserve">with transparent feature construction and statsmodels OrderedModel</w:t>
      </w:r>
      <w:r>
        <w:t xml:space="preserve"> </w:t>
      </w:r>
      <w:r>
        <w:t xml:space="preserve">(Tsay 2013)</w:t>
      </w:r>
      <w:r>
        <w:t xml:space="preserve">.</w:t>
      </w:r>
    </w:p>
    <w:bookmarkEnd w:id="471"/>
    <w:bookmarkStart w:id="472" w:name="guided-practice-22"/>
    <w:p>
      <w:pPr>
        <w:pStyle w:val="Heading2"/>
        <w:keepNext/>
      </w:pPr>
      <w:r>
        <w:t>42.9</w:t>
        <w:tab/>
        <w:t>Guided practice</w:t>
      </w:r>
    </w:p>
    <w:p>
      <w:pPr>
        <w:pStyle w:val="Compact"/>
        <w:numPr>
          <w:ilvl w:val="0"/>
          <w:numId w:val="1092"/>
        </w:numPr>
      </w:pPr>
      <w:r>
        <w:t xml:space="preserve">Re-run Demonstration 23.1 and change one input while keeping the analytical question fixed.</w:t>
      </w:r>
    </w:p>
    <w:p>
      <w:pPr>
        <w:pStyle w:val="Compact"/>
        <w:numPr>
          <w:ilvl w:val="0"/>
          <w:numId w:val="1092"/>
        </w:numPr>
      </w:pPr>
      <w:r>
        <w:t xml:space="preserve">Explain in two sentences how the output supports, or fails to support, the chapter opening question.</w:t>
      </w:r>
    </w:p>
    <w:p>
      <w:pPr>
        <w:pStyle w:val="Compact"/>
        <w:numPr>
          <w:ilvl w:val="0"/>
          <w:numId w:val="1092"/>
        </w:numPr>
      </w:pPr>
      <w:r>
        <w:t xml:space="preserve">Add one validation check that would prevent a plausible error.</w:t>
      </w:r>
    </w:p>
    <w:bookmarkEnd w:id="472"/>
    <w:bookmarkStart w:id="473" w:name="exercises-22"/>
    <w:p>
      <w:pPr>
        <w:pStyle w:val="Heading2"/>
        <w:keepNext/>
      </w:pPr>
      <w:r>
        <w:t>42.10</w:t>
        <w:tab/>
        <w:t>Exercises</w:t>
      </w:r>
    </w:p>
    <w:p>
      <w:pPr>
        <w:pStyle w:val="Compact"/>
        <w:numPr>
          <w:ilvl w:val="0"/>
          <w:numId w:val="1093"/>
        </w:numPr>
      </w:pPr>
      <w:r>
        <w:t xml:space="preserve">Simulate a TAR process under two threshold rules.</w:t>
      </w:r>
    </w:p>
    <w:p>
      <w:pPr>
        <w:pStyle w:val="Compact"/>
        <w:numPr>
          <w:ilvl w:val="0"/>
          <w:numId w:val="1093"/>
        </w:numPr>
      </w:pPr>
      <w:r>
        <w:t xml:space="preserve">Fit a Markov-switching mean model.</w:t>
      </w:r>
    </w:p>
    <w:p>
      <w:pPr>
        <w:pStyle w:val="Compact"/>
        <w:numPr>
          <w:ilvl w:val="0"/>
          <w:numId w:val="1093"/>
        </w:numPr>
      </w:pPr>
      <w:r>
        <w:t xml:space="preserve">Explain how bid-ask bounce affects short-lag returns.</w:t>
      </w:r>
    </w:p>
    <w:p>
      <w:pPr>
        <w:pStyle w:val="Compact"/>
        <w:numPr>
          <w:ilvl w:val="0"/>
          <w:numId w:val="1093"/>
        </w:numPr>
      </w:pPr>
      <w:r>
        <w:t xml:space="preserve">Plot ordered-probit category probabilities.</w:t>
      </w:r>
    </w:p>
    <w:bookmarkEnd w:id="473"/>
    <w:bookmarkStart w:id="474" w:name="chapter-summary-22"/>
    <w:p>
      <w:pPr>
        <w:pStyle w:val="Heading2"/>
        <w:keepNext/>
      </w:pPr>
      <w:r>
        <w:t>42.11</w:t>
        <w:tab/>
        <w:t>Chapter summary</w:t>
      </w:r>
    </w:p>
    <w:p>
      <w:pPr>
        <w:pStyle w:val="Compact"/>
        <w:numPr>
          <w:ilvl w:val="0"/>
          <w:numId w:val="1094"/>
        </w:numPr>
      </w:pPr>
      <w:r>
        <w:t xml:space="preserve">Threshold models use observed regime rules; Markov models use latent states.</w:t>
      </w:r>
    </w:p>
    <w:p>
      <w:pPr>
        <w:pStyle w:val="Compact"/>
        <w:numPr>
          <w:ilvl w:val="0"/>
          <w:numId w:val="1094"/>
        </w:numPr>
      </w:pPr>
      <w:r>
        <w:t xml:space="preserve">Trading mechanisms can create dependence in transaction data.</w:t>
      </w:r>
    </w:p>
    <w:p>
      <w:pPr>
        <w:pStyle w:val="Compact"/>
        <w:numPr>
          <w:ilvl w:val="0"/>
          <w:numId w:val="1094"/>
        </w:numPr>
      </w:pPr>
      <w:r>
        <w:t xml:space="preserve">Ordered probit maps a latent index into ordered categories.</w:t>
      </w:r>
    </w:p>
    <w:bookmarkEnd w:id="474"/>
    <w:bookmarkStart w:id="475" w:name="key-python-commands-22"/>
    <w:p>
      <w:pPr>
        <w:pStyle w:val="Heading2"/>
        <w:keepNext/>
      </w:pPr>
      <w:r>
        <w:t>42.12</w:t>
        <w:tab/>
        <w:t>Key Python commands</w:t>
      </w:r>
    </w:p>
    <w:p>
      <w:pPr>
        <w:pStyle w:val="SourceCode"/>
        <w:keepLines/>
        <w:shd w:fill="F6F8FA" w:val="clear"/>
      </w:pPr>
      <w:r>
        <w:rPr>
          <w:rStyle w:val="ImportTok"/>
        </w:rPr>
        <w:t xml:space="preserve">import</w:t>
      </w:r>
      <w:r>
        <w:rPr>
          <w:rStyle w:val="NormalTok"/>
        </w:rPr>
        <w:t xml:space="preserve"> numpy </w:t>
      </w:r>
      <w:r>
        <w:rPr>
          <w:rStyle w:val="ImportTok"/>
        </w:rPr>
        <w:t xml:space="preserve">as</w:t>
      </w:r>
      <w:r>
        <w:rPr>
          <w:rStyle w:val="NormalTok"/>
        </w:rPr>
        <w:t xml:space="preserve"> np</w:t>
      </w:r>
      <w:r>
        <w:br/>
      </w:r>
      <w:r>
        <w:rPr>
          <w:rStyle w:val="NormalTok"/>
        </w:rPr>
        <w:t xml:space="preserve">rng </w:t>
      </w:r>
      <w:r>
        <w:rPr>
          <w:rStyle w:val="OperatorTok"/>
        </w:rPr>
        <w:t xml:space="preserve">=</w:t>
      </w:r>
      <w:r>
        <w:rPr>
          <w:rStyle w:val="NormalTok"/>
        </w:rPr>
        <w:t xml:space="preserve"> np.random.default_rng(</w:t>
      </w:r>
      <w:r>
        <w:rPr>
          <w:rStyle w:val="DecValTok"/>
        </w:rPr>
        <w:t xml:space="preserve">23</w:t>
      </w:r>
      <w:r>
        <w:rPr>
          <w:rStyle w:val="NormalTok"/>
        </w:rPr>
        <w:t xml:space="preserve">)</w:t>
      </w:r>
      <w:r>
        <w:br/>
      </w:r>
      <w:r>
        <w:rPr>
          <w:rStyle w:val="NormalTok"/>
        </w:rPr>
        <w:t xml:space="preserve">x </w:t>
      </w:r>
      <w:r>
        <w:rPr>
          <w:rStyle w:val="OperatorTok"/>
        </w:rPr>
        <w:t xml:space="preserve">=</w:t>
      </w:r>
      <w:r>
        <w:rPr>
          <w:rStyle w:val="NormalTok"/>
        </w:rPr>
        <w:t xml:space="preserve"> np.zeros(</w:t>
      </w:r>
      <w:r>
        <w:rPr>
          <w:rStyle w:val="DecValTok"/>
        </w:rPr>
        <w:t xml:space="preserve">300</w:t>
      </w:r>
      <w:r>
        <w:rPr>
          <w:rStyle w:val="NormalTok"/>
        </w:rPr>
        <w:t xml:space="preserve">)</w:t>
      </w:r>
      <w:r>
        <w:br/>
      </w:r>
      <w:r>
        <w:rPr>
          <w:rStyle w:val="NormalTok"/>
        </w:rPr>
        <w:t xml:space="preserve">x[t] </w:t>
      </w:r>
      <w:r>
        <w:rPr>
          <w:rStyle w:val="OperatorTok"/>
        </w:rPr>
        <w:t xml:space="preserve">=</w:t>
      </w:r>
      <w:r>
        <w:rPr>
          <w:rStyle w:val="NormalTok"/>
        </w:rPr>
        <w:t xml:space="preserve"> phi</w:t>
      </w:r>
      <w:r>
        <w:rPr>
          <w:rStyle w:val="OperatorTok"/>
        </w:rPr>
        <w:t xml:space="preserve">*</w:t>
      </w:r>
      <w:r>
        <w:rPr>
          <w:rStyle w:val="NormalTok"/>
        </w:rPr>
        <w:t xml:space="preserve">x[t</w:t>
      </w:r>
      <w:r>
        <w:rPr>
          <w:rStyle w:val="OperatorTok"/>
        </w:rPr>
        <w:t xml:space="preserve">-</w:t>
      </w:r>
      <w:r>
        <w:rPr>
          <w:rStyle w:val="DecValTok"/>
        </w:rPr>
        <w:t xml:space="preserve">1</w:t>
      </w:r>
      <w:r>
        <w:rPr>
          <w:rStyle w:val="NormalTok"/>
        </w:rPr>
        <w:t xml:space="preserve">] </w:t>
      </w:r>
      <w:r>
        <w:rPr>
          <w:rStyle w:val="OperatorTok"/>
        </w:rPr>
        <w:t xml:space="preserve">+</w:t>
      </w:r>
      <w:r>
        <w:rPr>
          <w:rStyle w:val="NormalTok"/>
        </w:rPr>
        <w:t xml:space="preserve"> rng.normal()</w:t>
      </w:r>
      <w:r>
        <w:br/>
      </w:r>
      <w:r>
        <w:rPr>
          <w:rStyle w:val="BuiltInTok"/>
        </w:rPr>
        <w:t xml:space="preserve">print</w:t>
      </w:r>
      <w:r>
        <w:rPr>
          <w:rStyle w:val="NormalTok"/>
        </w:rPr>
        <w:t xml:space="preserve">(</w:t>
      </w:r>
      <w:r>
        <w:rPr>
          <w:rStyle w:val="BuiltInTok"/>
        </w:rPr>
        <w:t xml:space="preserve">round</w:t>
      </w:r>
      <w:r>
        <w:rPr>
          <w:rStyle w:val="NormalTok"/>
        </w:rPr>
        <w:t xml:space="preserve">(x.mean(), </w:t>
      </w:r>
      <w:r>
        <w:rPr>
          <w:rStyle w:val="DecValTok"/>
        </w:rPr>
        <w:t xml:space="preserve">3</w:t>
      </w:r>
      <w:r>
        <w:rPr>
          <w:rStyle w:val="NormalTok"/>
        </w:rPr>
        <w:t xml:space="preserve">), </w:t>
      </w:r>
      <w:r>
        <w:rPr>
          <w:rStyle w:val="BuiltInTok"/>
        </w:rPr>
        <w:t xml:space="preserve">round</w:t>
      </w:r>
      <w:r>
        <w:rPr>
          <w:rStyle w:val="NormalTok"/>
        </w:rPr>
        <w:t xml:space="preserve">((x </w:t>
      </w:r>
      <w:r>
        <w:rPr>
          <w:rStyle w:val="OperatorTok"/>
        </w:rPr>
        <w:t xml:space="preserve">&lt;</w:t>
      </w:r>
      <w:r>
        <w:rPr>
          <w:rStyle w:val="NormalTok"/>
        </w:rPr>
        <w:t xml:space="preserve"> </w:t>
      </w:r>
      <w:r>
        <w:rPr>
          <w:rStyle w:val="DecValTok"/>
        </w:rPr>
        <w:t xml:space="preserve">0</w:t>
      </w:r>
      <w:r>
        <w:rPr>
          <w:rStyle w:val="NormalTok"/>
        </w:rPr>
        <w:t xml:space="preserve">).mean(), </w:t>
      </w:r>
      <w:r>
        <w:rPr>
          <w:rStyle w:val="DecValTok"/>
        </w:rPr>
        <w:t xml:space="preserve">3</w:t>
      </w:r>
      <w:r>
        <w:rPr>
          <w:rStyle w:val="NormalTok"/>
        </w:rPr>
        <w:t xml:space="preserve">))</w:t>
      </w:r>
      <w:r>
        <w:br/>
      </w:r>
      <w:r>
        <w:rPr>
          <w:rStyle w:val="ImportTok"/>
        </w:rPr>
        <w:t xml:space="preserve">import</w:t>
      </w:r>
      <w:r>
        <w:rPr>
          <w:rStyle w:val="NormalTok"/>
        </w:rPr>
        <w:t xml:space="preserve"> numpy </w:t>
      </w:r>
      <w:r>
        <w:rPr>
          <w:rStyle w:val="ImportTok"/>
        </w:rPr>
        <w:t xml:space="preserve">as</w:t>
      </w:r>
      <w:r>
        <w:rPr>
          <w:rStyle w:val="NormalTok"/>
        </w:rPr>
        <w:t xml:space="preserve"> np</w:t>
      </w:r>
    </w:p>
    <w:bookmarkEnd w:id="475"/>
    <w:bookmarkEnd w:id="476"/>
    <w:bookmarkStart w:id="503" w:name="stochastic-processes-and-option-pricing"/>
    <w:p>
      <w:pPr>
        <w:pStyle w:val="Heading1"/>
        <w:keepNext/>
        <w:pageBreakBefore/>
      </w:pPr>
      <w:r>
        <w:t>43</w:t>
        <w:tab/>
        <w:t>Stochastic Processes and Option Pricing</w:t>
      </w:r>
    </w:p>
    <w:p>
      <w:pPr>
        <w:pStyle w:val="FirstParagraph"/>
      </w:pPr>
      <w:r>
        <w:rPr>
          <w:i/>
          <w:iCs/>
        </w:rPr>
        <w:t xml:space="preserve">Opening question:</w:t>
      </w:r>
      <w:r>
        <w:t xml:space="preserve"> </w:t>
      </w:r>
      <w:r>
        <w:rPr>
          <w:b/>
          <w:bCs/>
        </w:rPr>
        <w:t xml:space="preserve">How can continuous-time uncertainty be simulated and translated into a no-arbitrage option value?</w:t>
      </w:r>
    </w:p>
    <w:bookmarkStart w:id="477" w:name="learning-objectives-23"/>
    <w:p>
      <w:pPr>
        <w:pStyle w:val="Heading2"/>
        <w:keepNext/>
      </w:pPr>
      <w:r>
        <w:t>43.1</w:t>
        <w:tab/>
        <w:t>Learning objectives</w:t>
      </w:r>
    </w:p>
    <w:p>
      <w:pPr>
        <w:pStyle w:val="Compact"/>
        <w:numPr>
          <w:ilvl w:val="0"/>
          <w:numId w:val="1095"/>
        </w:numPr>
      </w:pPr>
      <w:r>
        <w:t xml:space="preserve">Simulate Brownian motion and geometric Brownian motion.</w:t>
      </w:r>
    </w:p>
    <w:p>
      <w:pPr>
        <w:pStyle w:val="Compact"/>
        <w:numPr>
          <w:ilvl w:val="0"/>
          <w:numId w:val="1095"/>
        </w:numPr>
      </w:pPr>
      <w:r>
        <w:t xml:space="preserve">Explain Ito’s lemma intuitively.</w:t>
      </w:r>
    </w:p>
    <w:p>
      <w:pPr>
        <w:pStyle w:val="Compact"/>
        <w:numPr>
          <w:ilvl w:val="0"/>
          <w:numId w:val="1095"/>
        </w:numPr>
      </w:pPr>
      <w:r>
        <w:t xml:space="preserve">Calculate European option payoffs and Black-Scholes prices.</w:t>
      </w:r>
    </w:p>
    <w:p>
      <w:pPr>
        <w:pStyle w:val="Compact"/>
        <w:numPr>
          <w:ilvl w:val="0"/>
          <w:numId w:val="1095"/>
        </w:numPr>
      </w:pPr>
      <w:r>
        <w:t xml:space="preserve">Use Monte Carlo and sensitivity analysis.</w:t>
      </w:r>
    </w:p>
    <w:p>
      <w:pPr>
        <w:pStyle w:val="FirstParagraph"/>
      </w:pPr>
      <w:r>
        <w:rPr>
          <w:b/>
          <w:bCs/>
        </w:rPr>
        <w:t xml:space="preserve">Prerequisites:</w:t>
      </w:r>
      <w:r>
        <w:t xml:space="preserve"> </w:t>
      </w:r>
      <w:r>
        <w:t xml:space="preserve">Probability, logarithms, derivatives, and Chapter 22.</w:t>
      </w:r>
    </w:p>
    <w:p>
      <w:pPr>
        <w:pStyle w:val="BodyText"/>
      </w:pPr>
      <w:r>
        <w:rPr>
          <w:b/>
          <w:bCs/>
        </w:rPr>
        <w:t xml:space="preserve">Key terms:</w:t>
      </w:r>
      <w:r>
        <w:t xml:space="preserve"> </w:t>
      </w:r>
      <w:r>
        <w:t xml:space="preserve">Brownian motion, diffusion, Ito’s lemma, geometric Brownian motion, Black-Scholes, Greek.</w:t>
      </w:r>
    </w:p>
    <w:bookmarkEnd w:id="477"/>
    <w:bookmarkStart w:id="478" w:name="X85e42a64064bd03ca6ca2ad1edcaf4ce0fbe1ff"/>
    <w:p>
      <w:pPr>
        <w:pStyle w:val="Heading2"/>
        <w:keepNext/>
      </w:pPr>
      <w:r>
        <w:t>43.2</w:t>
        <w:tab/>
        <w:t>Brownian motion accumulates random increments</w:t>
      </w:r>
    </w:p>
    <w:p>
      <w:pPr>
        <w:pStyle w:val="FirstParagraph"/>
      </w:pPr>
      <w:r>
        <w:t xml:space="preserve">A standard Brownian motion begins at zero, has independent normally distributed increments, and variance that grows with elapsed time. Its paths are continuous but nowhere classically differentiable. A generalized diffusion adds drift and a volatility scale. Geometric Brownian motion multiplies both by the current price, keeping simulated prices positive under the exact lognormal solution.</w:t>
      </w:r>
    </w:p>
    <w:bookmarkEnd w:id="478"/>
    <w:bookmarkStart w:id="479" w:name="itos-lemma-adds-a-variance-correction"/>
    <w:p>
      <w:pPr>
        <w:pStyle w:val="Heading2"/>
        <w:keepNext/>
      </w:pPr>
      <w:r>
        <w:t>43.3</w:t>
        <w:tab/>
        <w:t>Ito’s lemma adds a variance correction</w:t>
      </w:r>
    </w:p>
    <w:p>
      <w:pPr>
        <w:pStyle w:val="FirstParagraph"/>
      </w:pPr>
      <w:r>
        <w:t xml:space="preserve">Ordinary calculus ignores squared infinitesimal changes, but a Brownian increment has magnitude proportional to the square root of time, so its square contributes at order dt. Ito’s lemma therefore adds a second-derivative term. Applied to log price under geometric Brownian motion, it produces drift mu minus one-half sigma squared. The result explains why expected arithmetic return and expected log growth differ.</w:t>
      </w:r>
    </w:p>
    <w:bookmarkEnd w:id="479"/>
    <w:bookmarkStart w:id="480" w:name="X1d11e57e9901f2140481c3c8499783ba7a84ba2"/>
    <w:p>
      <w:pPr>
        <w:pStyle w:val="Heading2"/>
        <w:keepNext/>
      </w:pPr>
      <w:r>
        <w:t>43.4</w:t>
        <w:tab/>
        <w:t>Black-Scholes is a model, not a market law</w:t>
      </w:r>
    </w:p>
    <w:p>
      <w:pPr>
        <w:pStyle w:val="FirstParagraph"/>
      </w:pPr>
      <w:r>
        <w:t xml:space="preserve">The Black-Scholes-Merton framework derives a European option price by constructing a locally hedged portfolio under assumptions including continuous trading, frictionless markets, constant volatility and rate, and a diffusion price process</w:t>
      </w:r>
      <w:r>
        <w:t xml:space="preserve"> </w:t>
      </w:r>
      <w:r>
        <w:t xml:space="preserve">(Black and Scholes 1973; Merton 1973)</w:t>
      </w:r>
      <w:r>
        <w:t xml:space="preserve">. Real markets violate these assumptions. The formula remains a useful benchmark, and sensitivity measures such as delta and vega reveal how the benchmark changes when inputs move.</w:t>
      </w:r>
    </w:p>
    <w:bookmarkEnd w:id="480"/>
    <w:bookmarkStart w:id="481" w:name="core-equations-11"/>
    <w:p>
      <w:pPr>
        <w:pStyle w:val="Heading2"/>
        <w:keepNext/>
      </w:pPr>
      <w:r>
        <w:t>43.5</w:t>
        <w:tab/>
        <w:t>Core equations</w:t>
      </w:r>
    </w:p>
    <w:p>
      <w:pPr>
        <w:pStyle w:val="FirstParagraph"/>
      </w:pPr>
      <w:r>
        <w:rPr>
          <w:b/>
          <w:bCs/>
        </w:rPr>
        <w:t xml:space="preserve">Geometric Brownian motion</w:t>
      </w:r>
    </w:p>
    <w:p>
      <w:pPr>
        <w:pStyle w:val="BodyText"/>
      </w:pPr>
      <m:oMathPara>
        <m:oMathParaPr>
          <m:jc m:val="center"/>
        </m:oMathParaPr>
        <m:oMath>
          <m:r>
            <m:t>d</m:t>
          </m:r>
          <m:sSub>
            <m:e>
              <m:r>
                <m:t>S</m:t>
              </m:r>
            </m:e>
            <m:sub>
              <m:r>
                <m:t>t</m:t>
              </m:r>
            </m:sub>
          </m:sSub>
          <m:r>
            <m:rPr>
              <m:sty m:val="p"/>
            </m:rPr>
            <m:t>=</m:t>
          </m:r>
          <m:r>
            <m:t>μ</m:t>
          </m:r>
          <m:sSub>
            <m:e>
              <m:r>
                <m:t>S</m:t>
              </m:r>
            </m:e>
            <m:sub>
              <m:r>
                <m:t>t</m:t>
              </m:r>
            </m:sub>
          </m:sSub>
          <m:r>
            <m:t> </m:t>
          </m:r>
          <m:r>
            <m:t>d</m:t>
          </m:r>
          <m:r>
            <m:t>t</m:t>
          </m:r>
          <m:r>
            <m:rPr>
              <m:sty m:val="p"/>
            </m:rPr>
            <m:t>+</m:t>
          </m:r>
          <m:r>
            <m:t>σ</m:t>
          </m:r>
          <m:sSub>
            <m:e>
              <m:r>
                <m:t>S</m:t>
              </m:r>
            </m:e>
            <m:sub>
              <m:r>
                <m:t>t</m:t>
              </m:r>
            </m:sub>
          </m:sSub>
          <m:r>
            <m:t> </m:t>
          </m:r>
          <m:r>
            <m:t>d</m:t>
          </m:r>
          <m:sSub>
            <m:e>
              <m:r>
                <m:t>W</m:t>
              </m:r>
            </m:e>
            <m:sub>
              <m:r>
                <m:t>t</m:t>
              </m:r>
            </m:sub>
          </m:sSub>
        </m:oMath>
      </m:oMathPara>
    </w:p>
    <w:p>
      <w:pPr>
        <w:pStyle w:val="FirstParagraph"/>
      </w:pPr>
      <w:r>
        <w:t xml:space="preserve">The exact log-price increment is normal with drift (mu-sigma^2/2)dt and variance sigma^2 dt.</w:t>
      </w:r>
    </w:p>
    <w:p>
      <w:pPr>
        <w:pStyle w:val="BodyText"/>
      </w:pPr>
      <w:r>
        <w:rPr>
          <w:b/>
          <w:bCs/>
        </w:rPr>
        <w:t xml:space="preserve">European call</w:t>
      </w:r>
    </w:p>
    <w:p>
      <w:pPr>
        <w:pStyle w:val="BodyText"/>
      </w:pPr>
      <m:oMathPara>
        <m:oMathParaPr>
          <m:jc m:val="center"/>
        </m:oMathParaPr>
        <m:oMath>
          <m:r>
            <m:t>C</m:t>
          </m:r>
          <m:r>
            <m:rPr>
              <m:sty m:val="p"/>
            </m:rPr>
            <m:t>=</m:t>
          </m:r>
          <m:sSub>
            <m:e>
              <m:r>
                <m:t>S</m:t>
              </m:r>
            </m:e>
            <m:sub>
              <m:r>
                <m:t>0</m:t>
              </m:r>
            </m:sub>
          </m:sSub>
          <m:r>
            <m:t>Φ</m:t>
          </m:r>
          <m:d>
            <m:dPr>
              <m:begChr m:val="("/>
              <m:endChr m:val=")"/>
              <m:sepChr m:val=""/>
              <m:grow/>
            </m:dPr>
            <m:e>
              <m:sSub>
                <m:e>
                  <m:r>
                    <m:t>d</m:t>
                  </m:r>
                </m:e>
                <m:sub>
                  <m:r>
                    <m:t>1</m:t>
                  </m:r>
                </m:sub>
              </m:sSub>
            </m:e>
          </m:d>
          <m:r>
            <m:rPr>
              <m:sty m:val="p"/>
            </m:rPr>
            <m:t>−</m:t>
          </m:r>
          <m:r>
            <m:t>K</m:t>
          </m:r>
          <m:sSup>
            <m:e>
              <m:r>
                <m:t>e</m:t>
              </m:r>
            </m:e>
            <m:sup>
              <m:r>
                <m:rPr>
                  <m:sty m:val="p"/>
                </m:rPr>
                <m:t>−</m:t>
              </m:r>
              <m:r>
                <m:t>r</m:t>
              </m:r>
              <m:r>
                <m:t>T</m:t>
              </m:r>
            </m:sup>
          </m:sSup>
          <m:r>
            <m:t>Φ</m:t>
          </m:r>
          <m:d>
            <m:dPr>
              <m:begChr m:val="("/>
              <m:endChr m:val=")"/>
              <m:sepChr m:val=""/>
              <m:grow/>
            </m:dPr>
            <m:e>
              <m:sSub>
                <m:e>
                  <m:r>
                    <m:t>d</m:t>
                  </m:r>
                </m:e>
                <m:sub>
                  <m:r>
                    <m:t>2</m:t>
                  </m:r>
                </m:sub>
              </m:sSub>
            </m:e>
          </m:d>
        </m:oMath>
      </m:oMathPara>
    </w:p>
    <w:p>
      <w:pPr>
        <w:pStyle w:val="FirstParagraph"/>
      </w:pPr>
      <w:r>
        <w:t xml:space="preserve">The Black-Scholes call price under the standard no-dividend assumptions.</w:t>
      </w:r>
    </w:p>
    <w:bookmarkEnd w:id="481"/>
    <w:bookmarkStart w:id="484" w:name="python-demonstrations-23"/>
    <w:p>
      <w:pPr>
        <w:pStyle w:val="Heading2"/>
        <w:keepNext/>
      </w:pPr>
      <w:r>
        <w:t>43.6</w:t>
        <w:tab/>
        <w:t>Python demonstrations</w:t>
      </w:r>
    </w:p>
    <w:bookmarkStart w:id="482" w:name="Xe60c23067e67be0c47949b27af133a1a4f2e7e7"/>
    <w:p>
      <w:pPr>
        <w:pStyle w:val="Heading3"/>
        <w:keepNext/>
      </w:pPr>
      <w:r>
        <w:t>43.6.1</w:t>
        <w:tab/>
        <w:t>Demonstration 24.1: Simulate geometric Brownian motion</w:t>
      </w:r>
    </w:p>
    <w:p>
      <w:pPr>
        <w:pStyle w:val="SourceCode"/>
        <w:shd w:fill="F6F8FA" w:val="clear"/>
      </w:pPr>
      <w:r>
        <w:rPr>
          <w:rStyle w:val="ImportTok"/>
        </w:rPr>
        <w:t xml:space="preserve">import</w:t>
      </w:r>
      <w:r>
        <w:rPr>
          <w:rStyle w:val="NormalTok"/>
        </w:rPr>
        <w:t xml:space="preserve"> numpy </w:t>
      </w:r>
      <w:r>
        <w:rPr>
          <w:rStyle w:val="ImportTok"/>
        </w:rPr>
        <w:t xml:space="preserve">as</w:t>
      </w:r>
      <w:r>
        <w:rPr>
          <w:rStyle w:val="NormalTok"/>
        </w:rPr>
        <w:t xml:space="preserve"> np</w:t>
      </w:r>
      <w:r>
        <w:br/>
      </w:r>
      <w:r>
        <w:br/>
      </w:r>
      <w:r>
        <w:rPr>
          <w:rStyle w:val="NormalTok"/>
        </w:rPr>
        <w:t xml:space="preserve">rng </w:t>
      </w:r>
      <w:r>
        <w:rPr>
          <w:rStyle w:val="OperatorTok"/>
        </w:rPr>
        <w:t xml:space="preserve">=</w:t>
      </w:r>
      <w:r>
        <w:rPr>
          <w:rStyle w:val="NormalTok"/>
        </w:rPr>
        <w:t xml:space="preserve"> np.random.default_rng(</w:t>
      </w:r>
      <w:r>
        <w:rPr>
          <w:rStyle w:val="DecValTok"/>
        </w:rPr>
        <w:t xml:space="preserve">24</w:t>
      </w:r>
      <w:r>
        <w:rPr>
          <w:rStyle w:val="NormalTok"/>
        </w:rPr>
        <w:t xml:space="preserve">)</w:t>
      </w:r>
      <w:r>
        <w:br/>
      </w:r>
      <w:r>
        <w:rPr>
          <w:rStyle w:val="NormalTok"/>
        </w:rPr>
        <w:t xml:space="preserve">S0, mu, sigma, T, steps </w:t>
      </w:r>
      <w:r>
        <w:rPr>
          <w:rStyle w:val="OperatorTok"/>
        </w:rPr>
        <w:t xml:space="preserve">=</w:t>
      </w:r>
      <w:r>
        <w:rPr>
          <w:rStyle w:val="NormalTok"/>
        </w:rPr>
        <w:t xml:space="preserve"> </w:t>
      </w:r>
      <w:r>
        <w:rPr>
          <w:rStyle w:val="DecValTok"/>
        </w:rPr>
        <w:t xml:space="preserve">100</w:t>
      </w:r>
      <w:r>
        <w:rPr>
          <w:rStyle w:val="NormalTok"/>
        </w:rPr>
        <w:t xml:space="preserve">, </w:t>
      </w:r>
      <w:r>
        <w:rPr>
          <w:rStyle w:val="FloatTok"/>
        </w:rPr>
        <w:t xml:space="preserve">0.06</w:t>
      </w:r>
      <w:r>
        <w:rPr>
          <w:rStyle w:val="NormalTok"/>
        </w:rPr>
        <w:t xml:space="preserve">, </w:t>
      </w:r>
      <w:r>
        <w:rPr>
          <w:rStyle w:val="FloatTok"/>
        </w:rPr>
        <w:t xml:space="preserve">0.20</w:t>
      </w:r>
      <w:r>
        <w:rPr>
          <w:rStyle w:val="NormalTok"/>
        </w:rPr>
        <w:t xml:space="preserve">, </w:t>
      </w:r>
      <w:r>
        <w:rPr>
          <w:rStyle w:val="DecValTok"/>
        </w:rPr>
        <w:t xml:space="preserve">1</w:t>
      </w:r>
      <w:r>
        <w:rPr>
          <w:rStyle w:val="NormalTok"/>
        </w:rPr>
        <w:t xml:space="preserve">, </w:t>
      </w:r>
      <w:r>
        <w:rPr>
          <w:rStyle w:val="DecValTok"/>
        </w:rPr>
        <w:t xml:space="preserve">252</w:t>
      </w:r>
      <w:r>
        <w:br/>
      </w:r>
      <w:r>
        <w:rPr>
          <w:rStyle w:val="NormalTok"/>
        </w:rPr>
        <w:t xml:space="preserve">dt </w:t>
      </w:r>
      <w:r>
        <w:rPr>
          <w:rStyle w:val="OperatorTok"/>
        </w:rPr>
        <w:t xml:space="preserve">=</w:t>
      </w:r>
      <w:r>
        <w:rPr>
          <w:rStyle w:val="NormalTok"/>
        </w:rPr>
        <w:t xml:space="preserve"> T</w:t>
      </w:r>
      <w:r>
        <w:rPr>
          <w:rStyle w:val="OperatorTok"/>
        </w:rPr>
        <w:t xml:space="preserve">/</w:t>
      </w:r>
      <w:r>
        <w:rPr>
          <w:rStyle w:val="NormalTok"/>
        </w:rPr>
        <w:t xml:space="preserve">steps</w:t>
      </w:r>
      <w:r>
        <w:br/>
      </w:r>
      <w:r>
        <w:rPr>
          <w:rStyle w:val="NormalTok"/>
        </w:rPr>
        <w:t xml:space="preserve">z </w:t>
      </w:r>
      <w:r>
        <w:rPr>
          <w:rStyle w:val="OperatorTok"/>
        </w:rPr>
        <w:t xml:space="preserve">=</w:t>
      </w:r>
      <w:r>
        <w:rPr>
          <w:rStyle w:val="NormalTok"/>
        </w:rPr>
        <w:t xml:space="preserve"> rng.normal(size</w:t>
      </w:r>
      <w:r>
        <w:rPr>
          <w:rStyle w:val="OperatorTok"/>
        </w:rPr>
        <w:t xml:space="preserve">=</w:t>
      </w:r>
      <w:r>
        <w:rPr>
          <w:rStyle w:val="NormalTok"/>
        </w:rPr>
        <w:t xml:space="preserve">steps)</w:t>
      </w:r>
      <w:r>
        <w:br/>
      </w:r>
      <w:r>
        <w:rPr>
          <w:rStyle w:val="NormalTok"/>
        </w:rPr>
        <w:t xml:space="preserve">log_path </w:t>
      </w:r>
      <w:r>
        <w:rPr>
          <w:rStyle w:val="OperatorTok"/>
        </w:rPr>
        <w:t xml:space="preserve">=</w:t>
      </w:r>
      <w:r>
        <w:rPr>
          <w:rStyle w:val="NormalTok"/>
        </w:rPr>
        <w:t xml:space="preserve"> np.log(S0) </w:t>
      </w:r>
      <w:r>
        <w:rPr>
          <w:rStyle w:val="OperatorTok"/>
        </w:rPr>
        <w:t xml:space="preserve">+</w:t>
      </w:r>
      <w:r>
        <w:rPr>
          <w:rStyle w:val="NormalTok"/>
        </w:rPr>
        <w:t xml:space="preserve"> np.cumsum((mu</w:t>
      </w:r>
      <w:r>
        <w:rPr>
          <w:rStyle w:val="OperatorTok"/>
        </w:rPr>
        <w:t xml:space="preserve">-</w:t>
      </w:r>
      <w:r>
        <w:rPr>
          <w:rStyle w:val="FloatTok"/>
        </w:rPr>
        <w:t xml:space="preserve">0.5</w:t>
      </w:r>
      <w:r>
        <w:rPr>
          <w:rStyle w:val="OperatorTok"/>
        </w:rPr>
        <w:t xml:space="preserve">*</w:t>
      </w:r>
      <w:r>
        <w:rPr>
          <w:rStyle w:val="NormalTok"/>
        </w:rPr>
        <w:t xml:space="preserve">sigma</w:t>
      </w:r>
      <w:r>
        <w:rPr>
          <w:rStyle w:val="OperatorTok"/>
        </w:rPr>
        <w:t xml:space="preserve">**</w:t>
      </w:r>
      <w:r>
        <w:rPr>
          <w:rStyle w:val="DecValTok"/>
        </w:rPr>
        <w:t xml:space="preserve">2</w:t>
      </w:r>
      <w:r>
        <w:rPr>
          <w:rStyle w:val="NormalTok"/>
        </w:rPr>
        <w:t xml:space="preserve">)</w:t>
      </w:r>
      <w:r>
        <w:rPr>
          <w:rStyle w:val="OperatorTok"/>
        </w:rPr>
        <w:t xml:space="preserve">*</w:t>
      </w:r>
      <w:r>
        <w:rPr>
          <w:rStyle w:val="NormalTok"/>
        </w:rPr>
        <w:t xml:space="preserve">dt </w:t>
      </w:r>
      <w:r>
        <w:rPr>
          <w:rStyle w:val="OperatorTok"/>
        </w:rPr>
        <w:t xml:space="preserve">+</w:t>
      </w:r>
      <w:r>
        <w:rPr>
          <w:rStyle w:val="NormalTok"/>
        </w:rPr>
        <w:t xml:space="preserve"> sigma</w:t>
      </w:r>
      <w:r>
        <w:rPr>
          <w:rStyle w:val="OperatorTok"/>
        </w:rPr>
        <w:t xml:space="preserve">*</w:t>
      </w:r>
      <w:r>
        <w:rPr>
          <w:rStyle w:val="NormalTok"/>
        </w:rPr>
        <w:t xml:space="preserve">np.sqrt(dt)</w:t>
      </w:r>
      <w:r>
        <w:rPr>
          <w:rStyle w:val="OperatorTok"/>
        </w:rPr>
        <w:t xml:space="preserve">*</w:t>
      </w:r>
      <w:r>
        <w:rPr>
          <w:rStyle w:val="NormalTok"/>
        </w:rPr>
        <w:t xml:space="preserve">z)</w:t>
      </w:r>
      <w:r>
        <w:br/>
      </w:r>
      <w:r>
        <w:rPr>
          <w:rStyle w:val="BuiltInTok"/>
        </w:rPr>
        <w:t xml:space="preserve">print</w:t>
      </w:r>
      <w:r>
        <w:rPr>
          <w:rStyle w:val="NormalTok"/>
        </w:rPr>
        <w:t xml:space="preserve">(</w:t>
      </w:r>
      <w:r>
        <w:rPr>
          <w:rStyle w:val="BuiltInTok"/>
        </w:rPr>
        <w:t xml:space="preserve">round</w:t>
      </w:r>
      <w:r>
        <w:rPr>
          <w:rStyle w:val="NormalTok"/>
        </w:rPr>
        <w:t xml:space="preserve">(np.exp(log_path[</w:t>
      </w:r>
      <w:r>
        <w:rPr>
          <w:rStyle w:val="OperatorTok"/>
        </w:rPr>
        <w:t xml:space="preserve">-</w:t>
      </w:r>
      <w:r>
        <w:rPr>
          <w:rStyle w:val="DecValTok"/>
        </w:rPr>
        <w:t xml:space="preserve">1</w:t>
      </w:r>
      <w:r>
        <w:rPr>
          <w:rStyle w:val="NormalTok"/>
        </w:rPr>
        <w:t xml:space="preserve">]), </w:t>
      </w:r>
      <w:r>
        <w:rPr>
          <w:rStyle w:val="DecValTok"/>
        </w:rPr>
        <w:t xml:space="preserve">2</w:t>
      </w:r>
      <w:r>
        <w:rPr>
          <w:rStyle w:val="NormalTok"/>
        </w:rPr>
        <w:t xml:space="preserve">))</w:t>
      </w:r>
    </w:p>
    <w:p>
      <w:pPr>
        <w:pStyle w:val="FirstParagraph"/>
      </w:pPr>
      <w:r>
        <w:rPr>
          <w:b/>
          <w:bCs/>
        </w:rPr>
        <w:t xml:space="preserve">Verified output</w:t>
      </w:r>
    </w:p>
    <w:p>
      <w:pPr>
        <w:pStyle w:val="SourceCode"/>
        <w:keepLines/>
        <w:shd w:fill="F6F8FA" w:val="clear"/>
      </w:pPr>
      <w:r>
        <w:rPr>
          <w:rStyle w:val="VerbatimChar"/>
        </w:rPr>
        <w:t xml:space="preserve">59.88</w:t>
      </w:r>
    </w:p>
    <w:p>
      <w:pPr>
        <w:pStyle w:val="FirstParagraph"/>
      </w:pPr>
      <w:r>
        <w:rPr>
          <w:b/>
          <w:bCs/>
        </w:rPr>
        <w:t xml:space="preserve">Interpretation.</w:t>
      </w:r>
      <w:r>
        <w:t xml:space="preserve"> </w:t>
      </w:r>
      <w:r>
        <w:t xml:space="preserve">One path is a possible model realization, not a forecast. Many paths are needed for a distribution or Monte Carlo estimate.</w:t>
      </w:r>
    </w:p>
    <w:bookmarkEnd w:id="482"/>
    <w:bookmarkStart w:id="483" w:name="X44506d8f9f7c95ebf48c53114b0d0b37003b613"/>
    <w:p>
      <w:pPr>
        <w:pStyle w:val="Heading3"/>
        <w:keepNext/>
      </w:pPr>
      <w:r>
        <w:t>43.6.2</w:t>
        <w:tab/>
        <w:t>Demonstration 24.2: Black-Scholes call price</w:t>
      </w:r>
    </w:p>
    <w:p>
      <w:pPr>
        <w:pStyle w:val="SourceCode"/>
        <w:keepLines/>
        <w:shd w:fill="F6F8FA" w:val="clear"/>
      </w:pPr>
      <w:r>
        <w:rPr>
          <w:rStyle w:val="ImportTok"/>
        </w:rPr>
        <w:t xml:space="preserve">import</w:t>
      </w:r>
      <w:r>
        <w:rPr>
          <w:rStyle w:val="NormalTok"/>
        </w:rPr>
        <w:t xml:space="preserve"> sys</w:t>
      </w:r>
      <w:r>
        <w:br/>
      </w:r>
      <w:r>
        <w:rPr>
          <w:rStyle w:val="ImportTok"/>
        </w:rPr>
        <w:t xml:space="preserve">from</w:t>
      </w:r>
      <w:r>
        <w:rPr>
          <w:rStyle w:val="NormalTok"/>
        </w:rPr>
        <w:t xml:space="preserve"> pathlib </w:t>
      </w:r>
      <w:r>
        <w:rPr>
          <w:rStyle w:val="ImportTok"/>
        </w:rPr>
        <w:t xml:space="preserve">import</w:t>
      </w:r>
      <w:r>
        <w:rPr>
          <w:rStyle w:val="NormalTok"/>
        </w:rPr>
        <w:t xml:space="preserve"> Path</w:t>
      </w:r>
      <w:r>
        <w:br/>
      </w:r>
      <w:r>
        <w:rPr>
          <w:rStyle w:val="NormalTok"/>
        </w:rPr>
        <w:t xml:space="preserve">sys.path.insert(</w:t>
      </w:r>
      <w:r>
        <w:rPr>
          <w:rStyle w:val="DecValTok"/>
        </w:rPr>
        <w:t xml:space="preserve">0</w:t>
      </w:r>
      <w:r>
        <w:rPr>
          <w:rStyle w:val="NormalTok"/>
        </w:rPr>
        <w:t xml:space="preserve">, </w:t>
      </w:r>
      <w:r>
        <w:rPr>
          <w:rStyle w:val="BuiltInTok"/>
        </w:rPr>
        <w:t xml:space="preserve">str</w:t>
      </w:r>
      <w:r>
        <w:rPr>
          <w:rStyle w:val="NormalTok"/>
        </w:rPr>
        <w:t xml:space="preserve">(Path(</w:t>
      </w:r>
      <w:r>
        <w:rPr>
          <w:rStyle w:val="StringTok"/>
        </w:rPr>
        <w:t xml:space="preserve">"scripts"</w:t>
      </w:r>
      <w:r>
        <w:rPr>
          <w:rStyle w:val="NormalTok"/>
        </w:rPr>
        <w:t xml:space="preserve">).resolve()))</w:t>
      </w:r>
      <w:r>
        <w:br/>
      </w:r>
      <w:r>
        <w:rPr>
          <w:rStyle w:val="ImportTok"/>
        </w:rPr>
        <w:t xml:space="preserve">from</w:t>
      </w:r>
      <w:r>
        <w:rPr>
          <w:rStyle w:val="NormalTok"/>
        </w:rPr>
        <w:t xml:space="preserve"> ceteris_examples </w:t>
      </w:r>
      <w:r>
        <w:rPr>
          <w:rStyle w:val="ImportTok"/>
        </w:rPr>
        <w:t xml:space="preserve">import</w:t>
      </w:r>
      <w:r>
        <w:rPr>
          <w:rStyle w:val="NormalTok"/>
        </w:rPr>
        <w:t xml:space="preserve"> black_scholes_call</w:t>
      </w:r>
      <w:r>
        <w:br/>
      </w:r>
      <w:r>
        <w:br/>
      </w:r>
      <w:r>
        <w:rPr>
          <w:rStyle w:val="NormalTok"/>
        </w:rPr>
        <w:t xml:space="preserve">price </w:t>
      </w:r>
      <w:r>
        <w:rPr>
          <w:rStyle w:val="OperatorTok"/>
        </w:rPr>
        <w:t xml:space="preserve">=</w:t>
      </w:r>
      <w:r>
        <w:rPr>
          <w:rStyle w:val="NormalTok"/>
        </w:rPr>
        <w:t xml:space="preserve"> black_scholes_call(S</w:t>
      </w:r>
      <w:r>
        <w:rPr>
          <w:rStyle w:val="OperatorTok"/>
        </w:rPr>
        <w:t xml:space="preserve">=</w:t>
      </w:r>
      <w:r>
        <w:rPr>
          <w:rStyle w:val="DecValTok"/>
        </w:rPr>
        <w:t xml:space="preserve">100</w:t>
      </w:r>
      <w:r>
        <w:rPr>
          <w:rStyle w:val="NormalTok"/>
        </w:rPr>
        <w:t xml:space="preserve">, K</w:t>
      </w:r>
      <w:r>
        <w:rPr>
          <w:rStyle w:val="OperatorTok"/>
        </w:rPr>
        <w:t xml:space="preserve">=</w:t>
      </w:r>
      <w:r>
        <w:rPr>
          <w:rStyle w:val="DecValTok"/>
        </w:rPr>
        <w:t xml:space="preserve">100</w:t>
      </w:r>
      <w:r>
        <w:rPr>
          <w:rStyle w:val="NormalTok"/>
        </w:rPr>
        <w:t xml:space="preserve">, T</w:t>
      </w:r>
      <w:r>
        <w:rPr>
          <w:rStyle w:val="OperatorTok"/>
        </w:rPr>
        <w:t xml:space="preserve">=</w:t>
      </w:r>
      <w:r>
        <w:rPr>
          <w:rStyle w:val="DecValTok"/>
        </w:rPr>
        <w:t xml:space="preserve">1</w:t>
      </w:r>
      <w:r>
        <w:rPr>
          <w:rStyle w:val="NormalTok"/>
        </w:rPr>
        <w:t xml:space="preserve">, r</w:t>
      </w:r>
      <w:r>
        <w:rPr>
          <w:rStyle w:val="OperatorTok"/>
        </w:rPr>
        <w:t xml:space="preserve">=</w:t>
      </w:r>
      <w:r>
        <w:rPr>
          <w:rStyle w:val="FloatTok"/>
        </w:rPr>
        <w:t xml:space="preserve">0.03</w:t>
      </w:r>
      <w:r>
        <w:rPr>
          <w:rStyle w:val="NormalTok"/>
        </w:rPr>
        <w:t xml:space="preserve">, sigma</w:t>
      </w:r>
      <w:r>
        <w:rPr>
          <w:rStyle w:val="OperatorTok"/>
        </w:rPr>
        <w:t xml:space="preserve">=</w:t>
      </w:r>
      <w:r>
        <w:rPr>
          <w:rStyle w:val="FloatTok"/>
        </w:rPr>
        <w:t xml:space="preserve">0.20</w:t>
      </w:r>
      <w:r>
        <w:rPr>
          <w:rStyle w:val="NormalTok"/>
        </w:rPr>
        <w:t xml:space="preserve">)</w:t>
      </w:r>
      <w:r>
        <w:br/>
      </w:r>
      <w:r>
        <w:rPr>
          <w:rStyle w:val="BuiltInTok"/>
        </w:rPr>
        <w:t xml:space="preserve">print</w:t>
      </w:r>
      <w:r>
        <w:rPr>
          <w:rStyle w:val="NormalTok"/>
        </w:rPr>
        <w:t xml:space="preserve">(</w:t>
      </w:r>
      <w:r>
        <w:rPr>
          <w:rStyle w:val="BuiltInTok"/>
        </w:rPr>
        <w:t xml:space="preserve">round</w:t>
      </w:r>
      <w:r>
        <w:rPr>
          <w:rStyle w:val="NormalTok"/>
        </w:rPr>
        <w:t xml:space="preserve">(</w:t>
      </w:r>
      <w:r>
        <w:rPr>
          <w:rStyle w:val="BuiltInTok"/>
        </w:rPr>
        <w:t xml:space="preserve">float</w:t>
      </w:r>
      <w:r>
        <w:rPr>
          <w:rStyle w:val="NormalTok"/>
        </w:rPr>
        <w:t xml:space="preserve">(price), </w:t>
      </w:r>
      <w:r>
        <w:rPr>
          <w:rStyle w:val="DecValTok"/>
        </w:rPr>
        <w:t xml:space="preserve">4</w:t>
      </w:r>
      <w:r>
        <w:rPr>
          <w:rStyle w:val="NormalTok"/>
        </w:rPr>
        <w:t xml:space="preserve">))</w:t>
      </w:r>
    </w:p>
    <w:p>
      <w:pPr>
        <w:pStyle w:val="FirstParagraph"/>
      </w:pPr>
      <w:r>
        <w:rPr>
          <w:b/>
          <w:bCs/>
        </w:rPr>
        <w:t xml:space="preserve">Verified output</w:t>
      </w:r>
    </w:p>
    <w:p>
      <w:pPr>
        <w:pStyle w:val="SourceCode"/>
        <w:keepLines/>
        <w:shd w:fill="F6F8FA" w:val="clear"/>
      </w:pPr>
      <w:r>
        <w:rPr>
          <w:rStyle w:val="VerbatimChar"/>
        </w:rPr>
        <w:t xml:space="preserve">9.4134</w:t>
      </w:r>
    </w:p>
    <w:p>
      <w:pPr>
        <w:pStyle w:val="FirstParagraph"/>
      </w:pPr>
      <w:r>
        <w:rPr>
          <w:b/>
          <w:bCs/>
        </w:rPr>
        <w:t xml:space="preserve">Interpretation.</w:t>
      </w:r>
      <w:r>
        <w:t xml:space="preserve"> </w:t>
      </w:r>
      <w:r>
        <w:t xml:space="preserve">The value is conditional on the model inputs and assumptions. It is not a trading recommendation or a guarantee of market price.</w:t>
      </w:r>
    </w:p>
    <w:bookmarkEnd w:id="483"/>
    <w:bookmarkEnd w:id="484"/>
    <w:bookmarkStart w:id="497" w:name="visual-evidence-23"/>
    <w:p>
      <w:pPr>
        <w:pStyle w:val="Heading2"/>
        <w:keepNext/>
      </w:pPr>
      <w:r>
        <w:t>43.7</w:t>
        <w:tab/>
        <w:t>Visual evidence</w:t>
      </w:r>
    </w:p>
    <w:p>
      <w:pPr>
        <w:pStyle w:val="FirstParagraph"/>
      </w:pPr>
      <w:r>
        <w:drawing>
          <wp:inline>
            <wp:extent cx="4907280" cy="2637663"/>
            <wp:effectExtent b="0" l="0" r="0" t="0"/>
            <wp:docPr descr="Image: rId485.png" title="" id="486" name="Picture"/>
            <a:graphic>
              <a:graphicData uri="http://schemas.openxmlformats.org/drawingml/2006/picture">
                <pic:pic>
                  <pic:nvPicPr>
                    <pic:cNvPr descr="figures/fig_35_brownian_paths.png" id="487" name="Picture"/>
                    <pic:cNvPicPr>
                      <a:picLocks noChangeArrowheads="1" noChangeAspect="1"/>
                    </pic:cNvPicPr>
                  </pic:nvPicPr>
                  <pic:blipFill>
                    <a:blip r:embed="rId485"/>
                    <a:stretch>
                      <a:fillRect/>
                    </a:stretch>
                  </pic:blipFill>
                  <pic:spPr bwMode="auto">
                    <a:xfrm>
                      <a:off x="0" y="0"/>
                      <a:ext cx="4907280" cy="2637663"/>
                    </a:xfrm>
                    <a:prstGeom prst="rect">
                      <a:avLst/>
                    </a:prstGeom>
                    <a:noFill/>
                    <a:ln w="9525">
                      <a:noFill/>
                      <a:headEnd/>
                      <a:tailEnd/>
                    </a:ln>
                  </pic:spPr>
                </pic:pic>
              </a:graphicData>
            </a:graphic>
          </wp:inline>
        </w:drawing>
      </w:r>
    </w:p>
    <w:p>
      <w:pPr>
        <w:pStyle w:val="Caption"/>
        <w:keepNext w:val="0"/>
        <w:jc w:val="center"/>
      </w:pPr>
      <w:r>
        <w:rPr>
          <w:b/>
          <w:bCs/>
        </w:rPr>
        <w:t xml:space="preserve">Figure 35.</w:t>
      </w:r>
      <w:r>
        <w:t xml:space="preserve"> </w:t>
      </w:r>
      <w:r>
        <w:t xml:space="preserve">Six simulated standard Brownian-motion paths.</w:t>
      </w:r>
    </w:p>
    <w:p>
      <w:pPr>
        <w:pStyle w:val="BodyText"/>
      </w:pPr>
      <w:r>
        <w:drawing>
          <wp:inline>
            <wp:extent cx="4907280" cy="2616404"/>
            <wp:effectExtent b="0" l="0" r="0" t="0"/>
            <wp:docPr descr="Image: rId488.png" title="" id="489" name="Picture"/>
            <a:graphic>
              <a:graphicData uri="http://schemas.openxmlformats.org/drawingml/2006/picture">
                <pic:pic>
                  <pic:nvPicPr>
                    <pic:cNvPr descr="figures/fig_36_gbm_paths.png" id="490" name="Picture"/>
                    <pic:cNvPicPr>
                      <a:picLocks noChangeArrowheads="1" noChangeAspect="1"/>
                    </pic:cNvPicPr>
                  </pic:nvPicPr>
                  <pic:blipFill>
                    <a:blip r:embed="rId488"/>
                    <a:stretch>
                      <a:fillRect/>
                    </a:stretch>
                  </pic:blipFill>
                  <pic:spPr bwMode="auto">
                    <a:xfrm>
                      <a:off x="0" y="0"/>
                      <a:ext cx="4907280" cy="2616404"/>
                    </a:xfrm>
                    <a:prstGeom prst="rect">
                      <a:avLst/>
                    </a:prstGeom>
                    <a:noFill/>
                    <a:ln w="9525">
                      <a:noFill/>
                      <a:headEnd/>
                      <a:tailEnd/>
                    </a:ln>
                  </pic:spPr>
                </pic:pic>
              </a:graphicData>
            </a:graphic>
          </wp:inline>
        </w:drawing>
      </w:r>
    </w:p>
    <w:p>
      <w:pPr>
        <w:pStyle w:val="Caption"/>
        <w:keepNext w:val="0"/>
        <w:jc w:val="center"/>
      </w:pPr>
      <w:r>
        <w:rPr>
          <w:b/>
          <w:bCs/>
        </w:rPr>
        <w:t xml:space="preserve">Figure 36.</w:t>
      </w:r>
      <w:r>
        <w:t xml:space="preserve"> </w:t>
      </w:r>
      <w:r>
        <w:t xml:space="preserve">Forty one-year geometric Brownian-motion price paths.</w:t>
      </w:r>
    </w:p>
    <w:p>
      <w:pPr>
        <w:pStyle w:val="BodyText"/>
      </w:pPr>
      <w:r>
        <w:drawing>
          <wp:inline>
            <wp:extent cx="4907280" cy="2963666"/>
            <wp:effectExtent b="0" l="0" r="0" t="0"/>
            <wp:docPr descr="Image: rId491.png" title="" id="492" name="Picture"/>
            <a:graphic>
              <a:graphicData uri="http://schemas.openxmlformats.org/drawingml/2006/picture">
                <pic:pic>
                  <pic:nvPicPr>
                    <pic:cNvPr descr="figures/fig_37_option_payoffs.png" id="493" name="Picture"/>
                    <pic:cNvPicPr>
                      <a:picLocks noChangeArrowheads="1" noChangeAspect="1"/>
                    </pic:cNvPicPr>
                  </pic:nvPicPr>
                  <pic:blipFill>
                    <a:blip r:embed="rId491"/>
                    <a:stretch>
                      <a:fillRect/>
                    </a:stretch>
                  </pic:blipFill>
                  <pic:spPr bwMode="auto">
                    <a:xfrm>
                      <a:off x="0" y="0"/>
                      <a:ext cx="4907280" cy="2963666"/>
                    </a:xfrm>
                    <a:prstGeom prst="rect">
                      <a:avLst/>
                    </a:prstGeom>
                    <a:noFill/>
                    <a:ln w="9525">
                      <a:noFill/>
                      <a:headEnd/>
                      <a:tailEnd/>
                    </a:ln>
                  </pic:spPr>
                </pic:pic>
              </a:graphicData>
            </a:graphic>
          </wp:inline>
        </w:drawing>
      </w:r>
    </w:p>
    <w:p>
      <w:pPr>
        <w:pStyle w:val="Caption"/>
        <w:keepNext w:val="0"/>
        <w:jc w:val="center"/>
      </w:pPr>
      <w:r>
        <w:rPr>
          <w:b/>
          <w:bCs/>
        </w:rPr>
        <w:t xml:space="preserve">Figure 37.</w:t>
      </w:r>
      <w:r>
        <w:t xml:space="preserve"> </w:t>
      </w:r>
      <w:r>
        <w:t xml:space="preserve">European call and put payoffs at a strike of 100.</w:t>
      </w:r>
    </w:p>
    <w:p>
      <w:pPr>
        <w:pStyle w:val="BodyText"/>
      </w:pPr>
      <w:r>
        <w:drawing>
          <wp:inline>
            <wp:extent cx="4797468" cy="3983276"/>
            <wp:effectExtent b="0" l="0" r="0" t="0"/>
            <wp:docPr descr="Image: rId494.png" title="" id="495" name="Picture"/>
            <a:graphic>
              <a:graphicData uri="http://schemas.openxmlformats.org/drawingml/2006/picture">
                <pic:pic>
                  <pic:nvPicPr>
                    <pic:cNvPr descr="figures/fig_38_black_scholes_surface.png" id="496" name="Picture"/>
                    <pic:cNvPicPr>
                      <a:picLocks noChangeArrowheads="1" noChangeAspect="1"/>
                    </pic:cNvPicPr>
                  </pic:nvPicPr>
                  <pic:blipFill>
                    <a:blip r:embed="rId494"/>
                    <a:stretch>
                      <a:fillRect/>
                    </a:stretch>
                  </pic:blipFill>
                  <pic:spPr bwMode="auto">
                    <a:xfrm>
                      <a:off x="0" y="0"/>
                      <a:ext cx="4797468" cy="3983276"/>
                    </a:xfrm>
                    <a:prstGeom prst="rect">
                      <a:avLst/>
                    </a:prstGeom>
                    <a:noFill/>
                    <a:ln w="9525">
                      <a:noFill/>
                      <a:headEnd/>
                      <a:tailEnd/>
                    </a:ln>
                  </pic:spPr>
                </pic:pic>
              </a:graphicData>
            </a:graphic>
          </wp:inline>
        </w:drawing>
      </w:r>
    </w:p>
    <w:p>
      <w:pPr>
        <w:pStyle w:val="Caption"/>
        <w:keepNext w:val="0"/>
        <w:jc w:val="center"/>
      </w:pPr>
      <w:r>
        <w:rPr>
          <w:b/>
          <w:bCs/>
        </w:rPr>
        <w:t xml:space="preserve">Figure 38.</w:t>
      </w:r>
      <w:r>
        <w:t xml:space="preserve"> </w:t>
      </w:r>
      <w:r>
        <w:t xml:space="preserve">Black-Scholes European call prices across stock prices and volatilities.</w:t>
      </w:r>
    </w:p>
    <w:bookmarkEnd w:id="497"/>
    <w:bookmarkStart w:id="498" w:name="reference-table-23"/>
    <w:p>
      <w:pPr>
        <w:pStyle w:val="Heading2"/>
        <w:keepNext/>
      </w:pPr>
      <w:r>
        <w:t>43.8</w:t>
        <w:tab/>
        <w:t>Reference table</w:t>
      </w:r>
    </w:p>
    <w:p>
      <w:pPr>
        <w:pStyle w:val="Caption"/>
        <w:keepNext/>
        <w:jc w:val="center"/>
      </w:pPr>
      <w:r>
        <w:rPr>
          <w:b/>
          <w:bCs/>
        </w:rPr>
        <w:t xml:space="preserve">Table 24. Chapter reference.</w:t>
      </w:r>
    </w:p>
    <w:tbl>
      <w:tblPr>
        <w:tblStyle w:val="Table"/>
        <w:tblW w:type="pct" w:w="5000"/>
        <w:jc w:val="center"/>
        <w:tblLayout w:type="autofit"/>
        <w:tblLook w:firstRow="1" w:lastRow="0" w:firstColumn="0" w:lastColumn="0" w:noHBand="0" w:noVBand="0" w:val="0020"/>
      </w:tblPr>
      <w:tblGrid>
        <w:gridCol w:w="2640"/>
        <w:gridCol w:w="2640"/>
        <w:gridCol w:w="2640"/>
      </w:tblGrid>
      <w:tr>
        <w:trPr>
          <w:tblHeader w:val="on"/>
          <w:tblHeader w:val="true"/>
          <w:cantSplit/>
        </w:trPr>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0A2342" w:val="clear"/>
          </w:tcPr>
          <w:p>
            <w:pPr>
              <w:pStyle w:val="Compact"/>
              <w:spacing w:before="30" w:after="30" w:line="240" w:lineRule="auto"/>
              <w:jc w:val="left"/>
            </w:pPr>
            <w:r>
              <w:rPr>
                <w:rFonts w:ascii="Noto Sans" w:hAnsi="Noto Sans" w:eastAsia="Noto Sans" w:cs="Noto Sans"/>
                <w:b/>
                <w:color w:val="FFFFFF"/>
                <w:sz w:val="16"/>
              </w:rPr>
              <w:t xml:space="preserve">Input</w:t>
            </w:r>
          </w:p>
        </w:tc>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0A2342" w:val="clear"/>
          </w:tcPr>
          <w:p>
            <w:pPr>
              <w:pStyle w:val="Compact"/>
              <w:spacing w:before="30" w:after="30" w:line="240" w:lineRule="auto"/>
              <w:jc w:val="left"/>
            </w:pPr>
            <w:r>
              <w:rPr>
                <w:rFonts w:ascii="Noto Sans" w:hAnsi="Noto Sans" w:eastAsia="Noto Sans" w:cs="Noto Sans"/>
                <w:b/>
                <w:color w:val="FFFFFF"/>
                <w:sz w:val="16"/>
              </w:rPr>
              <w:t xml:space="preserve">Effect on call price</w:t>
            </w:r>
          </w:p>
        </w:tc>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0A2342" w:val="clear"/>
          </w:tcPr>
          <w:p>
            <w:pPr>
              <w:pStyle w:val="Compact"/>
              <w:spacing w:before="30" w:after="30" w:line="240" w:lineRule="auto"/>
              <w:jc w:val="left"/>
            </w:pPr>
            <w:r>
              <w:rPr>
                <w:rFonts w:ascii="Noto Sans" w:hAnsi="Noto Sans" w:eastAsia="Noto Sans" w:cs="Noto Sans"/>
                <w:b/>
                <w:color w:val="FFFFFF"/>
                <w:sz w:val="16"/>
              </w:rPr>
              <w:t xml:space="preserve">Caution</w:t>
            </w:r>
          </w:p>
        </w:tc>
      </w:tr>
      <w:tr>
        <w:trPr>
          <w:cantSplit/>
        </w:trPr>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EEF4F8" w:val="clear"/>
          </w:tcPr>
          <w:p>
            <w:pPr>
              <w:pStyle w:val="Compact"/>
              <w:spacing w:before="30" w:after="30" w:line="240" w:lineRule="auto"/>
              <w:jc w:val="left"/>
            </w:pPr>
            <w:r>
              <w:rPr>
                <w:rFonts w:ascii="Noto Sans" w:hAnsi="Noto Sans" w:eastAsia="Noto Sans" w:cs="Noto Sans"/>
                <w:b w:val="0"/>
                <w:color w:val="18212B"/>
                <w:sz w:val="16"/>
              </w:rPr>
              <w:t xml:space="preserve">spot S</w:t>
            </w:r>
          </w:p>
        </w:tc>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EEF4F8" w:val="clear"/>
          </w:tcPr>
          <w:p>
            <w:pPr>
              <w:pStyle w:val="Compact"/>
              <w:spacing w:before="30" w:after="30" w:line="240" w:lineRule="auto"/>
              <w:jc w:val="left"/>
            </w:pPr>
            <w:r>
              <w:rPr>
                <w:rFonts w:ascii="Noto Sans" w:hAnsi="Noto Sans" w:eastAsia="Noto Sans" w:cs="Noto Sans"/>
                <w:b w:val="0"/>
                <w:color w:val="18212B"/>
                <w:sz w:val="16"/>
              </w:rPr>
              <w:t xml:space="preserve">usually positive</w:t>
            </w:r>
          </w:p>
        </w:tc>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EEF4F8" w:val="clear"/>
          </w:tcPr>
          <w:p>
            <w:pPr>
              <w:pStyle w:val="Compact"/>
              <w:spacing w:before="30" w:after="30" w:line="240" w:lineRule="auto"/>
              <w:jc w:val="left"/>
            </w:pPr>
            <w:r>
              <w:rPr>
                <w:rFonts w:ascii="Noto Sans" w:hAnsi="Noto Sans" w:eastAsia="Noto Sans" w:cs="Noto Sans"/>
                <w:b w:val="0"/>
                <w:color w:val="18212B"/>
                <w:sz w:val="16"/>
              </w:rPr>
              <w:t xml:space="preserve">moneyness matters</w:t>
            </w:r>
          </w:p>
        </w:tc>
      </w:tr>
      <w:tr>
        <w:trPr>
          <w:cantSplit/>
        </w:trPr>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FFFFFF" w:val="clear"/>
          </w:tcPr>
          <w:p>
            <w:pPr>
              <w:pStyle w:val="Compact"/>
              <w:spacing w:before="30" w:after="30" w:line="240" w:lineRule="auto"/>
              <w:jc w:val="left"/>
            </w:pPr>
            <w:r>
              <w:rPr>
                <w:rFonts w:ascii="Noto Sans" w:hAnsi="Noto Sans" w:eastAsia="Noto Sans" w:cs="Noto Sans"/>
                <w:b w:val="0"/>
                <w:color w:val="18212B"/>
                <w:sz w:val="16"/>
              </w:rPr>
              <w:t xml:space="preserve">strike K</w:t>
            </w:r>
          </w:p>
        </w:tc>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FFFFFF" w:val="clear"/>
          </w:tcPr>
          <w:p>
            <w:pPr>
              <w:pStyle w:val="Compact"/>
              <w:spacing w:before="30" w:after="30" w:line="240" w:lineRule="auto"/>
              <w:jc w:val="left"/>
            </w:pPr>
            <w:r>
              <w:rPr>
                <w:rFonts w:ascii="Noto Sans" w:hAnsi="Noto Sans" w:eastAsia="Noto Sans" w:cs="Noto Sans"/>
                <w:b w:val="0"/>
                <w:color w:val="18212B"/>
                <w:sz w:val="16"/>
              </w:rPr>
              <w:t xml:space="preserve">usually negative</w:t>
            </w:r>
          </w:p>
        </w:tc>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FFFFFF" w:val="clear"/>
          </w:tcPr>
          <w:p>
            <w:pPr>
              <w:pStyle w:val="Compact"/>
              <w:spacing w:before="30" w:after="30" w:line="240" w:lineRule="auto"/>
              <w:jc w:val="left"/>
            </w:pPr>
            <w:r>
              <w:rPr>
                <w:rFonts w:ascii="Noto Sans" w:hAnsi="Noto Sans" w:eastAsia="Noto Sans" w:cs="Noto Sans"/>
                <w:b w:val="0"/>
                <w:color w:val="18212B"/>
                <w:sz w:val="16"/>
              </w:rPr>
              <w:t xml:space="preserve">contract definition</w:t>
            </w:r>
          </w:p>
        </w:tc>
      </w:tr>
      <w:tr>
        <w:trPr>
          <w:cantSplit/>
        </w:trPr>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EEF4F8" w:val="clear"/>
          </w:tcPr>
          <w:p>
            <w:pPr>
              <w:pStyle w:val="Compact"/>
              <w:spacing w:before="30" w:after="30" w:line="240" w:lineRule="auto"/>
              <w:jc w:val="left"/>
            </w:pPr>
            <w:r>
              <w:rPr>
                <w:rFonts w:ascii="Noto Sans" w:hAnsi="Noto Sans" w:eastAsia="Noto Sans" w:cs="Noto Sans"/>
                <w:b w:val="0"/>
                <w:color w:val="18212B"/>
                <w:sz w:val="16"/>
              </w:rPr>
              <w:t xml:space="preserve">time T</w:t>
            </w:r>
          </w:p>
        </w:tc>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EEF4F8" w:val="clear"/>
          </w:tcPr>
          <w:p>
            <w:pPr>
              <w:pStyle w:val="Compact"/>
              <w:spacing w:before="30" w:after="30" w:line="240" w:lineRule="auto"/>
              <w:jc w:val="left"/>
            </w:pPr>
            <w:r>
              <w:rPr>
                <w:rFonts w:ascii="Noto Sans" w:hAnsi="Noto Sans" w:eastAsia="Noto Sans" w:cs="Noto Sans"/>
                <w:b w:val="0"/>
                <w:color w:val="18212B"/>
                <w:sz w:val="16"/>
              </w:rPr>
              <w:t xml:space="preserve">often positive</w:t>
            </w:r>
          </w:p>
        </w:tc>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EEF4F8" w:val="clear"/>
          </w:tcPr>
          <w:p>
            <w:pPr>
              <w:pStyle w:val="Compact"/>
              <w:spacing w:before="30" w:after="30" w:line="240" w:lineRule="auto"/>
              <w:jc w:val="left"/>
            </w:pPr>
            <w:r>
              <w:rPr>
                <w:rFonts w:ascii="Noto Sans" w:hAnsi="Noto Sans" w:eastAsia="Noto Sans" w:cs="Noto Sans"/>
                <w:b w:val="0"/>
                <w:color w:val="18212B"/>
                <w:sz w:val="16"/>
              </w:rPr>
              <w:t xml:space="preserve">theta can vary</w:t>
            </w:r>
          </w:p>
        </w:tc>
      </w:tr>
      <w:tr>
        <w:trPr>
          <w:cantSplit/>
        </w:trPr>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FFFFFF" w:val="clear"/>
          </w:tcPr>
          <w:p>
            <w:pPr>
              <w:pStyle w:val="Compact"/>
              <w:spacing w:before="30" w:after="30" w:line="240" w:lineRule="auto"/>
              <w:jc w:val="left"/>
            </w:pPr>
            <w:r>
              <w:rPr>
                <w:rFonts w:ascii="Noto Sans" w:hAnsi="Noto Sans" w:eastAsia="Noto Sans" w:cs="Noto Sans"/>
                <w:b w:val="0"/>
                <w:color w:val="18212B"/>
                <w:sz w:val="16"/>
              </w:rPr>
              <w:t xml:space="preserve">rate r</w:t>
            </w:r>
          </w:p>
        </w:tc>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FFFFFF" w:val="clear"/>
          </w:tcPr>
          <w:p>
            <w:pPr>
              <w:pStyle w:val="Compact"/>
              <w:spacing w:before="30" w:after="30" w:line="240" w:lineRule="auto"/>
              <w:jc w:val="left"/>
            </w:pPr>
            <w:r>
              <w:rPr>
                <w:rFonts w:ascii="Noto Sans" w:hAnsi="Noto Sans" w:eastAsia="Noto Sans" w:cs="Noto Sans"/>
                <w:b w:val="0"/>
                <w:color w:val="18212B"/>
                <w:sz w:val="16"/>
              </w:rPr>
              <w:t xml:space="preserve">usually positive for calls</w:t>
            </w:r>
          </w:p>
        </w:tc>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FFFFFF" w:val="clear"/>
          </w:tcPr>
          <w:p>
            <w:pPr>
              <w:pStyle w:val="Compact"/>
              <w:spacing w:before="30" w:after="30" w:line="240" w:lineRule="auto"/>
              <w:jc w:val="left"/>
            </w:pPr>
            <w:r>
              <w:rPr>
                <w:rFonts w:ascii="Noto Sans" w:hAnsi="Noto Sans" w:eastAsia="Noto Sans" w:cs="Noto Sans"/>
                <w:b w:val="0"/>
                <w:color w:val="18212B"/>
                <w:sz w:val="16"/>
              </w:rPr>
              <w:t xml:space="preserve">yield conventions</w:t>
            </w:r>
          </w:p>
        </w:tc>
      </w:tr>
      <w:tr>
        <w:trPr>
          <w:cantSplit/>
        </w:trPr>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EEF4F8" w:val="clear"/>
          </w:tcPr>
          <w:p>
            <w:pPr>
              <w:pStyle w:val="Compact"/>
              <w:spacing w:before="30" w:after="30" w:line="240" w:lineRule="auto"/>
              <w:jc w:val="left"/>
            </w:pPr>
            <w:r>
              <w:rPr>
                <w:rFonts w:ascii="Noto Sans" w:hAnsi="Noto Sans" w:eastAsia="Noto Sans" w:cs="Noto Sans"/>
                <w:b w:val="0"/>
                <w:color w:val="18212B"/>
                <w:sz w:val="16"/>
              </w:rPr>
              <w:t xml:space="preserve">volatility sigma</w:t>
            </w:r>
          </w:p>
        </w:tc>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EEF4F8" w:val="clear"/>
          </w:tcPr>
          <w:p>
            <w:pPr>
              <w:pStyle w:val="Compact"/>
              <w:spacing w:before="30" w:after="30" w:line="240" w:lineRule="auto"/>
              <w:jc w:val="left"/>
            </w:pPr>
            <w:r>
              <w:rPr>
                <w:rFonts w:ascii="Noto Sans" w:hAnsi="Noto Sans" w:eastAsia="Noto Sans" w:cs="Noto Sans"/>
                <w:b w:val="0"/>
                <w:color w:val="18212B"/>
                <w:sz w:val="16"/>
              </w:rPr>
              <w:t xml:space="preserve">positive vega</w:t>
            </w:r>
          </w:p>
        </w:tc>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EEF4F8" w:val="clear"/>
          </w:tcPr>
          <w:p>
            <w:pPr>
              <w:pStyle w:val="Compact"/>
              <w:spacing w:before="30" w:after="30" w:line="240" w:lineRule="auto"/>
              <w:jc w:val="left"/>
            </w:pPr>
            <w:r>
              <w:rPr>
                <w:rFonts w:ascii="Noto Sans" w:hAnsi="Noto Sans" w:eastAsia="Noto Sans" w:cs="Noto Sans"/>
                <w:b w:val="0"/>
                <w:color w:val="18212B"/>
                <w:sz w:val="16"/>
              </w:rPr>
              <w:t xml:space="preserve">implied volatility varies by strike and maturity</w:t>
            </w:r>
          </w:p>
        </w:tc>
      </w:tr>
    </w:tbl>
    <w:p>
      <w:pPr>
        <w:pStyle w:val="BlockText"/>
        <w:shd w:fill="EAF7F5" w:val="clear"/>
        <w:pBdr>
          <w:left w:val="single" w:sz="18" w:space="8" w:color="008F87"/>
        </w:pBdr>
      </w:pPr>
      <w:r>
        <w:rPr>
          <w:b/>
          <w:bCs/>
        </w:rPr>
        <w:t xml:space="preserve">Why This Matters</w:t>
      </w:r>
    </w:p>
    <w:p>
      <w:pPr>
        <w:pStyle w:val="BlockText"/>
        <w:shd w:fill="EAF7F5" w:val="clear"/>
        <w:pBdr>
          <w:left w:val="single" w:sz="18" w:space="8" w:color="008F87"/>
        </w:pBdr>
      </w:pPr>
      <w:r>
        <w:t xml:space="preserve">Stochastic-process models connect return dynamics, derivative valuation, simulation, and risk management.</w:t>
      </w:r>
    </w:p>
    <w:p>
      <w:pPr>
        <w:pStyle w:val="BlockText"/>
        <w:shd w:fill="EAF7F5" w:val="clear"/>
        <w:pBdr>
          <w:left w:val="single" w:sz="18" w:space="8" w:color="008F87"/>
        </w:pBdr>
      </w:pPr>
      <w:r>
        <w:rPr>
          <w:b/>
          <w:bCs/>
        </w:rPr>
        <w:t xml:space="preserve">Common Mistake</w:t>
      </w:r>
    </w:p>
    <w:p>
      <w:pPr>
        <w:pStyle w:val="BlockText"/>
        <w:shd w:fill="EAF7F5" w:val="clear"/>
        <w:pBdr>
          <w:left w:val="single" w:sz="18" w:space="8" w:color="008F87"/>
        </w:pBdr>
      </w:pPr>
      <w:r>
        <w:t xml:space="preserve">Using an annual volatility with time measured in days, or a daily volatility with time measured in years.</w:t>
      </w:r>
    </w:p>
    <w:p>
      <w:pPr>
        <w:pStyle w:val="BlockText"/>
        <w:shd w:fill="EAF7F5" w:val="clear"/>
        <w:pBdr>
          <w:left w:val="single" w:sz="18" w:space="8" w:color="008F87"/>
        </w:pBdr>
      </w:pPr>
      <w:r>
        <w:rPr>
          <w:b/>
          <w:bCs/>
        </w:rPr>
        <w:t xml:space="preserve">Ceteris LAB Tip</w:t>
      </w:r>
    </w:p>
    <w:p>
      <w:pPr>
        <w:pStyle w:val="BlockText"/>
        <w:shd w:fill="EAF7F5" w:val="clear"/>
        <w:pBdr>
          <w:left w:val="single" w:sz="18" w:space="8" w:color="008F87"/>
        </w:pBdr>
      </w:pPr>
      <w:r>
        <w:t xml:space="preserve">Write all time and rate units beside the formula before calculating an option value.</w:t>
      </w:r>
    </w:p>
    <w:p>
      <w:pPr>
        <w:pStyle w:val="BlockText"/>
        <w:shd w:fill="EAF7F5" w:val="clear"/>
        <w:pBdr>
          <w:left w:val="single" w:sz="18" w:space="8" w:color="008F87"/>
        </w:pBdr>
      </w:pPr>
      <w:r>
        <w:rPr>
          <w:b/>
          <w:bCs/>
        </w:rPr>
        <w:t xml:space="preserve">R-to-Python / Source Bridge</w:t>
      </w:r>
    </w:p>
    <w:p>
      <w:pPr>
        <w:pStyle w:val="BlockText"/>
        <w:shd w:fill="EAF7F5" w:val="clear"/>
        <w:pBdr>
          <w:left w:val="single" w:sz="18" w:space="8" w:color="008F87"/>
        </w:pBdr>
      </w:pPr>
      <w:r>
        <w:t xml:space="preserve">The source option-pricing lecture develops Brownian motion, Ito’s lemma, geometric Brownian motion, hedging, and Black-Scholes. Every R simulation is replaced by reproducible NumPy code and original sensitivity graphics</w:t>
      </w:r>
      <w:r>
        <w:t xml:space="preserve"> </w:t>
      </w:r>
      <w:r>
        <w:t xml:space="preserve">(Tsay 2013)</w:t>
      </w:r>
      <w:r>
        <w:t xml:space="preserve">.</w:t>
      </w:r>
    </w:p>
    <w:bookmarkEnd w:id="498"/>
    <w:bookmarkStart w:id="499" w:name="guided-practice-23"/>
    <w:p>
      <w:pPr>
        <w:pStyle w:val="Heading2"/>
        <w:keepNext/>
      </w:pPr>
      <w:r>
        <w:t>43.9</w:t>
        <w:tab/>
        <w:t>Guided practice</w:t>
      </w:r>
    </w:p>
    <w:p>
      <w:pPr>
        <w:pStyle w:val="Compact"/>
        <w:numPr>
          <w:ilvl w:val="0"/>
          <w:numId w:val="1096"/>
        </w:numPr>
      </w:pPr>
      <w:r>
        <w:t xml:space="preserve">Re-run Demonstration 24.1 and change one input while keeping the analytical question fixed.</w:t>
      </w:r>
    </w:p>
    <w:p>
      <w:pPr>
        <w:pStyle w:val="Compact"/>
        <w:numPr>
          <w:ilvl w:val="0"/>
          <w:numId w:val="1096"/>
        </w:numPr>
      </w:pPr>
      <w:r>
        <w:t xml:space="preserve">Explain in two sentences how the output supports, or fails to support, the chapter opening question.</w:t>
      </w:r>
    </w:p>
    <w:p>
      <w:pPr>
        <w:pStyle w:val="Compact"/>
        <w:numPr>
          <w:ilvl w:val="0"/>
          <w:numId w:val="1096"/>
        </w:numPr>
      </w:pPr>
      <w:r>
        <w:t xml:space="preserve">Add one validation check that would prevent a plausible error.</w:t>
      </w:r>
    </w:p>
    <w:bookmarkEnd w:id="499"/>
    <w:bookmarkStart w:id="500" w:name="exercises-23"/>
    <w:p>
      <w:pPr>
        <w:pStyle w:val="Heading2"/>
        <w:keepNext/>
      </w:pPr>
      <w:r>
        <w:t>43.10</w:t>
        <w:tab/>
        <w:t>Exercises</w:t>
      </w:r>
    </w:p>
    <w:p>
      <w:pPr>
        <w:pStyle w:val="Compact"/>
        <w:numPr>
          <w:ilvl w:val="0"/>
          <w:numId w:val="1097"/>
        </w:numPr>
      </w:pPr>
      <w:r>
        <w:t xml:space="preserve">Simulate four Brownian paths.</w:t>
      </w:r>
    </w:p>
    <w:p>
      <w:pPr>
        <w:pStyle w:val="Compact"/>
        <w:numPr>
          <w:ilvl w:val="0"/>
          <w:numId w:val="1097"/>
        </w:numPr>
      </w:pPr>
      <w:r>
        <w:t xml:space="preserve">Verify that Brownian variance increases with time.</w:t>
      </w:r>
    </w:p>
    <w:p>
      <w:pPr>
        <w:pStyle w:val="Compact"/>
        <w:numPr>
          <w:ilvl w:val="0"/>
          <w:numId w:val="1097"/>
        </w:numPr>
      </w:pPr>
      <w:r>
        <w:t xml:space="preserve">Compare Monte Carlo and Black-Scholes call values.</w:t>
      </w:r>
    </w:p>
    <w:p>
      <w:pPr>
        <w:pStyle w:val="Compact"/>
        <w:numPr>
          <w:ilvl w:val="0"/>
          <w:numId w:val="1097"/>
        </w:numPr>
      </w:pPr>
      <w:r>
        <w:t xml:space="preserve">Plot call value against volatility and time.</w:t>
      </w:r>
    </w:p>
    <w:bookmarkEnd w:id="500"/>
    <w:bookmarkStart w:id="501" w:name="chapter-summary-23"/>
    <w:p>
      <w:pPr>
        <w:pStyle w:val="Heading2"/>
        <w:keepNext/>
      </w:pPr>
      <w:r>
        <w:t>43.11</w:t>
        <w:tab/>
        <w:t>Chapter summary</w:t>
      </w:r>
    </w:p>
    <w:p>
      <w:pPr>
        <w:pStyle w:val="Compact"/>
        <w:numPr>
          <w:ilvl w:val="0"/>
          <w:numId w:val="1098"/>
        </w:numPr>
      </w:pPr>
      <w:r>
        <w:t xml:space="preserve">Brownian motion is the foundation of diffusion models.</w:t>
      </w:r>
    </w:p>
    <w:p>
      <w:pPr>
        <w:pStyle w:val="Compact"/>
        <w:numPr>
          <w:ilvl w:val="0"/>
          <w:numId w:val="1098"/>
        </w:numPr>
      </w:pPr>
      <w:r>
        <w:t xml:space="preserve">Ito’s lemma introduces a second-derivative variance term.</w:t>
      </w:r>
    </w:p>
    <w:p>
      <w:pPr>
        <w:pStyle w:val="Compact"/>
        <w:numPr>
          <w:ilvl w:val="0"/>
          <w:numId w:val="1098"/>
        </w:numPr>
      </w:pPr>
      <w:r>
        <w:t xml:space="preserve">Black-Scholes is a benchmark conditional on restrictive assumptions.</w:t>
      </w:r>
    </w:p>
    <w:bookmarkEnd w:id="501"/>
    <w:bookmarkStart w:id="502" w:name="key-python-commands-23"/>
    <w:p>
      <w:pPr>
        <w:pStyle w:val="Heading2"/>
        <w:keepNext/>
      </w:pPr>
      <w:r>
        <w:t>43.12</w:t>
        <w:tab/>
        <w:t>Key Python commands</w:t>
      </w:r>
    </w:p>
    <w:p>
      <w:pPr>
        <w:pStyle w:val="SourceCode"/>
        <w:keepLines/>
        <w:shd w:fill="F6F8FA" w:val="clear"/>
      </w:pPr>
      <w:r>
        <w:rPr>
          <w:rStyle w:val="ImportTok"/>
        </w:rPr>
        <w:t xml:space="preserve">import</w:t>
      </w:r>
      <w:r>
        <w:rPr>
          <w:rStyle w:val="NormalTok"/>
        </w:rPr>
        <w:t xml:space="preserve"> numpy </w:t>
      </w:r>
      <w:r>
        <w:rPr>
          <w:rStyle w:val="ImportTok"/>
        </w:rPr>
        <w:t xml:space="preserve">as</w:t>
      </w:r>
      <w:r>
        <w:rPr>
          <w:rStyle w:val="NormalTok"/>
        </w:rPr>
        <w:t xml:space="preserve"> np</w:t>
      </w:r>
      <w:r>
        <w:br/>
      </w:r>
      <w:r>
        <w:rPr>
          <w:rStyle w:val="NormalTok"/>
        </w:rPr>
        <w:t xml:space="preserve">rng </w:t>
      </w:r>
      <w:r>
        <w:rPr>
          <w:rStyle w:val="OperatorTok"/>
        </w:rPr>
        <w:t xml:space="preserve">=</w:t>
      </w:r>
      <w:r>
        <w:rPr>
          <w:rStyle w:val="NormalTok"/>
        </w:rPr>
        <w:t xml:space="preserve"> np.random.default_rng(</w:t>
      </w:r>
      <w:r>
        <w:rPr>
          <w:rStyle w:val="DecValTok"/>
        </w:rPr>
        <w:t xml:space="preserve">24</w:t>
      </w:r>
      <w:r>
        <w:rPr>
          <w:rStyle w:val="NormalTok"/>
        </w:rPr>
        <w:t xml:space="preserve">)</w:t>
      </w:r>
      <w:r>
        <w:br/>
      </w:r>
      <w:r>
        <w:rPr>
          <w:rStyle w:val="NormalTok"/>
        </w:rPr>
        <w:t xml:space="preserve">z </w:t>
      </w:r>
      <w:r>
        <w:rPr>
          <w:rStyle w:val="OperatorTok"/>
        </w:rPr>
        <w:t xml:space="preserve">=</w:t>
      </w:r>
      <w:r>
        <w:rPr>
          <w:rStyle w:val="NormalTok"/>
        </w:rPr>
        <w:t xml:space="preserve"> rng.normal(size</w:t>
      </w:r>
      <w:r>
        <w:rPr>
          <w:rStyle w:val="OperatorTok"/>
        </w:rPr>
        <w:t xml:space="preserve">=</w:t>
      </w:r>
      <w:r>
        <w:rPr>
          <w:rStyle w:val="NormalTok"/>
        </w:rPr>
        <w:t xml:space="preserve">steps)</w:t>
      </w:r>
      <w:r>
        <w:br/>
      </w:r>
      <w:r>
        <w:rPr>
          <w:rStyle w:val="NormalTok"/>
        </w:rPr>
        <w:t xml:space="preserve">log_path </w:t>
      </w:r>
      <w:r>
        <w:rPr>
          <w:rStyle w:val="OperatorTok"/>
        </w:rPr>
        <w:t xml:space="preserve">=</w:t>
      </w:r>
      <w:r>
        <w:rPr>
          <w:rStyle w:val="NormalTok"/>
        </w:rPr>
        <w:t xml:space="preserve"> np.log(S0) </w:t>
      </w:r>
      <w:r>
        <w:rPr>
          <w:rStyle w:val="OperatorTok"/>
        </w:rPr>
        <w:t xml:space="preserve">+</w:t>
      </w:r>
      <w:r>
        <w:rPr>
          <w:rStyle w:val="NormalTok"/>
        </w:rPr>
        <w:t xml:space="preserve"> np.cumsum((mu</w:t>
      </w:r>
      <w:r>
        <w:rPr>
          <w:rStyle w:val="OperatorTok"/>
        </w:rPr>
        <w:t xml:space="preserve">-</w:t>
      </w:r>
      <w:r>
        <w:rPr>
          <w:rStyle w:val="FloatTok"/>
        </w:rPr>
        <w:t xml:space="preserve">0.5</w:t>
      </w:r>
      <w:r>
        <w:rPr>
          <w:rStyle w:val="OperatorTok"/>
        </w:rPr>
        <w:t xml:space="preserve">*</w:t>
      </w:r>
      <w:r>
        <w:rPr>
          <w:rStyle w:val="NormalTok"/>
        </w:rPr>
        <w:t xml:space="preserve">sigma</w:t>
      </w:r>
      <w:r>
        <w:rPr>
          <w:rStyle w:val="OperatorTok"/>
        </w:rPr>
        <w:t xml:space="preserve">**</w:t>
      </w:r>
      <w:r>
        <w:rPr>
          <w:rStyle w:val="DecValTok"/>
        </w:rPr>
        <w:t xml:space="preserve">2</w:t>
      </w:r>
      <w:r>
        <w:rPr>
          <w:rStyle w:val="NormalTok"/>
        </w:rPr>
        <w:t xml:space="preserve">)</w:t>
      </w:r>
      <w:r>
        <w:rPr>
          <w:rStyle w:val="OperatorTok"/>
        </w:rPr>
        <w:t xml:space="preserve">*</w:t>
      </w:r>
      <w:r>
        <w:rPr>
          <w:rStyle w:val="NormalTok"/>
        </w:rPr>
        <w:t xml:space="preserve">dt </w:t>
      </w:r>
      <w:r>
        <w:rPr>
          <w:rStyle w:val="OperatorTok"/>
        </w:rPr>
        <w:t xml:space="preserve">+</w:t>
      </w:r>
      <w:r>
        <w:rPr>
          <w:rStyle w:val="NormalTok"/>
        </w:rPr>
        <w:t xml:space="preserve"> sigma</w:t>
      </w:r>
      <w:r>
        <w:rPr>
          <w:rStyle w:val="OperatorTok"/>
        </w:rPr>
        <w:t xml:space="preserve">*</w:t>
      </w:r>
      <w:r>
        <w:rPr>
          <w:rStyle w:val="NormalTok"/>
        </w:rPr>
        <w:t xml:space="preserve">np.sqrt(dt)</w:t>
      </w:r>
      <w:r>
        <w:rPr>
          <w:rStyle w:val="OperatorTok"/>
        </w:rPr>
        <w:t xml:space="preserve">*</w:t>
      </w:r>
      <w:r>
        <w:rPr>
          <w:rStyle w:val="NormalTok"/>
        </w:rPr>
        <w:t xml:space="preserve">z)</w:t>
      </w:r>
      <w:r>
        <w:br/>
      </w:r>
      <w:r>
        <w:rPr>
          <w:rStyle w:val="BuiltInTok"/>
        </w:rPr>
        <w:t xml:space="preserve">print</w:t>
      </w:r>
      <w:r>
        <w:rPr>
          <w:rStyle w:val="NormalTok"/>
        </w:rPr>
        <w:t xml:space="preserve">(</w:t>
      </w:r>
      <w:r>
        <w:rPr>
          <w:rStyle w:val="BuiltInTok"/>
        </w:rPr>
        <w:t xml:space="preserve">round</w:t>
      </w:r>
      <w:r>
        <w:rPr>
          <w:rStyle w:val="NormalTok"/>
        </w:rPr>
        <w:t xml:space="preserve">(np.exp(log_path[</w:t>
      </w:r>
      <w:r>
        <w:rPr>
          <w:rStyle w:val="OperatorTok"/>
        </w:rPr>
        <w:t xml:space="preserve">-</w:t>
      </w:r>
      <w:r>
        <w:rPr>
          <w:rStyle w:val="DecValTok"/>
        </w:rPr>
        <w:t xml:space="preserve">1</w:t>
      </w:r>
      <w:r>
        <w:rPr>
          <w:rStyle w:val="NormalTok"/>
        </w:rPr>
        <w:t xml:space="preserve">]), </w:t>
      </w:r>
      <w:r>
        <w:rPr>
          <w:rStyle w:val="DecValTok"/>
        </w:rPr>
        <w:t xml:space="preserve">2</w:t>
      </w:r>
      <w:r>
        <w:rPr>
          <w:rStyle w:val="NormalTok"/>
        </w:rPr>
        <w:t xml:space="preserve">))</w:t>
      </w:r>
      <w:r>
        <w:br/>
      </w:r>
      <w:r>
        <w:rPr>
          <w:rStyle w:val="ImportTok"/>
        </w:rPr>
        <w:t xml:space="preserve">import</w:t>
      </w:r>
      <w:r>
        <w:rPr>
          <w:rStyle w:val="NormalTok"/>
        </w:rPr>
        <w:t xml:space="preserve"> sys</w:t>
      </w:r>
    </w:p>
    <w:bookmarkEnd w:id="502"/>
    <w:bookmarkEnd w:id="503"/>
    <w:bookmarkStart w:id="527" w:name="financial-risk-management"/>
    <w:p>
      <w:pPr>
        <w:pStyle w:val="Heading1"/>
        <w:keepNext/>
        <w:pageBreakBefore/>
      </w:pPr>
      <w:r>
        <w:t>44</w:t>
        <w:tab/>
        <w:t>Financial Risk Management</w:t>
      </w:r>
    </w:p>
    <w:p>
      <w:pPr>
        <w:pStyle w:val="FirstParagraph"/>
      </w:pPr>
      <w:r>
        <w:rPr>
          <w:i/>
          <w:iCs/>
        </w:rPr>
        <w:t xml:space="preserve">Opening question:</w:t>
      </w:r>
      <w:r>
        <w:t xml:space="preserve"> </w:t>
      </w:r>
      <w:r>
        <w:rPr>
          <w:b/>
          <w:bCs/>
        </w:rPr>
        <w:t xml:space="preserve">How much could be lost, how often should that threshold be exceeded, and what happens beyond it?</w:t>
      </w:r>
    </w:p>
    <w:bookmarkStart w:id="504" w:name="learning-objectives-24"/>
    <w:p>
      <w:pPr>
        <w:pStyle w:val="Heading2"/>
        <w:keepNext/>
      </w:pPr>
      <w:r>
        <w:t>44.1</w:t>
        <w:tab/>
        <w:t>Learning objectives</w:t>
      </w:r>
    </w:p>
    <w:p>
      <w:pPr>
        <w:pStyle w:val="Compact"/>
        <w:numPr>
          <w:ilvl w:val="0"/>
          <w:numId w:val="1099"/>
        </w:numPr>
      </w:pPr>
      <w:r>
        <w:t xml:space="preserve">Define a loss variable and coherent risk principles.</w:t>
      </w:r>
    </w:p>
    <w:p>
      <w:pPr>
        <w:pStyle w:val="Compact"/>
        <w:numPr>
          <w:ilvl w:val="0"/>
          <w:numId w:val="1099"/>
        </w:numPr>
      </w:pPr>
      <w:r>
        <w:t xml:space="preserve">Calculate VaR and Expected Shortfall.</w:t>
      </w:r>
    </w:p>
    <w:p>
      <w:pPr>
        <w:pStyle w:val="Compact"/>
        <w:numPr>
          <w:ilvl w:val="0"/>
          <w:numId w:val="1099"/>
        </w:numPr>
      </w:pPr>
      <w:r>
        <w:t xml:space="preserve">Compare historical, parametric, GARCH, and EVT methods.</w:t>
      </w:r>
    </w:p>
    <w:p>
      <w:pPr>
        <w:pStyle w:val="Compact"/>
        <w:numPr>
          <w:ilvl w:val="0"/>
          <w:numId w:val="1099"/>
        </w:numPr>
      </w:pPr>
      <w:r>
        <w:t xml:space="preserve">Backtest exceedances and discuss stress testing.</w:t>
      </w:r>
    </w:p>
    <w:p>
      <w:pPr>
        <w:pStyle w:val="FirstParagraph"/>
      </w:pPr>
      <w:r>
        <w:rPr>
          <w:b/>
          <w:bCs/>
        </w:rPr>
        <w:t xml:space="preserve">Prerequisites:</w:t>
      </w:r>
      <w:r>
        <w:t xml:space="preserve"> </w:t>
      </w:r>
      <w:r>
        <w:t xml:space="preserve">Chapters 13, 14, 21, and 22.</w:t>
      </w:r>
    </w:p>
    <w:p>
      <w:pPr>
        <w:pStyle w:val="BodyText"/>
      </w:pPr>
      <w:r>
        <w:rPr>
          <w:b/>
          <w:bCs/>
        </w:rPr>
        <w:t xml:space="preserve">Key terms:</w:t>
      </w:r>
      <w:r>
        <w:t xml:space="preserve"> </w:t>
      </w:r>
      <w:r>
        <w:t xml:space="preserve">loss, Value at Risk, Expected Shortfall, backtesting, stress test, extreme-value theory.</w:t>
      </w:r>
    </w:p>
    <w:bookmarkEnd w:id="504"/>
    <w:bookmarkStart w:id="505" w:name="the-sign-convention-comes-first"/>
    <w:p>
      <w:pPr>
        <w:pStyle w:val="Heading2"/>
        <w:keepNext/>
      </w:pPr>
      <w:r>
        <w:t>44.2</w:t>
        <w:tab/>
        <w:t>The sign convention comes first</w:t>
      </w:r>
    </w:p>
    <w:p>
      <w:pPr>
        <w:pStyle w:val="FirstParagraph"/>
      </w:pPr>
      <w:r>
        <w:t xml:space="preserve">Risk calculations begin by defining a loss variable. For a long position, loss is often negative return times position value; for a short position the sign reverses. VaR is a high quantile of loss over a stated horizon and confidence level. Without the position, horizon, probability, currency, and sign convention, a VaR number is incomplete.</w:t>
      </w:r>
    </w:p>
    <w:bookmarkEnd w:id="505"/>
    <w:bookmarkStart w:id="506" w:name="X22a532323fcf2aa9eb9799b8a1204cc207ff053"/>
    <w:p>
      <w:pPr>
        <w:pStyle w:val="Heading2"/>
        <w:keepNext/>
      </w:pPr>
      <w:r>
        <w:t>44.3</w:t>
        <w:tab/>
        <w:t>Expected Shortfall looks beyond the threshold</w:t>
      </w:r>
    </w:p>
    <w:p>
      <w:pPr>
        <w:pStyle w:val="FirstParagraph"/>
      </w:pPr>
      <w:r>
        <w:t xml:space="preserve">VaR identifies a quantile but does not describe the average severity of worse outcomes. Expected Shortfall averages losses in the tail beyond the VaR threshold under a continuous idealization. ES satisfies coherence properties under standard definitions, while VaR can fail subadditivity for some distributions</w:t>
      </w:r>
      <w:r>
        <w:t xml:space="preserve"> </w:t>
      </w:r>
      <w:r>
        <w:t xml:space="preserve">(Artzner et al. 1999)</w:t>
      </w:r>
      <w:r>
        <w:t xml:space="preserve">. Both remain model-dependent and can be unstable with limited tail data.</w:t>
      </w:r>
    </w:p>
    <w:bookmarkEnd w:id="506"/>
    <w:bookmarkStart w:id="507" w:name="Xe00221f1295e192e032492d6b0507e763fca818"/>
    <w:p>
      <w:pPr>
        <w:pStyle w:val="Heading2"/>
        <w:keepNext/>
      </w:pPr>
      <w:r>
        <w:t>44.4</w:t>
        <w:tab/>
        <w:t>Backtesting checks frequency, not every dimension of risk</w:t>
      </w:r>
    </w:p>
    <w:p>
      <w:pPr>
        <w:pStyle w:val="FirstParagraph"/>
      </w:pPr>
      <w:r>
        <w:t xml:space="preserve">A 99 percent one-day VaR should be exceeded about one percent of the time under a correct conditional model. Too many or too few exceedances indicate calibration problems, while clustered exceedances reveal dependence. Backtests have limited power in short samples and do not validate scenario coverage. Stress testing asks what happens under severe specified conditions, including events absent from the estimation sample. Extreme-value methods focus directly on tail behaviour but introduce threshold and dependence choices.</w:t>
      </w:r>
    </w:p>
    <w:bookmarkEnd w:id="507"/>
    <w:bookmarkStart w:id="508" w:name="core-equations-12"/>
    <w:p>
      <w:pPr>
        <w:pStyle w:val="Heading2"/>
        <w:keepNext/>
      </w:pPr>
      <w:r>
        <w:t>44.5</w:t>
        <w:tab/>
        <w:t>Core equations</w:t>
      </w:r>
    </w:p>
    <w:p>
      <w:pPr>
        <w:pStyle w:val="FirstParagraph"/>
      </w:pPr>
      <w:r>
        <w:rPr>
          <w:b/>
          <w:bCs/>
        </w:rPr>
        <w:t xml:space="preserve">Value at Risk</w:t>
      </w:r>
    </w:p>
    <w:p>
      <w:pPr>
        <w:pStyle w:val="BodyText"/>
      </w:pPr>
      <m:oMathPara>
        <m:oMathParaPr>
          <m:jc m:val="center"/>
        </m:oMathParaPr>
        <m:oMath>
          <m:sSub>
            <m:e>
              <m:r>
                <m:rPr>
                  <m:sty m:val="p"/>
                </m:rPr>
                <m:t>V</m:t>
              </m:r>
              <m:r>
                <m:rPr>
                  <m:sty m:val="p"/>
                </m:rPr>
                <m:t>a</m:t>
              </m:r>
              <m:r>
                <m:rPr>
                  <m:sty m:val="p"/>
                </m:rPr>
                <m:t>R</m:t>
              </m:r>
            </m:e>
            <m:sub>
              <m:r>
                <m:t>q</m:t>
              </m:r>
            </m:sub>
          </m:sSub>
          <m:r>
            <m:rPr>
              <m:sty m:val="p"/>
            </m:rPr>
            <m:t>=</m:t>
          </m:r>
          <m:sSubSup>
            <m:e>
              <m:r>
                <m:t>F</m:t>
              </m:r>
            </m:e>
            <m:sub>
              <m:r>
                <m:t>L</m:t>
              </m:r>
            </m:sub>
            <m:sup>
              <m:r>
                <m:rPr>
                  <m:sty m:val="p"/>
                </m:rPr>
                <m:t>−</m:t>
              </m:r>
              <m:r>
                <m:t>1</m:t>
              </m:r>
            </m:sup>
          </m:sSubSup>
          <m:d>
            <m:dPr>
              <m:begChr m:val="("/>
              <m:endChr m:val=")"/>
              <m:sepChr m:val=""/>
              <m:grow/>
            </m:dPr>
            <m:e>
              <m:r>
                <m:t>q</m:t>
              </m:r>
            </m:e>
          </m:d>
        </m:oMath>
      </m:oMathPara>
    </w:p>
    <w:p>
      <w:pPr>
        <w:pStyle w:val="FirstParagraph"/>
      </w:pPr>
      <w:r>
        <w:t xml:space="preserve">The q quantile of the loss distribution.</w:t>
      </w:r>
    </w:p>
    <w:p>
      <w:pPr>
        <w:pStyle w:val="BodyText"/>
      </w:pPr>
      <w:r>
        <w:rPr>
          <w:b/>
          <w:bCs/>
        </w:rPr>
        <w:t xml:space="preserve">Expected Shortfall</w:t>
      </w:r>
    </w:p>
    <w:p>
      <w:pPr>
        <w:pStyle w:val="BodyText"/>
      </w:pPr>
      <m:oMathPara>
        <m:oMathParaPr>
          <m:jc m:val="center"/>
        </m:oMathParaPr>
        <m:oMath>
          <m:sSub>
            <m:e>
              <m:r>
                <m:rPr>
                  <m:sty m:val="p"/>
                </m:rPr>
                <m:t>E</m:t>
              </m:r>
              <m:r>
                <m:rPr>
                  <m:sty m:val="p"/>
                </m:rPr>
                <m:t>S</m:t>
              </m:r>
            </m:e>
            <m:sub>
              <m:r>
                <m:t>q</m:t>
              </m:r>
            </m:sub>
          </m:sSub>
          <m:r>
            <m:rPr>
              <m:sty m:val="p"/>
            </m:rPr>
            <m:t>=</m:t>
          </m:r>
          <m:r>
            <m:t>E</m:t>
          </m:r>
          <m:d>
            <m:dPr>
              <m:begChr m:val="["/>
              <m:endChr m:val="]"/>
              <m:sepChr m:val=""/>
              <m:grow/>
            </m:dPr>
            <m:e>
              <m:r>
                <m:t>L</m:t>
              </m:r>
              <m:r>
                <m:rPr>
                  <m:sty m:val="p"/>
                </m:rPr>
                <m:t>∣</m:t>
              </m:r>
              <m:r>
                <m:t>L</m:t>
              </m:r>
              <m:r>
                <m:rPr>
                  <m:sty m:val="p"/>
                </m:rPr>
                <m:t>&gt;</m:t>
              </m:r>
              <m:sSub>
                <m:e>
                  <m:r>
                    <m:rPr>
                      <m:sty m:val="p"/>
                    </m:rPr>
                    <m:t>V</m:t>
                  </m:r>
                  <m:r>
                    <m:rPr>
                      <m:sty m:val="p"/>
                    </m:rPr>
                    <m:t>a</m:t>
                  </m:r>
                  <m:r>
                    <m:rPr>
                      <m:sty m:val="p"/>
                    </m:rPr>
                    <m:t>R</m:t>
                  </m:r>
                </m:e>
                <m:sub>
                  <m:r>
                    <m:t>q</m:t>
                  </m:r>
                </m:sub>
              </m:sSub>
            </m:e>
          </m:d>
        </m:oMath>
      </m:oMathPara>
    </w:p>
    <w:p>
      <w:pPr>
        <w:pStyle w:val="FirstParagraph"/>
      </w:pPr>
      <w:r>
        <w:t xml:space="preserve">For a continuous loss distribution, the expected loss beyond VaR.</w:t>
      </w:r>
    </w:p>
    <w:bookmarkEnd w:id="508"/>
    <w:bookmarkStart w:id="511" w:name="python-demonstrations-24"/>
    <w:p>
      <w:pPr>
        <w:pStyle w:val="Heading2"/>
        <w:keepNext/>
      </w:pPr>
      <w:r>
        <w:t>44.6</w:t>
        <w:tab/>
        <w:t>Python demonstrations</w:t>
      </w:r>
    </w:p>
    <w:bookmarkStart w:id="509" w:name="demonstration-25.1-historical-var-and-es"/>
    <w:p>
      <w:pPr>
        <w:pStyle w:val="Heading3"/>
        <w:keepNext/>
      </w:pPr>
      <w:r>
        <w:t>44.6.1</w:t>
        <w:tab/>
        <w:t>Demonstration 25.1: Historical VaR and ES</w:t>
      </w:r>
    </w:p>
    <w:p>
      <w:pPr>
        <w:pStyle w:val="SourceCode"/>
        <w:shd w:fill="F6F8FA" w:val="clear"/>
      </w:pPr>
      <w:r>
        <w:rPr>
          <w:rStyle w:val="ImportTok"/>
        </w:rPr>
        <w:t xml:space="preserve">import</w:t>
      </w:r>
      <w:r>
        <w:rPr>
          <w:rStyle w:val="NormalTok"/>
        </w:rPr>
        <w:t xml:space="preserve"> numpy </w:t>
      </w:r>
      <w:r>
        <w:rPr>
          <w:rStyle w:val="ImportTok"/>
        </w:rPr>
        <w:t xml:space="preserve">as</w:t>
      </w:r>
      <w:r>
        <w:rPr>
          <w:rStyle w:val="NormalTok"/>
        </w:rPr>
        <w:t xml:space="preserve"> np</w:t>
      </w:r>
      <w:r>
        <w:br/>
      </w:r>
      <w:r>
        <w:br/>
      </w:r>
      <w:r>
        <w:rPr>
          <w:rStyle w:val="NormalTok"/>
        </w:rPr>
        <w:t xml:space="preserve">rng </w:t>
      </w:r>
      <w:r>
        <w:rPr>
          <w:rStyle w:val="OperatorTok"/>
        </w:rPr>
        <w:t xml:space="preserve">=</w:t>
      </w:r>
      <w:r>
        <w:rPr>
          <w:rStyle w:val="NormalTok"/>
        </w:rPr>
        <w:t xml:space="preserve"> np.random.default_rng(</w:t>
      </w:r>
      <w:r>
        <w:rPr>
          <w:rStyle w:val="DecValTok"/>
        </w:rPr>
        <w:t xml:space="preserve">25</w:t>
      </w:r>
      <w:r>
        <w:rPr>
          <w:rStyle w:val="NormalTok"/>
        </w:rPr>
        <w:t xml:space="preserve">)</w:t>
      </w:r>
      <w:r>
        <w:br/>
      </w:r>
      <w:r>
        <w:rPr>
          <w:rStyle w:val="NormalTok"/>
        </w:rPr>
        <w:t xml:space="preserve">returns </w:t>
      </w:r>
      <w:r>
        <w:rPr>
          <w:rStyle w:val="OperatorTok"/>
        </w:rPr>
        <w:t xml:space="preserve">=</w:t>
      </w:r>
      <w:r>
        <w:rPr>
          <w:rStyle w:val="NormalTok"/>
        </w:rPr>
        <w:t xml:space="preserve"> </w:t>
      </w:r>
      <w:r>
        <w:rPr>
          <w:rStyle w:val="FloatTok"/>
        </w:rPr>
        <w:t xml:space="preserve">0.01</w:t>
      </w:r>
      <w:r>
        <w:rPr>
          <w:rStyle w:val="NormalTok"/>
        </w:rPr>
        <w:t xml:space="preserve"> </w:t>
      </w:r>
      <w:r>
        <w:rPr>
          <w:rStyle w:val="OperatorTok"/>
        </w:rPr>
        <w:t xml:space="preserve">*</w:t>
      </w:r>
      <w:r>
        <w:rPr>
          <w:rStyle w:val="NormalTok"/>
        </w:rPr>
        <w:t xml:space="preserve"> rng.standard_t(df</w:t>
      </w:r>
      <w:r>
        <w:rPr>
          <w:rStyle w:val="OperatorTok"/>
        </w:rPr>
        <w:t xml:space="preserve">=</w:t>
      </w:r>
      <w:r>
        <w:rPr>
          <w:rStyle w:val="DecValTok"/>
        </w:rPr>
        <w:t xml:space="preserve">5</w:t>
      </w:r>
      <w:r>
        <w:rPr>
          <w:rStyle w:val="NormalTok"/>
        </w:rPr>
        <w:t xml:space="preserve">, size</w:t>
      </w:r>
      <w:r>
        <w:rPr>
          <w:rStyle w:val="OperatorTok"/>
        </w:rPr>
        <w:t xml:space="preserve">=</w:t>
      </w:r>
      <w:r>
        <w:rPr>
          <w:rStyle w:val="DecValTok"/>
        </w:rPr>
        <w:t xml:space="preserve">2_000</w:t>
      </w:r>
      <w:r>
        <w:rPr>
          <w:rStyle w:val="NormalTok"/>
        </w:rPr>
        <w:t xml:space="preserve">)</w:t>
      </w:r>
      <w:r>
        <w:br/>
      </w:r>
      <w:r>
        <w:rPr>
          <w:rStyle w:val="NormalTok"/>
        </w:rPr>
        <w:t xml:space="preserve">losses </w:t>
      </w:r>
      <w:r>
        <w:rPr>
          <w:rStyle w:val="OperatorTok"/>
        </w:rPr>
        <w:t xml:space="preserve">=</w:t>
      </w:r>
      <w:r>
        <w:rPr>
          <w:rStyle w:val="NormalTok"/>
        </w:rPr>
        <w:t xml:space="preserve"> </w:t>
      </w:r>
      <w:r>
        <w:rPr>
          <w:rStyle w:val="OperatorTok"/>
        </w:rPr>
        <w:t xml:space="preserve">-</w:t>
      </w:r>
      <w:r>
        <w:rPr>
          <w:rStyle w:val="NormalTok"/>
        </w:rPr>
        <w:t xml:space="preserve">returns</w:t>
      </w:r>
      <w:r>
        <w:br/>
      </w:r>
      <w:r>
        <w:rPr>
          <w:rStyle w:val="NormalTok"/>
        </w:rPr>
        <w:t xml:space="preserve">q </w:t>
      </w:r>
      <w:r>
        <w:rPr>
          <w:rStyle w:val="OperatorTok"/>
        </w:rPr>
        <w:t xml:space="preserve">=</w:t>
      </w:r>
      <w:r>
        <w:rPr>
          <w:rStyle w:val="NormalTok"/>
        </w:rPr>
        <w:t xml:space="preserve"> </w:t>
      </w:r>
      <w:r>
        <w:rPr>
          <w:rStyle w:val="FloatTok"/>
        </w:rPr>
        <w:t xml:space="preserve">0.99</w:t>
      </w:r>
      <w:r>
        <w:br/>
      </w:r>
      <w:r>
        <w:rPr>
          <w:rStyle w:val="NormalTok"/>
        </w:rPr>
        <w:t xml:space="preserve">var </w:t>
      </w:r>
      <w:r>
        <w:rPr>
          <w:rStyle w:val="OperatorTok"/>
        </w:rPr>
        <w:t xml:space="preserve">=</w:t>
      </w:r>
      <w:r>
        <w:rPr>
          <w:rStyle w:val="NormalTok"/>
        </w:rPr>
        <w:t xml:space="preserve"> np.quantile(losses, q)</w:t>
      </w:r>
      <w:r>
        <w:br/>
      </w:r>
      <w:r>
        <w:rPr>
          <w:rStyle w:val="NormalTok"/>
        </w:rPr>
        <w:t xml:space="preserve">es </w:t>
      </w:r>
      <w:r>
        <w:rPr>
          <w:rStyle w:val="OperatorTok"/>
        </w:rPr>
        <w:t xml:space="preserve">=</w:t>
      </w:r>
      <w:r>
        <w:rPr>
          <w:rStyle w:val="NormalTok"/>
        </w:rPr>
        <w:t xml:space="preserve"> losses[losses </w:t>
      </w:r>
      <w:r>
        <w:rPr>
          <w:rStyle w:val="OperatorTok"/>
        </w:rPr>
        <w:t xml:space="preserve">&gt;=</w:t>
      </w:r>
      <w:r>
        <w:rPr>
          <w:rStyle w:val="NormalTok"/>
        </w:rPr>
        <w:t xml:space="preserve"> var].mean()</w:t>
      </w:r>
      <w:r>
        <w:br/>
      </w:r>
      <w:r>
        <w:rPr>
          <w:rStyle w:val="BuiltInTok"/>
        </w:rPr>
        <w:t xml:space="preserve">print</w:t>
      </w:r>
      <w:r>
        <w:rPr>
          <w:rStyle w:val="NormalTok"/>
        </w:rPr>
        <w:t xml:space="preserve">(</w:t>
      </w:r>
      <w:r>
        <w:rPr>
          <w:rStyle w:val="BuiltInTok"/>
        </w:rPr>
        <w:t xml:space="preserve">round</w:t>
      </w:r>
      <w:r>
        <w:rPr>
          <w:rStyle w:val="NormalTok"/>
        </w:rPr>
        <w:t xml:space="preserve">(var, </w:t>
      </w:r>
      <w:r>
        <w:rPr>
          <w:rStyle w:val="DecValTok"/>
        </w:rPr>
        <w:t xml:space="preserve">4</w:t>
      </w:r>
      <w:r>
        <w:rPr>
          <w:rStyle w:val="NormalTok"/>
        </w:rPr>
        <w:t xml:space="preserve">), </w:t>
      </w:r>
      <w:r>
        <w:rPr>
          <w:rStyle w:val="BuiltInTok"/>
        </w:rPr>
        <w:t xml:space="preserve">round</w:t>
      </w:r>
      <w:r>
        <w:rPr>
          <w:rStyle w:val="NormalTok"/>
        </w:rPr>
        <w:t xml:space="preserve">(es, </w:t>
      </w:r>
      <w:r>
        <w:rPr>
          <w:rStyle w:val="DecValTok"/>
        </w:rPr>
        <w:t xml:space="preserve">4</w:t>
      </w:r>
      <w:r>
        <w:rPr>
          <w:rStyle w:val="NormalTok"/>
        </w:rPr>
        <w:t xml:space="preserve">), </w:t>
      </w:r>
      <w:r>
        <w:rPr>
          <w:rStyle w:val="BuiltInTok"/>
        </w:rPr>
        <w:t xml:space="preserve">int</w:t>
      </w:r>
      <w:r>
        <w:rPr>
          <w:rStyle w:val="NormalTok"/>
        </w:rPr>
        <w:t xml:space="preserve">((losses </w:t>
      </w:r>
      <w:r>
        <w:rPr>
          <w:rStyle w:val="OperatorTok"/>
        </w:rPr>
        <w:t xml:space="preserve">&gt;=</w:t>
      </w:r>
      <w:r>
        <w:rPr>
          <w:rStyle w:val="NormalTok"/>
        </w:rPr>
        <w:t xml:space="preserve"> var).</w:t>
      </w:r>
      <w:r>
        <w:rPr>
          <w:rStyle w:val="BuiltInTok"/>
        </w:rPr>
        <w:t xml:space="preserve">sum</w:t>
      </w:r>
      <w:r>
        <w:rPr>
          <w:rStyle w:val="NormalTok"/>
        </w:rPr>
        <w:t xml:space="preserve">()))</w:t>
      </w:r>
    </w:p>
    <w:p>
      <w:pPr>
        <w:pStyle w:val="FirstParagraph"/>
      </w:pPr>
      <w:r>
        <w:rPr>
          <w:b/>
          <w:bCs/>
        </w:rPr>
        <w:t xml:space="preserve">Verified output</w:t>
      </w:r>
    </w:p>
    <w:p>
      <w:pPr>
        <w:pStyle w:val="SourceCode"/>
        <w:keepLines/>
        <w:shd w:fill="F6F8FA" w:val="clear"/>
      </w:pPr>
      <w:r>
        <w:rPr>
          <w:rStyle w:val="VerbatimChar"/>
        </w:rPr>
        <w:t xml:space="preserve">0.0383 0.0518 20</w:t>
      </w:r>
    </w:p>
    <w:p>
      <w:pPr>
        <w:pStyle w:val="FirstParagraph"/>
      </w:pPr>
      <w:r>
        <w:rPr>
          <w:b/>
          <w:bCs/>
        </w:rPr>
        <w:t xml:space="preserve">Interpretation.</w:t>
      </w:r>
      <w:r>
        <w:t xml:space="preserve"> </w:t>
      </w:r>
      <w:r>
        <w:t xml:space="preserve">At the 99th percentile, roughly 20 of 2,000 simulated observations lie in the tail used for ES, illustrating tail-sample scarcity.</w:t>
      </w:r>
    </w:p>
    <w:bookmarkEnd w:id="509"/>
    <w:bookmarkStart w:id="510" w:name="demonstration-25.2-count-var-exceedances"/>
    <w:p>
      <w:pPr>
        <w:pStyle w:val="Heading3"/>
        <w:keepNext/>
      </w:pPr>
      <w:r>
        <w:t>44.6.2</w:t>
        <w:tab/>
        <w:t>Demonstration 25.2: Count VaR exceedances</w:t>
      </w:r>
    </w:p>
    <w:p>
      <w:pPr>
        <w:pStyle w:val="SourceCode"/>
        <w:keepLines/>
        <w:shd w:fill="F6F8FA" w:val="clear"/>
      </w:pPr>
      <w:r>
        <w:rPr>
          <w:rStyle w:val="NormalTok"/>
        </w:rPr>
        <w:t xml:space="preserve">threshold </w:t>
      </w:r>
      <w:r>
        <w:rPr>
          <w:rStyle w:val="OperatorTok"/>
        </w:rPr>
        <w:t xml:space="preserve">=</w:t>
      </w:r>
      <w:r>
        <w:rPr>
          <w:rStyle w:val="NormalTok"/>
        </w:rPr>
        <w:t xml:space="preserve"> np.full_like(losses, var)</w:t>
      </w:r>
      <w:r>
        <w:br/>
      </w:r>
      <w:r>
        <w:rPr>
          <w:rStyle w:val="NormalTok"/>
        </w:rPr>
        <w:t xml:space="preserve">exceed </w:t>
      </w:r>
      <w:r>
        <w:rPr>
          <w:rStyle w:val="OperatorTok"/>
        </w:rPr>
        <w:t xml:space="preserve">=</w:t>
      </w:r>
      <w:r>
        <w:rPr>
          <w:rStyle w:val="NormalTok"/>
        </w:rPr>
        <w:t xml:space="preserve"> losses </w:t>
      </w:r>
      <w:r>
        <w:rPr>
          <w:rStyle w:val="OperatorTok"/>
        </w:rPr>
        <w:t xml:space="preserve">&gt;</w:t>
      </w:r>
      <w:r>
        <w:rPr>
          <w:rStyle w:val="NormalTok"/>
        </w:rPr>
        <w:t xml:space="preserve"> threshold</w:t>
      </w:r>
      <w:r>
        <w:br/>
      </w:r>
      <w:r>
        <w:rPr>
          <w:rStyle w:val="NormalTok"/>
        </w:rPr>
        <w:t xml:space="preserve">expected </w:t>
      </w:r>
      <w:r>
        <w:rPr>
          <w:rStyle w:val="OperatorTok"/>
        </w:rPr>
        <w:t xml:space="preserve">=</w:t>
      </w:r>
      <w:r>
        <w:rPr>
          <w:rStyle w:val="NormalTok"/>
        </w:rPr>
        <w:t xml:space="preserve"> </w:t>
      </w:r>
      <w:r>
        <w:rPr>
          <w:rStyle w:val="BuiltInTok"/>
        </w:rPr>
        <w:t xml:space="preserve">len</w:t>
      </w:r>
      <w:r>
        <w:rPr>
          <w:rStyle w:val="NormalTok"/>
        </w:rPr>
        <w:t xml:space="preserve">(losses) </w:t>
      </w:r>
      <w:r>
        <w:rPr>
          <w:rStyle w:val="OperatorTok"/>
        </w:rPr>
        <w:t xml:space="preserve">*</w:t>
      </w:r>
      <w:r>
        <w:rPr>
          <w:rStyle w:val="NormalTok"/>
        </w:rPr>
        <w:t xml:space="preserve"> (</w:t>
      </w:r>
      <w:r>
        <w:rPr>
          <w:rStyle w:val="DecValTok"/>
        </w:rPr>
        <w:t xml:space="preserve">1</w:t>
      </w:r>
      <w:r>
        <w:rPr>
          <w:rStyle w:val="OperatorTok"/>
        </w:rPr>
        <w:t xml:space="preserve">-</w:t>
      </w:r>
      <w:r>
        <w:rPr>
          <w:rStyle w:val="NormalTok"/>
        </w:rPr>
        <w:t xml:space="preserve">q)</w:t>
      </w:r>
      <w:r>
        <w:br/>
      </w:r>
      <w:r>
        <w:rPr>
          <w:rStyle w:val="BuiltInTok"/>
        </w:rPr>
        <w:t xml:space="preserve">print</w:t>
      </w:r>
      <w:r>
        <w:rPr>
          <w:rStyle w:val="NormalTok"/>
        </w:rPr>
        <w:t xml:space="preserve">(exceed.</w:t>
      </w:r>
      <w:r>
        <w:rPr>
          <w:rStyle w:val="BuiltInTok"/>
        </w:rPr>
        <w:t xml:space="preserve">sum</w:t>
      </w:r>
      <w:r>
        <w:rPr>
          <w:rStyle w:val="NormalTok"/>
        </w:rPr>
        <w:t xml:space="preserve">(), </w:t>
      </w:r>
      <w:r>
        <w:rPr>
          <w:rStyle w:val="BuiltInTok"/>
        </w:rPr>
        <w:t xml:space="preserve">round</w:t>
      </w:r>
      <w:r>
        <w:rPr>
          <w:rStyle w:val="NormalTok"/>
        </w:rPr>
        <w:t xml:space="preserve">(expected, </w:t>
      </w:r>
      <w:r>
        <w:rPr>
          <w:rStyle w:val="DecValTok"/>
        </w:rPr>
        <w:t xml:space="preserve">1</w:t>
      </w:r>
      <w:r>
        <w:rPr>
          <w:rStyle w:val="NormalTok"/>
        </w:rPr>
        <w:t xml:space="preserve">), </w:t>
      </w:r>
      <w:r>
        <w:rPr>
          <w:rStyle w:val="BuiltInTok"/>
        </w:rPr>
        <w:t xml:space="preserve">round</w:t>
      </w:r>
      <w:r>
        <w:rPr>
          <w:rStyle w:val="NormalTok"/>
        </w:rPr>
        <w:t xml:space="preserve">(exceed.mean(), </w:t>
      </w:r>
      <w:r>
        <w:rPr>
          <w:rStyle w:val="DecValTok"/>
        </w:rPr>
        <w:t xml:space="preserve">4</w:t>
      </w:r>
      <w:r>
        <w:rPr>
          <w:rStyle w:val="NormalTok"/>
        </w:rPr>
        <w:t xml:space="preserve">))</w:t>
      </w:r>
    </w:p>
    <w:p>
      <w:pPr>
        <w:pStyle w:val="FirstParagraph"/>
      </w:pPr>
      <w:r>
        <w:rPr>
          <w:b/>
          <w:bCs/>
        </w:rPr>
        <w:t xml:space="preserve">Verified output</w:t>
      </w:r>
    </w:p>
    <w:p>
      <w:pPr>
        <w:pStyle w:val="SourceCode"/>
        <w:keepLines/>
        <w:shd w:fill="F6F8FA" w:val="clear"/>
      </w:pPr>
      <w:r>
        <w:rPr>
          <w:rStyle w:val="VerbatimChar"/>
        </w:rPr>
        <w:t xml:space="preserve">20 20.0 0.01</w:t>
      </w:r>
    </w:p>
    <w:p>
      <w:pPr>
        <w:pStyle w:val="FirstParagraph"/>
      </w:pPr>
      <w:r>
        <w:rPr>
          <w:b/>
          <w:bCs/>
        </w:rPr>
        <w:t xml:space="preserve">Interpretation.</w:t>
      </w:r>
      <w:r>
        <w:t xml:space="preserve"> </w:t>
      </w:r>
      <w:r>
        <w:t xml:space="preserve">The unconditional exceedance rate matches by construction for an in-sample historical quantile. A real backtest must forecast each threshold using only prior information.</w:t>
      </w:r>
    </w:p>
    <w:bookmarkEnd w:id="510"/>
    <w:bookmarkEnd w:id="511"/>
    <w:bookmarkStart w:id="521" w:name="visual-evidence-24"/>
    <w:p>
      <w:pPr>
        <w:pStyle w:val="Heading2"/>
        <w:keepNext/>
      </w:pPr>
      <w:r>
        <w:t>44.7</w:t>
        <w:tab/>
        <w:t>Visual evidence</w:t>
      </w:r>
    </w:p>
    <w:p>
      <w:pPr>
        <w:pStyle w:val="FirstParagraph"/>
      </w:pPr>
      <w:r>
        <w:drawing>
          <wp:inline>
            <wp:extent cx="4907280" cy="3022992"/>
            <wp:effectExtent b="0" l="0" r="0" t="0"/>
            <wp:docPr descr="Image: rId512.png" title="" id="513" name="Picture"/>
            <a:graphic>
              <a:graphicData uri="http://schemas.openxmlformats.org/drawingml/2006/picture">
                <pic:pic>
                  <pic:nvPicPr>
                    <pic:cNvPr descr="figures/fig_39_var_es.png" id="514" name="Picture"/>
                    <pic:cNvPicPr>
                      <a:picLocks noChangeArrowheads="1" noChangeAspect="1"/>
                    </pic:cNvPicPr>
                  </pic:nvPicPr>
                  <pic:blipFill>
                    <a:blip r:embed="rId512"/>
                    <a:stretch>
                      <a:fillRect/>
                    </a:stretch>
                  </pic:blipFill>
                  <pic:spPr bwMode="auto">
                    <a:xfrm>
                      <a:off x="0" y="0"/>
                      <a:ext cx="4907280" cy="3022992"/>
                    </a:xfrm>
                    <a:prstGeom prst="rect">
                      <a:avLst/>
                    </a:prstGeom>
                    <a:noFill/>
                    <a:ln w="9525">
                      <a:noFill/>
                      <a:headEnd/>
                      <a:tailEnd/>
                    </a:ln>
                  </pic:spPr>
                </pic:pic>
              </a:graphicData>
            </a:graphic>
          </wp:inline>
        </w:drawing>
      </w:r>
    </w:p>
    <w:p>
      <w:pPr>
        <w:pStyle w:val="Caption"/>
        <w:keepNext w:val="0"/>
        <w:jc w:val="center"/>
      </w:pPr>
      <w:r>
        <w:rPr>
          <w:b/>
          <w:bCs/>
        </w:rPr>
        <w:t xml:space="preserve">Figure 39.</w:t>
      </w:r>
      <w:r>
        <w:t xml:space="preserve"> </w:t>
      </w:r>
      <w:r>
        <w:t xml:space="preserve">Historical 99% Value at Risk and Expected Shortfall for simulated portfolio losses.</w:t>
      </w:r>
    </w:p>
    <w:p>
      <w:pPr>
        <w:pStyle w:val="BodyText"/>
      </w:pPr>
      <w:r>
        <w:drawing>
          <wp:inline>
            <wp:extent cx="4907280" cy="2333950"/>
            <wp:effectExtent b="0" l="0" r="0" t="0"/>
            <wp:docPr descr="Image: rId515.png" title="" id="516" name="Picture"/>
            <a:graphic>
              <a:graphicData uri="http://schemas.openxmlformats.org/drawingml/2006/picture">
                <pic:pic>
                  <pic:nvPicPr>
                    <pic:cNvPr descr="figures/fig_40_var_backtest.png" id="517" name="Picture"/>
                    <pic:cNvPicPr>
                      <a:picLocks noChangeArrowheads="1" noChangeAspect="1"/>
                    </pic:cNvPicPr>
                  </pic:nvPicPr>
                  <pic:blipFill>
                    <a:blip r:embed="rId515"/>
                    <a:stretch>
                      <a:fillRect/>
                    </a:stretch>
                  </pic:blipFill>
                  <pic:spPr bwMode="auto">
                    <a:xfrm>
                      <a:off x="0" y="0"/>
                      <a:ext cx="4907280" cy="2333950"/>
                    </a:xfrm>
                    <a:prstGeom prst="rect">
                      <a:avLst/>
                    </a:prstGeom>
                    <a:noFill/>
                    <a:ln w="9525">
                      <a:noFill/>
                      <a:headEnd/>
                      <a:tailEnd/>
                    </a:ln>
                  </pic:spPr>
                </pic:pic>
              </a:graphicData>
            </a:graphic>
          </wp:inline>
        </w:drawing>
      </w:r>
    </w:p>
    <w:p>
      <w:pPr>
        <w:pStyle w:val="Caption"/>
        <w:keepNext w:val="0"/>
        <w:jc w:val="center"/>
      </w:pPr>
      <w:r>
        <w:rPr>
          <w:b/>
          <w:bCs/>
        </w:rPr>
        <w:t xml:space="preserve">Figure 40.</w:t>
      </w:r>
      <w:r>
        <w:t xml:space="preserve"> </w:t>
      </w:r>
      <w:r>
        <w:t xml:space="preserve">A rolling historical VaR backtest with exceedances marked as exceptions.</w:t>
      </w:r>
    </w:p>
    <w:p>
      <w:pPr>
        <w:pStyle w:val="BodyText"/>
      </w:pPr>
      <w:r>
        <w:drawing>
          <wp:inline>
            <wp:extent cx="4907280" cy="2945052"/>
            <wp:effectExtent b="0" l="0" r="0" t="0"/>
            <wp:docPr descr="Image: rId518.png" title="" id="519" name="Picture"/>
            <a:graphic>
              <a:graphicData uri="http://schemas.openxmlformats.org/drawingml/2006/picture">
                <pic:pic>
                  <pic:nvPicPr>
                    <pic:cNvPr descr="figures/fig_41_evt_mean_excess.png" id="520" name="Picture"/>
                    <pic:cNvPicPr>
                      <a:picLocks noChangeArrowheads="1" noChangeAspect="1"/>
                    </pic:cNvPicPr>
                  </pic:nvPicPr>
                  <pic:blipFill>
                    <a:blip r:embed="rId518"/>
                    <a:stretch>
                      <a:fillRect/>
                    </a:stretch>
                  </pic:blipFill>
                  <pic:spPr bwMode="auto">
                    <a:xfrm>
                      <a:off x="0" y="0"/>
                      <a:ext cx="4907280" cy="2945052"/>
                    </a:xfrm>
                    <a:prstGeom prst="rect">
                      <a:avLst/>
                    </a:prstGeom>
                    <a:noFill/>
                    <a:ln w="9525">
                      <a:noFill/>
                      <a:headEnd/>
                      <a:tailEnd/>
                    </a:ln>
                  </pic:spPr>
                </pic:pic>
              </a:graphicData>
            </a:graphic>
          </wp:inline>
        </w:drawing>
      </w:r>
    </w:p>
    <w:p>
      <w:pPr>
        <w:pStyle w:val="Caption"/>
        <w:keepNext w:val="0"/>
        <w:jc w:val="center"/>
      </w:pPr>
      <w:r>
        <w:rPr>
          <w:b/>
          <w:bCs/>
        </w:rPr>
        <w:t xml:space="preserve">Figure 41.</w:t>
      </w:r>
      <w:r>
        <w:t xml:space="preserve"> </w:t>
      </w:r>
      <w:r>
        <w:t xml:space="preserve">Mean excess above candidate thresholds for a heavy-tailed sample.</w:t>
      </w:r>
    </w:p>
    <w:bookmarkEnd w:id="521"/>
    <w:bookmarkStart w:id="522" w:name="reference-table-24"/>
    <w:p>
      <w:pPr>
        <w:pStyle w:val="Heading2"/>
        <w:keepNext/>
      </w:pPr>
      <w:r>
        <w:t>44.8</w:t>
        <w:tab/>
        <w:t>Reference table</w:t>
      </w:r>
    </w:p>
    <w:p>
      <w:pPr>
        <w:pStyle w:val="Caption"/>
        <w:keepNext/>
        <w:jc w:val="center"/>
      </w:pPr>
      <w:r>
        <w:rPr>
          <w:b/>
          <w:bCs/>
        </w:rPr>
        <w:t xml:space="preserve">Table 25. Chapter reference.</w:t>
      </w:r>
    </w:p>
    <w:tbl>
      <w:tblPr>
        <w:tblStyle w:val="Table"/>
        <w:tblW w:type="pct" w:w="5000"/>
        <w:jc w:val="center"/>
        <w:tblLayout w:type="autofit"/>
        <w:tblLook w:firstRow="1" w:lastRow="0" w:firstColumn="0" w:lastColumn="0" w:noHBand="0" w:noVBand="0" w:val="0020"/>
      </w:tblPr>
      <w:tblGrid>
        <w:gridCol w:w="2640"/>
        <w:gridCol w:w="2640"/>
        <w:gridCol w:w="2640"/>
      </w:tblGrid>
      <w:tr>
        <w:trPr>
          <w:tblHeader w:val="on"/>
          <w:tblHeader w:val="true"/>
          <w:cantSplit/>
        </w:trPr>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0A2342" w:val="clear"/>
          </w:tcPr>
          <w:p>
            <w:pPr>
              <w:pStyle w:val="Compact"/>
              <w:spacing w:before="30" w:after="30" w:line="240" w:lineRule="auto"/>
              <w:jc w:val="left"/>
            </w:pPr>
            <w:r>
              <w:rPr>
                <w:rFonts w:ascii="Noto Sans" w:hAnsi="Noto Sans" w:eastAsia="Noto Sans" w:cs="Noto Sans"/>
                <w:b/>
                <w:color w:val="FFFFFF"/>
                <w:sz w:val="16"/>
              </w:rPr>
              <w:t xml:space="preserve">Method</w:t>
            </w:r>
          </w:p>
        </w:tc>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0A2342" w:val="clear"/>
          </w:tcPr>
          <w:p>
            <w:pPr>
              <w:pStyle w:val="Compact"/>
              <w:spacing w:before="30" w:after="30" w:line="240" w:lineRule="auto"/>
              <w:jc w:val="left"/>
            </w:pPr>
            <w:r>
              <w:rPr>
                <w:rFonts w:ascii="Noto Sans" w:hAnsi="Noto Sans" w:eastAsia="Noto Sans" w:cs="Noto Sans"/>
                <w:b/>
                <w:color w:val="FFFFFF"/>
                <w:sz w:val="16"/>
              </w:rPr>
              <w:t xml:space="preserve">Strength</w:t>
            </w:r>
          </w:p>
        </w:tc>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0A2342" w:val="clear"/>
          </w:tcPr>
          <w:p>
            <w:pPr>
              <w:pStyle w:val="Compact"/>
              <w:spacing w:before="30" w:after="30" w:line="240" w:lineRule="auto"/>
              <w:jc w:val="left"/>
            </w:pPr>
            <w:r>
              <w:rPr>
                <w:rFonts w:ascii="Noto Sans" w:hAnsi="Noto Sans" w:eastAsia="Noto Sans" w:cs="Noto Sans"/>
                <w:b/>
                <w:color w:val="FFFFFF"/>
                <w:sz w:val="16"/>
              </w:rPr>
              <w:t xml:space="preserve">Weakness</w:t>
            </w:r>
          </w:p>
        </w:tc>
      </w:tr>
      <w:tr>
        <w:trPr>
          <w:cantSplit/>
        </w:trPr>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EEF4F8" w:val="clear"/>
          </w:tcPr>
          <w:p>
            <w:pPr>
              <w:pStyle w:val="Compact"/>
              <w:spacing w:before="30" w:after="30" w:line="240" w:lineRule="auto"/>
              <w:jc w:val="left"/>
            </w:pPr>
            <w:r>
              <w:rPr>
                <w:rFonts w:ascii="Noto Sans" w:hAnsi="Noto Sans" w:eastAsia="Noto Sans" w:cs="Noto Sans"/>
                <w:b w:val="0"/>
                <w:color w:val="18212B"/>
                <w:sz w:val="16"/>
              </w:rPr>
              <w:t xml:space="preserve">historical simulation</w:t>
            </w:r>
          </w:p>
        </w:tc>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EEF4F8" w:val="clear"/>
          </w:tcPr>
          <w:p>
            <w:pPr>
              <w:pStyle w:val="Compact"/>
              <w:spacing w:before="30" w:after="30" w:line="240" w:lineRule="auto"/>
              <w:jc w:val="left"/>
            </w:pPr>
            <w:r>
              <w:rPr>
                <w:rFonts w:ascii="Noto Sans" w:hAnsi="Noto Sans" w:eastAsia="Noto Sans" w:cs="Noto Sans"/>
                <w:b w:val="0"/>
                <w:color w:val="18212B"/>
                <w:sz w:val="16"/>
              </w:rPr>
              <w:t xml:space="preserve">few distribution assumptions</w:t>
            </w:r>
          </w:p>
        </w:tc>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EEF4F8" w:val="clear"/>
          </w:tcPr>
          <w:p>
            <w:pPr>
              <w:pStyle w:val="Compact"/>
              <w:spacing w:before="30" w:after="30" w:line="240" w:lineRule="auto"/>
              <w:jc w:val="left"/>
            </w:pPr>
            <w:r>
              <w:rPr>
                <w:rFonts w:ascii="Noto Sans" w:hAnsi="Noto Sans" w:eastAsia="Noto Sans" w:cs="Noto Sans"/>
                <w:b w:val="0"/>
                <w:color w:val="18212B"/>
                <w:sz w:val="16"/>
              </w:rPr>
              <w:t xml:space="preserve">limited to observed history</w:t>
            </w:r>
          </w:p>
        </w:tc>
      </w:tr>
      <w:tr>
        <w:trPr>
          <w:cantSplit/>
        </w:trPr>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FFFFFF" w:val="clear"/>
          </w:tcPr>
          <w:p>
            <w:pPr>
              <w:pStyle w:val="Compact"/>
              <w:spacing w:before="30" w:after="30" w:line="240" w:lineRule="auto"/>
              <w:jc w:val="left"/>
            </w:pPr>
            <w:r>
              <w:rPr>
                <w:rFonts w:ascii="Noto Sans" w:hAnsi="Noto Sans" w:eastAsia="Noto Sans" w:cs="Noto Sans"/>
                <w:b w:val="0"/>
                <w:color w:val="18212B"/>
                <w:sz w:val="16"/>
              </w:rPr>
              <w:t xml:space="preserve">normal parametric</w:t>
            </w:r>
          </w:p>
        </w:tc>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FFFFFF" w:val="clear"/>
          </w:tcPr>
          <w:p>
            <w:pPr>
              <w:pStyle w:val="Compact"/>
              <w:spacing w:before="30" w:after="30" w:line="240" w:lineRule="auto"/>
              <w:jc w:val="left"/>
            </w:pPr>
            <w:r>
              <w:rPr>
                <w:rFonts w:ascii="Noto Sans" w:hAnsi="Noto Sans" w:eastAsia="Noto Sans" w:cs="Noto Sans"/>
                <w:b w:val="0"/>
                <w:color w:val="18212B"/>
                <w:sz w:val="16"/>
              </w:rPr>
              <w:t xml:space="preserve">simple closed form</w:t>
            </w:r>
          </w:p>
        </w:tc>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FFFFFF" w:val="clear"/>
          </w:tcPr>
          <w:p>
            <w:pPr>
              <w:pStyle w:val="Compact"/>
              <w:spacing w:before="30" w:after="30" w:line="240" w:lineRule="auto"/>
              <w:jc w:val="left"/>
            </w:pPr>
            <w:r>
              <w:rPr>
                <w:rFonts w:ascii="Noto Sans" w:hAnsi="Noto Sans" w:eastAsia="Noto Sans" w:cs="Noto Sans"/>
                <w:b w:val="0"/>
                <w:color w:val="18212B"/>
                <w:sz w:val="16"/>
              </w:rPr>
              <w:t xml:space="preserve">thin tails and symmetry</w:t>
            </w:r>
          </w:p>
        </w:tc>
      </w:tr>
      <w:tr>
        <w:trPr>
          <w:cantSplit/>
        </w:trPr>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EEF4F8" w:val="clear"/>
          </w:tcPr>
          <w:p>
            <w:pPr>
              <w:pStyle w:val="Compact"/>
              <w:spacing w:before="30" w:after="30" w:line="240" w:lineRule="auto"/>
              <w:jc w:val="left"/>
            </w:pPr>
            <w:r>
              <w:rPr>
                <w:rFonts w:ascii="Noto Sans" w:hAnsi="Noto Sans" w:eastAsia="Noto Sans" w:cs="Noto Sans"/>
                <w:b w:val="0"/>
                <w:color w:val="18212B"/>
                <w:sz w:val="16"/>
              </w:rPr>
              <w:t xml:space="preserve">Student-t parametric</w:t>
            </w:r>
          </w:p>
        </w:tc>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EEF4F8" w:val="clear"/>
          </w:tcPr>
          <w:p>
            <w:pPr>
              <w:pStyle w:val="Compact"/>
              <w:spacing w:before="30" w:after="30" w:line="240" w:lineRule="auto"/>
              <w:jc w:val="left"/>
            </w:pPr>
            <w:r>
              <w:rPr>
                <w:rFonts w:ascii="Noto Sans" w:hAnsi="Noto Sans" w:eastAsia="Noto Sans" w:cs="Noto Sans"/>
                <w:b w:val="0"/>
                <w:color w:val="18212B"/>
                <w:sz w:val="16"/>
              </w:rPr>
              <w:t xml:space="preserve">heavier tails</w:t>
            </w:r>
          </w:p>
        </w:tc>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EEF4F8" w:val="clear"/>
          </w:tcPr>
          <w:p>
            <w:pPr>
              <w:pStyle w:val="Compact"/>
              <w:spacing w:before="30" w:after="30" w:line="240" w:lineRule="auto"/>
              <w:jc w:val="left"/>
            </w:pPr>
            <w:r>
              <w:rPr>
                <w:rFonts w:ascii="Noto Sans" w:hAnsi="Noto Sans" w:eastAsia="Noto Sans" w:cs="Noto Sans"/>
                <w:b w:val="0"/>
                <w:color w:val="18212B"/>
                <w:sz w:val="16"/>
              </w:rPr>
              <w:t xml:space="preserve">degrees-of-freedom sensitivity</w:t>
            </w:r>
          </w:p>
        </w:tc>
      </w:tr>
      <w:tr>
        <w:trPr>
          <w:cantSplit/>
        </w:trPr>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FFFFFF" w:val="clear"/>
          </w:tcPr>
          <w:p>
            <w:pPr>
              <w:pStyle w:val="Compact"/>
              <w:spacing w:before="30" w:after="30" w:line="240" w:lineRule="auto"/>
              <w:jc w:val="left"/>
            </w:pPr>
            <w:r>
              <w:rPr>
                <w:rFonts w:ascii="Noto Sans" w:hAnsi="Noto Sans" w:eastAsia="Noto Sans" w:cs="Noto Sans"/>
                <w:b w:val="0"/>
                <w:color w:val="18212B"/>
                <w:sz w:val="16"/>
              </w:rPr>
              <w:t xml:space="preserve">GARCH VaR</w:t>
            </w:r>
          </w:p>
        </w:tc>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FFFFFF" w:val="clear"/>
          </w:tcPr>
          <w:p>
            <w:pPr>
              <w:pStyle w:val="Compact"/>
              <w:spacing w:before="30" w:after="30" w:line="240" w:lineRule="auto"/>
              <w:jc w:val="left"/>
            </w:pPr>
            <w:r>
              <w:rPr>
                <w:rFonts w:ascii="Noto Sans" w:hAnsi="Noto Sans" w:eastAsia="Noto Sans" w:cs="Noto Sans"/>
                <w:b w:val="0"/>
                <w:color w:val="18212B"/>
                <w:sz w:val="16"/>
              </w:rPr>
              <w:t xml:space="preserve">time-varying volatility</w:t>
            </w:r>
          </w:p>
        </w:tc>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FFFFFF" w:val="clear"/>
          </w:tcPr>
          <w:p>
            <w:pPr>
              <w:pStyle w:val="Compact"/>
              <w:spacing w:before="30" w:after="30" w:line="240" w:lineRule="auto"/>
              <w:jc w:val="left"/>
            </w:pPr>
            <w:r>
              <w:rPr>
                <w:rFonts w:ascii="Noto Sans" w:hAnsi="Noto Sans" w:eastAsia="Noto Sans" w:cs="Noto Sans"/>
                <w:b w:val="0"/>
                <w:color w:val="18212B"/>
                <w:sz w:val="16"/>
              </w:rPr>
              <w:t xml:space="preserve">model and innovation risk</w:t>
            </w:r>
          </w:p>
        </w:tc>
      </w:tr>
      <w:tr>
        <w:trPr>
          <w:cantSplit/>
        </w:trPr>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EEF4F8" w:val="clear"/>
          </w:tcPr>
          <w:p>
            <w:pPr>
              <w:pStyle w:val="Compact"/>
              <w:spacing w:before="30" w:after="30" w:line="240" w:lineRule="auto"/>
              <w:jc w:val="left"/>
            </w:pPr>
            <w:r>
              <w:rPr>
                <w:rFonts w:ascii="Noto Sans" w:hAnsi="Noto Sans" w:eastAsia="Noto Sans" w:cs="Noto Sans"/>
                <w:b w:val="0"/>
                <w:color w:val="18212B"/>
                <w:sz w:val="16"/>
              </w:rPr>
              <w:t xml:space="preserve">POT EVT</w:t>
            </w:r>
          </w:p>
        </w:tc>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EEF4F8" w:val="clear"/>
          </w:tcPr>
          <w:p>
            <w:pPr>
              <w:pStyle w:val="Compact"/>
              <w:spacing w:before="30" w:after="30" w:line="240" w:lineRule="auto"/>
              <w:jc w:val="left"/>
            </w:pPr>
            <w:r>
              <w:rPr>
                <w:rFonts w:ascii="Noto Sans" w:hAnsi="Noto Sans" w:eastAsia="Noto Sans" w:cs="Noto Sans"/>
                <w:b w:val="0"/>
                <w:color w:val="18212B"/>
                <w:sz w:val="16"/>
              </w:rPr>
              <w:t xml:space="preserve">tail-focused</w:t>
            </w:r>
          </w:p>
        </w:tc>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EEF4F8" w:val="clear"/>
          </w:tcPr>
          <w:p>
            <w:pPr>
              <w:pStyle w:val="Compact"/>
              <w:spacing w:before="30" w:after="30" w:line="240" w:lineRule="auto"/>
              <w:jc w:val="left"/>
            </w:pPr>
            <w:r>
              <w:rPr>
                <w:rFonts w:ascii="Noto Sans" w:hAnsi="Noto Sans" w:eastAsia="Noto Sans" w:cs="Noto Sans"/>
                <w:b w:val="0"/>
                <w:color w:val="18212B"/>
                <w:sz w:val="16"/>
              </w:rPr>
              <w:t xml:space="preserve">threshold and dependence sensitivity</w:t>
            </w:r>
          </w:p>
        </w:tc>
      </w:tr>
    </w:tbl>
    <w:p>
      <w:pPr>
        <w:pStyle w:val="BlockText"/>
        <w:shd w:fill="EAF7F5" w:val="clear"/>
        <w:pBdr>
          <w:left w:val="single" w:sz="18" w:space="8" w:color="008F87"/>
        </w:pBdr>
      </w:pPr>
      <w:r>
        <w:rPr>
          <w:b/>
          <w:bCs/>
        </w:rPr>
        <w:t xml:space="preserve">Why This Matters</w:t>
      </w:r>
    </w:p>
    <w:p>
      <w:pPr>
        <w:pStyle w:val="BlockText"/>
        <w:shd w:fill="EAF7F5" w:val="clear"/>
        <w:pBdr>
          <w:left w:val="single" w:sz="18" w:space="8" w:color="008F87"/>
        </w:pBdr>
      </w:pPr>
      <w:r>
        <w:t xml:space="preserve">Risk measures organize a conversation about tail loss, capital, limits, and model uncertainty, but they do not eliminate uncertainty.</w:t>
      </w:r>
    </w:p>
    <w:p>
      <w:pPr>
        <w:pStyle w:val="BlockText"/>
        <w:shd w:fill="EAF7F5" w:val="clear"/>
        <w:pBdr>
          <w:left w:val="single" w:sz="18" w:space="8" w:color="008F87"/>
        </w:pBdr>
      </w:pPr>
      <w:r>
        <w:rPr>
          <w:b/>
          <w:bCs/>
        </w:rPr>
        <w:t xml:space="preserve">Common Mistake</w:t>
      </w:r>
    </w:p>
    <w:p>
      <w:pPr>
        <w:pStyle w:val="BlockText"/>
        <w:shd w:fill="EAF7F5" w:val="clear"/>
        <w:pBdr>
          <w:left w:val="single" w:sz="18" w:space="8" w:color="008F87"/>
        </w:pBdr>
      </w:pPr>
      <w:r>
        <w:t xml:space="preserve">Backtesting a VaR model on the same observations used to estimate each day’s threshold.</w:t>
      </w:r>
    </w:p>
    <w:p>
      <w:pPr>
        <w:pStyle w:val="BlockText"/>
        <w:shd w:fill="EAF7F5" w:val="clear"/>
        <w:pBdr>
          <w:left w:val="single" w:sz="18" w:space="8" w:color="008F87"/>
        </w:pBdr>
      </w:pPr>
      <w:r>
        <w:rPr>
          <w:b/>
          <w:bCs/>
        </w:rPr>
        <w:t xml:space="preserve">Ceteris LAB Tip</w:t>
      </w:r>
    </w:p>
    <w:p>
      <w:pPr>
        <w:pStyle w:val="BlockText"/>
        <w:shd w:fill="EAF7F5" w:val="clear"/>
        <w:pBdr>
          <w:left w:val="single" w:sz="18" w:space="8" w:color="008F87"/>
        </w:pBdr>
      </w:pPr>
      <w:r>
        <w:t xml:space="preserve">Keep losses positive and returns signed in separate variables. This prevents silent sign reversals.</w:t>
      </w:r>
    </w:p>
    <w:p>
      <w:pPr>
        <w:pStyle w:val="BlockText"/>
        <w:shd w:fill="EAF7F5" w:val="clear"/>
        <w:pBdr>
          <w:left w:val="single" w:sz="18" w:space="8" w:color="008F87"/>
        </w:pBdr>
      </w:pPr>
      <w:r>
        <w:rPr>
          <w:b/>
          <w:bCs/>
        </w:rPr>
        <w:t xml:space="preserve">R-to-Python / Source Bridge</w:t>
      </w:r>
    </w:p>
    <w:p>
      <w:pPr>
        <w:pStyle w:val="BlockText"/>
        <w:shd w:fill="EAF7F5" w:val="clear"/>
        <w:pBdr>
          <w:left w:val="single" w:sz="18" w:space="8" w:color="008F87"/>
        </w:pBdr>
      </w:pPr>
      <w:r>
        <w:t xml:space="preserve">The source risk lecture covers coherence, VaR, ES, RiskMetrics, GARCH risk, backtesting, stress testing, and EVT. The Python chapter preserves the mathematical core while strengthening sign, horizon, and out-of-sample controls</w:t>
      </w:r>
      <w:r>
        <w:t xml:space="preserve"> </w:t>
      </w:r>
      <w:r>
        <w:t xml:space="preserve">(Tsay 2013)</w:t>
      </w:r>
      <w:r>
        <w:t xml:space="preserve">.</w:t>
      </w:r>
    </w:p>
    <w:bookmarkEnd w:id="522"/>
    <w:bookmarkStart w:id="523" w:name="guided-practice-24"/>
    <w:p>
      <w:pPr>
        <w:pStyle w:val="Heading2"/>
        <w:keepNext/>
      </w:pPr>
      <w:r>
        <w:t>44.9</w:t>
        <w:tab/>
        <w:t>Guided practice</w:t>
      </w:r>
    </w:p>
    <w:p>
      <w:pPr>
        <w:pStyle w:val="Compact"/>
        <w:numPr>
          <w:ilvl w:val="0"/>
          <w:numId w:val="1100"/>
        </w:numPr>
      </w:pPr>
      <w:r>
        <w:t xml:space="preserve">Re-run Demonstration 25.1 and change one input while keeping the analytical question fixed.</w:t>
      </w:r>
    </w:p>
    <w:p>
      <w:pPr>
        <w:pStyle w:val="Compact"/>
        <w:numPr>
          <w:ilvl w:val="0"/>
          <w:numId w:val="1100"/>
        </w:numPr>
      </w:pPr>
      <w:r>
        <w:t xml:space="preserve">Explain in two sentences how the output supports, or fails to support, the chapter opening question.</w:t>
      </w:r>
    </w:p>
    <w:p>
      <w:pPr>
        <w:pStyle w:val="Compact"/>
        <w:numPr>
          <w:ilvl w:val="0"/>
          <w:numId w:val="1100"/>
        </w:numPr>
      </w:pPr>
      <w:r>
        <w:t xml:space="preserve">Add one validation check that would prevent a plausible error.</w:t>
      </w:r>
    </w:p>
    <w:bookmarkEnd w:id="523"/>
    <w:bookmarkStart w:id="524" w:name="exercises-24"/>
    <w:p>
      <w:pPr>
        <w:pStyle w:val="Heading2"/>
        <w:keepNext/>
      </w:pPr>
      <w:r>
        <w:t>44.10</w:t>
        <w:tab/>
        <w:t>Exercises</w:t>
      </w:r>
    </w:p>
    <w:p>
      <w:pPr>
        <w:pStyle w:val="Compact"/>
        <w:numPr>
          <w:ilvl w:val="0"/>
          <w:numId w:val="1101"/>
        </w:numPr>
      </w:pPr>
      <w:r>
        <w:t xml:space="preserve">Compute 95 and 99 percent historical VaR and ES.</w:t>
      </w:r>
    </w:p>
    <w:p>
      <w:pPr>
        <w:pStyle w:val="Compact"/>
        <w:numPr>
          <w:ilvl w:val="0"/>
          <w:numId w:val="1101"/>
        </w:numPr>
      </w:pPr>
      <w:r>
        <w:t xml:space="preserve">Compare normal and Student-t parametric risk.</w:t>
      </w:r>
    </w:p>
    <w:p>
      <w:pPr>
        <w:pStyle w:val="Compact"/>
        <w:numPr>
          <w:ilvl w:val="0"/>
          <w:numId w:val="1101"/>
        </w:numPr>
      </w:pPr>
      <w:r>
        <w:t xml:space="preserve">Design an expanding-window VaR backtest.</w:t>
      </w:r>
    </w:p>
    <w:p>
      <w:pPr>
        <w:pStyle w:val="Compact"/>
        <w:numPr>
          <w:ilvl w:val="0"/>
          <w:numId w:val="1101"/>
        </w:numPr>
      </w:pPr>
      <w:r>
        <w:t xml:space="preserve">Create a stress scenario not present in the historical sample.</w:t>
      </w:r>
    </w:p>
    <w:bookmarkEnd w:id="524"/>
    <w:bookmarkStart w:id="525" w:name="chapter-summary-24"/>
    <w:p>
      <w:pPr>
        <w:pStyle w:val="Heading2"/>
        <w:keepNext/>
      </w:pPr>
      <w:r>
        <w:t>44.11</w:t>
        <w:tab/>
        <w:t>Chapter summary</w:t>
      </w:r>
    </w:p>
    <w:p>
      <w:pPr>
        <w:pStyle w:val="Compact"/>
        <w:numPr>
          <w:ilvl w:val="0"/>
          <w:numId w:val="1102"/>
        </w:numPr>
      </w:pPr>
      <w:r>
        <w:t xml:space="preserve">VaR is a loss quantile; ES summarizes severity beyond it.</w:t>
      </w:r>
    </w:p>
    <w:p>
      <w:pPr>
        <w:pStyle w:val="Compact"/>
        <w:numPr>
          <w:ilvl w:val="0"/>
          <w:numId w:val="1102"/>
        </w:numPr>
      </w:pPr>
      <w:r>
        <w:t xml:space="preserve">Backtesting must use ex ante thresholds.</w:t>
      </w:r>
    </w:p>
    <w:p>
      <w:pPr>
        <w:pStyle w:val="Compact"/>
        <w:numPr>
          <w:ilvl w:val="0"/>
          <w:numId w:val="1102"/>
        </w:numPr>
      </w:pPr>
      <w:r>
        <w:t xml:space="preserve">Tail estimation and stress design remain uncertain and model-dependent.</w:t>
      </w:r>
    </w:p>
    <w:bookmarkEnd w:id="525"/>
    <w:bookmarkStart w:id="526" w:name="key-python-commands-24"/>
    <w:p>
      <w:pPr>
        <w:pStyle w:val="Heading2"/>
        <w:keepNext/>
      </w:pPr>
      <w:r>
        <w:t>44.12</w:t>
        <w:tab/>
        <w:t>Key Python commands</w:t>
      </w:r>
    </w:p>
    <w:p>
      <w:pPr>
        <w:pStyle w:val="SourceCode"/>
        <w:keepLines/>
        <w:shd w:fill="F6F8FA" w:val="clear"/>
      </w:pPr>
      <w:r>
        <w:rPr>
          <w:rStyle w:val="ImportTok"/>
        </w:rPr>
        <w:t xml:space="preserve">import</w:t>
      </w:r>
      <w:r>
        <w:rPr>
          <w:rStyle w:val="NormalTok"/>
        </w:rPr>
        <w:t xml:space="preserve"> numpy </w:t>
      </w:r>
      <w:r>
        <w:rPr>
          <w:rStyle w:val="ImportTok"/>
        </w:rPr>
        <w:t xml:space="preserve">as</w:t>
      </w:r>
      <w:r>
        <w:rPr>
          <w:rStyle w:val="NormalTok"/>
        </w:rPr>
        <w:t xml:space="preserve"> np</w:t>
      </w:r>
      <w:r>
        <w:br/>
      </w:r>
      <w:r>
        <w:rPr>
          <w:rStyle w:val="NormalTok"/>
        </w:rPr>
        <w:t xml:space="preserve">rng </w:t>
      </w:r>
      <w:r>
        <w:rPr>
          <w:rStyle w:val="OperatorTok"/>
        </w:rPr>
        <w:t xml:space="preserve">=</w:t>
      </w:r>
      <w:r>
        <w:rPr>
          <w:rStyle w:val="NormalTok"/>
        </w:rPr>
        <w:t xml:space="preserve"> np.random.default_rng(</w:t>
      </w:r>
      <w:r>
        <w:rPr>
          <w:rStyle w:val="DecValTok"/>
        </w:rPr>
        <w:t xml:space="preserve">25</w:t>
      </w:r>
      <w:r>
        <w:rPr>
          <w:rStyle w:val="NormalTok"/>
        </w:rPr>
        <w:t xml:space="preserve">)</w:t>
      </w:r>
      <w:r>
        <w:br/>
      </w:r>
      <w:r>
        <w:rPr>
          <w:rStyle w:val="NormalTok"/>
        </w:rPr>
        <w:t xml:space="preserve">returns </w:t>
      </w:r>
      <w:r>
        <w:rPr>
          <w:rStyle w:val="OperatorTok"/>
        </w:rPr>
        <w:t xml:space="preserve">=</w:t>
      </w:r>
      <w:r>
        <w:rPr>
          <w:rStyle w:val="NormalTok"/>
        </w:rPr>
        <w:t xml:space="preserve"> </w:t>
      </w:r>
      <w:r>
        <w:rPr>
          <w:rStyle w:val="FloatTok"/>
        </w:rPr>
        <w:t xml:space="preserve">0.01</w:t>
      </w:r>
      <w:r>
        <w:rPr>
          <w:rStyle w:val="NormalTok"/>
        </w:rPr>
        <w:t xml:space="preserve"> </w:t>
      </w:r>
      <w:r>
        <w:rPr>
          <w:rStyle w:val="OperatorTok"/>
        </w:rPr>
        <w:t xml:space="preserve">*</w:t>
      </w:r>
      <w:r>
        <w:rPr>
          <w:rStyle w:val="NormalTok"/>
        </w:rPr>
        <w:t xml:space="preserve"> rng.standard_t(df</w:t>
      </w:r>
      <w:r>
        <w:rPr>
          <w:rStyle w:val="OperatorTok"/>
        </w:rPr>
        <w:t xml:space="preserve">=</w:t>
      </w:r>
      <w:r>
        <w:rPr>
          <w:rStyle w:val="DecValTok"/>
        </w:rPr>
        <w:t xml:space="preserve">5</w:t>
      </w:r>
      <w:r>
        <w:rPr>
          <w:rStyle w:val="NormalTok"/>
        </w:rPr>
        <w:t xml:space="preserve">, size</w:t>
      </w:r>
      <w:r>
        <w:rPr>
          <w:rStyle w:val="OperatorTok"/>
        </w:rPr>
        <w:t xml:space="preserve">=</w:t>
      </w:r>
      <w:r>
        <w:rPr>
          <w:rStyle w:val="DecValTok"/>
        </w:rPr>
        <w:t xml:space="preserve">2_000</w:t>
      </w:r>
      <w:r>
        <w:rPr>
          <w:rStyle w:val="NormalTok"/>
        </w:rPr>
        <w:t xml:space="preserve">)</w:t>
      </w:r>
      <w:r>
        <w:br/>
      </w:r>
      <w:r>
        <w:rPr>
          <w:rStyle w:val="NormalTok"/>
        </w:rPr>
        <w:t xml:space="preserve">var </w:t>
      </w:r>
      <w:r>
        <w:rPr>
          <w:rStyle w:val="OperatorTok"/>
        </w:rPr>
        <w:t xml:space="preserve">=</w:t>
      </w:r>
      <w:r>
        <w:rPr>
          <w:rStyle w:val="NormalTok"/>
        </w:rPr>
        <w:t xml:space="preserve"> np.quantile(losses, q)</w:t>
      </w:r>
      <w:r>
        <w:br/>
      </w:r>
      <w:r>
        <w:rPr>
          <w:rStyle w:val="NormalTok"/>
        </w:rPr>
        <w:t xml:space="preserve">es </w:t>
      </w:r>
      <w:r>
        <w:rPr>
          <w:rStyle w:val="OperatorTok"/>
        </w:rPr>
        <w:t xml:space="preserve">=</w:t>
      </w:r>
      <w:r>
        <w:rPr>
          <w:rStyle w:val="NormalTok"/>
        </w:rPr>
        <w:t xml:space="preserve"> losses[losses </w:t>
      </w:r>
      <w:r>
        <w:rPr>
          <w:rStyle w:val="OperatorTok"/>
        </w:rPr>
        <w:t xml:space="preserve">&gt;=</w:t>
      </w:r>
      <w:r>
        <w:rPr>
          <w:rStyle w:val="NormalTok"/>
        </w:rPr>
        <w:t xml:space="preserve"> var].mean()</w:t>
      </w:r>
      <w:r>
        <w:br/>
      </w:r>
      <w:r>
        <w:rPr>
          <w:rStyle w:val="BuiltInTok"/>
        </w:rPr>
        <w:t xml:space="preserve">print</w:t>
      </w:r>
      <w:r>
        <w:rPr>
          <w:rStyle w:val="NormalTok"/>
        </w:rPr>
        <w:t xml:space="preserve">(</w:t>
      </w:r>
      <w:r>
        <w:rPr>
          <w:rStyle w:val="BuiltInTok"/>
        </w:rPr>
        <w:t xml:space="preserve">round</w:t>
      </w:r>
      <w:r>
        <w:rPr>
          <w:rStyle w:val="NormalTok"/>
        </w:rPr>
        <w:t xml:space="preserve">(var, </w:t>
      </w:r>
      <w:r>
        <w:rPr>
          <w:rStyle w:val="DecValTok"/>
        </w:rPr>
        <w:t xml:space="preserve">4</w:t>
      </w:r>
      <w:r>
        <w:rPr>
          <w:rStyle w:val="NormalTok"/>
        </w:rPr>
        <w:t xml:space="preserve">), </w:t>
      </w:r>
      <w:r>
        <w:rPr>
          <w:rStyle w:val="BuiltInTok"/>
        </w:rPr>
        <w:t xml:space="preserve">round</w:t>
      </w:r>
      <w:r>
        <w:rPr>
          <w:rStyle w:val="NormalTok"/>
        </w:rPr>
        <w:t xml:space="preserve">(es, </w:t>
      </w:r>
      <w:r>
        <w:rPr>
          <w:rStyle w:val="DecValTok"/>
        </w:rPr>
        <w:t xml:space="preserve">4</w:t>
      </w:r>
      <w:r>
        <w:rPr>
          <w:rStyle w:val="NormalTok"/>
        </w:rPr>
        <w:t xml:space="preserve">), </w:t>
      </w:r>
      <w:r>
        <w:rPr>
          <w:rStyle w:val="BuiltInTok"/>
        </w:rPr>
        <w:t xml:space="preserve">int</w:t>
      </w:r>
      <w:r>
        <w:rPr>
          <w:rStyle w:val="NormalTok"/>
        </w:rPr>
        <w:t xml:space="preserve">((losses </w:t>
      </w:r>
      <w:r>
        <w:rPr>
          <w:rStyle w:val="OperatorTok"/>
        </w:rPr>
        <w:t xml:space="preserve">&gt;=</w:t>
      </w:r>
      <w:r>
        <w:rPr>
          <w:rStyle w:val="NormalTok"/>
        </w:rPr>
        <w:t xml:space="preserve"> var).</w:t>
      </w:r>
      <w:r>
        <w:rPr>
          <w:rStyle w:val="BuiltInTok"/>
        </w:rPr>
        <w:t xml:space="preserve">sum</w:t>
      </w:r>
      <w:r>
        <w:rPr>
          <w:rStyle w:val="NormalTok"/>
        </w:rPr>
        <w:t xml:space="preserve">()))</w:t>
      </w:r>
    </w:p>
    <w:bookmarkEnd w:id="526"/>
    <w:bookmarkEnd w:id="527"/>
    <w:bookmarkStart w:id="557" w:name="multiple-time-series"/>
    <w:p>
      <w:pPr>
        <w:pStyle w:val="Heading1"/>
        <w:keepNext/>
        <w:pageBreakBefore/>
      </w:pPr>
      <w:r>
        <w:t>45</w:t>
        <w:tab/>
        <w:t>Multiple Time Series</w:t>
      </w:r>
    </w:p>
    <w:p>
      <w:pPr>
        <w:pStyle w:val="FirstParagraph"/>
      </w:pPr>
      <w:r>
        <w:rPr>
          <w:i/>
          <w:iCs/>
        </w:rPr>
        <w:t xml:space="preserve">Opening question:</w:t>
      </w:r>
      <w:r>
        <w:t xml:space="preserve"> </w:t>
      </w:r>
      <w:r>
        <w:rPr>
          <w:b/>
          <w:bCs/>
        </w:rPr>
        <w:t xml:space="preserve">When several series move together, which relationships are short-run predictive and which are long-run equilibrating?</w:t>
      </w:r>
    </w:p>
    <w:bookmarkStart w:id="528" w:name="learning-objectives-25"/>
    <w:p>
      <w:pPr>
        <w:pStyle w:val="Heading2"/>
        <w:keepNext/>
      </w:pPr>
      <w:r>
        <w:t>45.1</w:t>
        <w:tab/>
        <w:t>Learning objectives</w:t>
      </w:r>
    </w:p>
    <w:p>
      <w:pPr>
        <w:pStyle w:val="Compact"/>
        <w:numPr>
          <w:ilvl w:val="0"/>
          <w:numId w:val="1103"/>
        </w:numPr>
      </w:pPr>
      <w:r>
        <w:t xml:space="preserve">Compute cross-correlation structures.</w:t>
      </w:r>
    </w:p>
    <w:p>
      <w:pPr>
        <w:pStyle w:val="Compact"/>
        <w:numPr>
          <w:ilvl w:val="0"/>
          <w:numId w:val="1103"/>
        </w:numPr>
      </w:pPr>
      <w:r>
        <w:t xml:space="preserve">Estimate and diagnose VAR models.</w:t>
      </w:r>
    </w:p>
    <w:p>
      <w:pPr>
        <w:pStyle w:val="Compact"/>
        <w:numPr>
          <w:ilvl w:val="0"/>
          <w:numId w:val="1103"/>
        </w:numPr>
      </w:pPr>
      <w:r>
        <w:t xml:space="preserve">Interpret Granger predictability and impulse responses cautiously.</w:t>
      </w:r>
    </w:p>
    <w:p>
      <w:pPr>
        <w:pStyle w:val="Compact"/>
        <w:numPr>
          <w:ilvl w:val="0"/>
          <w:numId w:val="1103"/>
        </w:numPr>
      </w:pPr>
      <w:r>
        <w:t xml:space="preserve">Test cointegration and describe VECM adjustment.</w:t>
      </w:r>
    </w:p>
    <w:p>
      <w:pPr>
        <w:pStyle w:val="FirstParagraph"/>
      </w:pPr>
      <w:r>
        <w:rPr>
          <w:b/>
          <w:bCs/>
        </w:rPr>
        <w:t xml:space="preserve">Prerequisites:</w:t>
      </w:r>
      <w:r>
        <w:t xml:space="preserve"> </w:t>
      </w:r>
      <w:r>
        <w:t xml:space="preserve">Chapters 18 to 20.</w:t>
      </w:r>
    </w:p>
    <w:p>
      <w:pPr>
        <w:pStyle w:val="BodyText"/>
      </w:pPr>
      <w:r>
        <w:rPr>
          <w:b/>
          <w:bCs/>
        </w:rPr>
        <w:t xml:space="preserve">Key terms:</w:t>
      </w:r>
      <w:r>
        <w:t xml:space="preserve"> </w:t>
      </w:r>
      <w:r>
        <w:t xml:space="preserve">cross-correlation, VAR, Granger predictability, impulse response, cointegration, VECM.</w:t>
      </w:r>
    </w:p>
    <w:bookmarkEnd w:id="528"/>
    <w:bookmarkStart w:id="529" w:name="a-vector-model-uses-shared-information"/>
    <w:p>
      <w:pPr>
        <w:pStyle w:val="Heading2"/>
        <w:keepNext/>
      </w:pPr>
      <w:r>
        <w:t>45.2</w:t>
        <w:tab/>
        <w:t>A vector model uses shared information</w:t>
      </w:r>
    </w:p>
    <w:p>
      <w:pPr>
        <w:pStyle w:val="FirstParagraph"/>
      </w:pPr>
      <w:r>
        <w:t xml:space="preserve">A vector autoregression treats each variable as a function of lags of all variables in the system. This can improve forecasts when series contain complementary predictive information. The number of parameters grows quickly with variables and lags, making lag selection, sample size, and regularization important. Residual cross-correlation and serial diagnostics determine whether the system has captured its own dynamics.</w:t>
      </w:r>
    </w:p>
    <w:bookmarkEnd w:id="529"/>
    <w:bookmarkStart w:id="530" w:name="X31a0d24fb81166b76217d8e89415cb876da1f9f"/>
    <w:p>
      <w:pPr>
        <w:pStyle w:val="Heading2"/>
        <w:keepNext/>
      </w:pPr>
      <w:r>
        <w:t>45.3</w:t>
        <w:tab/>
        <w:t>Predictive ordering is not structural causation</w:t>
      </w:r>
    </w:p>
    <w:p>
      <w:pPr>
        <w:pStyle w:val="FirstParagraph"/>
      </w:pPr>
      <w:r>
        <w:t xml:space="preserve">A Granger test asks whether lags of one variable improve prediction of another conditional on the model. Rejection can reflect omitted common causes, measurement timing, policy anticipation, or data aggregation. Impulse responses trace a model’s response to shocks, but contemporaneous identification requires assumptions such as variable ordering or structural restrictions. Those assumptions must be stated beside the graph.</w:t>
      </w:r>
    </w:p>
    <w:bookmarkEnd w:id="530"/>
    <w:bookmarkStart w:id="531" w:name="Xf8cde1e534ae8a947ed4323b490911606cd4977"/>
    <w:p>
      <w:pPr>
        <w:pStyle w:val="Heading2"/>
        <w:keepNext/>
      </w:pPr>
      <w:r>
        <w:t>45.4</w:t>
        <w:tab/>
        <w:t>Cointegration separates short and long horizons</w:t>
      </w:r>
    </w:p>
    <w:p>
      <w:pPr>
        <w:pStyle w:val="FirstParagraph"/>
      </w:pPr>
      <w:r>
        <w:t xml:space="preserve">Two or more unit-root series can share a stationary linear combination. Cointegration implies a long-run relation, while a vector error-correction model describes both short-run changes and adjustment toward that relation. Johansen methods estimate cointegrating rank and vectors under a specified deterministic and lag structure</w:t>
      </w:r>
      <w:r>
        <w:t xml:space="preserve"> </w:t>
      </w:r>
      <w:r>
        <w:t xml:space="preserve">(Johansen 1988)</w:t>
      </w:r>
      <w:r>
        <w:t xml:space="preserve">. Cointegration is not guaranteed arbitrage; trading costs, breaks, and data snooping can erase apparent opportunity.</w:t>
      </w:r>
    </w:p>
    <w:bookmarkEnd w:id="531"/>
    <w:bookmarkStart w:id="532" w:name="core-equations-13"/>
    <w:p>
      <w:pPr>
        <w:pStyle w:val="Heading2"/>
        <w:keepNext/>
      </w:pPr>
      <w:r>
        <w:t>45.5</w:t>
        <w:tab/>
        <w:t>Core equations</w:t>
      </w:r>
    </w:p>
    <w:p>
      <w:pPr>
        <w:pStyle w:val="FirstParagraph"/>
      </w:pPr>
      <w:r>
        <w:rPr>
          <w:b/>
          <w:bCs/>
        </w:rPr>
        <w:t xml:space="preserve">VAR(1)</w:t>
      </w:r>
    </w:p>
    <w:p>
      <w:pPr>
        <w:pStyle w:val="BodyText"/>
      </w:pPr>
      <m:oMathPara>
        <m:oMathParaPr>
          <m:jc m:val="center"/>
        </m:oMathParaPr>
        <m:oMath>
          <m:sSub>
            <m:e>
              <m:r>
                <m:rPr>
                  <m:sty m:val="b"/>
                </m:rPr>
                <m:t>y</m:t>
              </m:r>
            </m:e>
            <m:sub>
              <m:r>
                <m:t>t</m:t>
              </m:r>
            </m:sub>
          </m:sSub>
          <m:r>
            <m:rPr>
              <m:sty m:val="p"/>
            </m:rPr>
            <m:t>=</m:t>
          </m:r>
          <m:r>
            <m:rPr>
              <m:sty m:val="b"/>
            </m:rPr>
            <m:t>c</m:t>
          </m:r>
          <m:r>
            <m:rPr>
              <m:sty m:val="p"/>
            </m:rPr>
            <m:t>+</m:t>
          </m:r>
          <m:sSub>
            <m:e>
              <m:r>
                <m:t>A</m:t>
              </m:r>
            </m:e>
            <m:sub>
              <m:r>
                <m:t>1</m:t>
              </m:r>
            </m:sub>
          </m:sSub>
          <m:sSub>
            <m:e>
              <m:r>
                <m:rPr>
                  <m:sty m:val="b"/>
                </m:rPr>
                <m:t>y</m:t>
              </m:r>
            </m:e>
            <m:sub>
              <m:r>
                <m:t>t</m:t>
              </m:r>
              <m:r>
                <m:rPr>
                  <m:sty m:val="p"/>
                </m:rPr>
                <m:t>−</m:t>
              </m:r>
              <m:r>
                <m:t>1</m:t>
              </m:r>
            </m:sub>
          </m:sSub>
          <m:r>
            <m:rPr>
              <m:sty m:val="p"/>
            </m:rPr>
            <m:t>+</m:t>
          </m:r>
          <m:sSub>
            <m:e>
              <m:r>
                <m:rPr>
                  <m:sty m:val="b"/>
                </m:rPr>
                <m:t>ε</m:t>
              </m:r>
            </m:e>
            <m:sub>
              <m:r>
                <m:t>t</m:t>
              </m:r>
            </m:sub>
          </m:sSub>
        </m:oMath>
      </m:oMathPara>
    </w:p>
    <w:p>
      <w:pPr>
        <w:pStyle w:val="FirstParagraph"/>
      </w:pPr>
      <w:r>
        <w:t xml:space="preserve">Each variable can depend on all variables at the previous lag.</w:t>
      </w:r>
    </w:p>
    <w:p>
      <w:pPr>
        <w:pStyle w:val="BodyText"/>
      </w:pPr>
      <w:r>
        <w:rPr>
          <w:b/>
          <w:bCs/>
        </w:rPr>
        <w:t xml:space="preserve">VECM</w:t>
      </w:r>
    </w:p>
    <w:p>
      <w:pPr>
        <w:pStyle w:val="BodyText"/>
      </w:pPr>
      <m:oMathPara>
        <m:oMathParaPr>
          <m:jc m:val="center"/>
        </m:oMathParaPr>
        <m:oMath>
          <m:r>
            <m:t>Δ</m:t>
          </m:r>
          <m:sSub>
            <m:e>
              <m:r>
                <m:rPr>
                  <m:sty m:val="b"/>
                </m:rPr>
                <m:t>y</m:t>
              </m:r>
            </m:e>
            <m:sub>
              <m:r>
                <m:t>t</m:t>
              </m:r>
            </m:sub>
          </m:sSub>
          <m:r>
            <m:rPr>
              <m:sty m:val="p"/>
            </m:rPr>
            <m:t>=</m:t>
          </m:r>
          <m:r>
            <m:t>Π</m:t>
          </m:r>
          <m:sSub>
            <m:e>
              <m:r>
                <m:rPr>
                  <m:sty m:val="b"/>
                </m:rPr>
                <m:t>y</m:t>
              </m:r>
            </m:e>
            <m:sub>
              <m:r>
                <m:t>t</m:t>
              </m:r>
              <m:r>
                <m:rPr>
                  <m:sty m:val="p"/>
                </m:rPr>
                <m:t>−</m:t>
              </m:r>
              <m:r>
                <m:t>1</m:t>
              </m:r>
            </m:sub>
          </m:sSub>
          <m:r>
            <m:rPr>
              <m:sty m:val="p"/>
            </m:rPr>
            <m:t>+</m:t>
          </m:r>
          <m:nary>
            <m:naryPr>
              <m:chr m:val="∑"/>
              <m:limLoc m:val="undOvr"/>
              <m:subHide m:val="off"/>
              <m:supHide m:val="off"/>
            </m:naryPr>
            <m:sub>
              <m:r>
                <m:t>i</m:t>
              </m:r>
              <m:r>
                <m:rPr>
                  <m:sty m:val="p"/>
                </m:rPr>
                <m:t>=</m:t>
              </m:r>
              <m:r>
                <m:t>1</m:t>
              </m:r>
            </m:sub>
            <m:sup>
              <m:r>
                <m:t>p</m:t>
              </m:r>
              <m:r>
                <m:rPr>
                  <m:sty m:val="p"/>
                </m:rPr>
                <m:t>−</m:t>
              </m:r>
              <m:r>
                <m:t>1</m:t>
              </m:r>
            </m:sup>
            <m:e>
              <m:sSub>
                <m:e>
                  <m:r>
                    <m:t>Γ</m:t>
                  </m:r>
                </m:e>
                <m:sub>
                  <m:r>
                    <m:t>i</m:t>
                  </m:r>
                </m:sub>
              </m:sSub>
            </m:e>
          </m:nary>
          <m:r>
            <m:t>Δ</m:t>
          </m:r>
          <m:sSub>
            <m:e>
              <m:r>
                <m:rPr>
                  <m:sty m:val="b"/>
                </m:rPr>
                <m:t>y</m:t>
              </m:r>
            </m:e>
            <m:sub>
              <m:r>
                <m:t>t</m:t>
              </m:r>
              <m:r>
                <m:rPr>
                  <m:sty m:val="p"/>
                </m:rPr>
                <m:t>−</m:t>
              </m:r>
              <m:r>
                <m:t>i</m:t>
              </m:r>
            </m:sub>
          </m:sSub>
          <m:r>
            <m:rPr>
              <m:sty m:val="p"/>
            </m:rPr>
            <m:t>+</m:t>
          </m:r>
          <m:sSub>
            <m:e>
              <m:r>
                <m:rPr>
                  <m:sty m:val="b"/>
                </m:rPr>
                <m:t>ε</m:t>
              </m:r>
            </m:e>
            <m:sub>
              <m:r>
                <m:t>t</m:t>
              </m:r>
            </m:sub>
          </m:sSub>
        </m:oMath>
      </m:oMathPara>
    </w:p>
    <w:p>
      <w:pPr>
        <w:pStyle w:val="FirstParagraph"/>
      </w:pPr>
      <w:r>
        <w:t xml:space="preserve">The rank of Pi determines the number of cointegrating relations.</w:t>
      </w:r>
    </w:p>
    <w:bookmarkEnd w:id="532"/>
    <w:bookmarkStart w:id="535" w:name="python-demonstrations-25"/>
    <w:p>
      <w:pPr>
        <w:pStyle w:val="Heading2"/>
        <w:keepNext/>
      </w:pPr>
      <w:r>
        <w:t>45.6</w:t>
        <w:tab/>
        <w:t>Python demonstrations</w:t>
      </w:r>
    </w:p>
    <w:bookmarkStart w:id="533" w:name="demonstration-26.1-estimate-a-small-var"/>
    <w:p>
      <w:pPr>
        <w:pStyle w:val="Heading3"/>
        <w:keepNext/>
      </w:pPr>
      <w:r>
        <w:t>45.6.1</w:t>
        <w:tab/>
        <w:t>Demonstration 26.1: Estimate a small VAR</w:t>
      </w:r>
    </w:p>
    <w:p>
      <w:pPr>
        <w:pStyle w:val="SourceCode"/>
        <w:shd w:fill="F6F8FA" w:val="clear"/>
      </w:pPr>
      <w:r>
        <w:rPr>
          <w:rStyle w:val="ImportTok"/>
        </w:rPr>
        <w:t xml:space="preserve">import</w:t>
      </w:r>
      <w:r>
        <w:rPr>
          <w:rStyle w:val="NormalTok"/>
        </w:rPr>
        <w:t xml:space="preserve"> numpy </w:t>
      </w:r>
      <w:r>
        <w:rPr>
          <w:rStyle w:val="ImportTok"/>
        </w:rPr>
        <w:t xml:space="preserve">as</w:t>
      </w:r>
      <w:r>
        <w:rPr>
          <w:rStyle w:val="NormalTok"/>
        </w:rPr>
        <w:t xml:space="preserve"> np</w:t>
      </w:r>
      <w:r>
        <w:br/>
      </w:r>
      <w:r>
        <w:rPr>
          <w:rStyle w:val="ImportTok"/>
        </w:rPr>
        <w:t xml:space="preserve">import</w:t>
      </w:r>
      <w:r>
        <w:rPr>
          <w:rStyle w:val="NormalTok"/>
        </w:rPr>
        <w:t xml:space="preserve"> pandas </w:t>
      </w:r>
      <w:r>
        <w:rPr>
          <w:rStyle w:val="ImportTok"/>
        </w:rPr>
        <w:t xml:space="preserve">as</w:t>
      </w:r>
      <w:r>
        <w:rPr>
          <w:rStyle w:val="NormalTok"/>
        </w:rPr>
        <w:t xml:space="preserve"> pd</w:t>
      </w:r>
      <w:r>
        <w:br/>
      </w:r>
      <w:r>
        <w:rPr>
          <w:rStyle w:val="ImportTok"/>
        </w:rPr>
        <w:t xml:space="preserve">from</w:t>
      </w:r>
      <w:r>
        <w:rPr>
          <w:rStyle w:val="NormalTok"/>
        </w:rPr>
        <w:t xml:space="preserve"> statsmodels.tsa.api </w:t>
      </w:r>
      <w:r>
        <w:rPr>
          <w:rStyle w:val="ImportTok"/>
        </w:rPr>
        <w:t xml:space="preserve">import</w:t>
      </w:r>
      <w:r>
        <w:rPr>
          <w:rStyle w:val="NormalTok"/>
        </w:rPr>
        <w:t xml:space="preserve"> VAR</w:t>
      </w:r>
      <w:r>
        <w:br/>
      </w:r>
      <w:r>
        <w:br/>
      </w:r>
      <w:r>
        <w:rPr>
          <w:rStyle w:val="NormalTok"/>
        </w:rPr>
        <w:t xml:space="preserve">rng </w:t>
      </w:r>
      <w:r>
        <w:rPr>
          <w:rStyle w:val="OperatorTok"/>
        </w:rPr>
        <w:t xml:space="preserve">=</w:t>
      </w:r>
      <w:r>
        <w:rPr>
          <w:rStyle w:val="NormalTok"/>
        </w:rPr>
        <w:t xml:space="preserve"> np.random.default_rng(</w:t>
      </w:r>
      <w:r>
        <w:rPr>
          <w:rStyle w:val="DecValTok"/>
        </w:rPr>
        <w:t xml:space="preserve">26</w:t>
      </w:r>
      <w:r>
        <w:rPr>
          <w:rStyle w:val="NormalTok"/>
        </w:rPr>
        <w:t xml:space="preserve">)</w:t>
      </w:r>
      <w:r>
        <w:br/>
      </w:r>
      <w:r>
        <w:rPr>
          <w:rStyle w:val="NormalTok"/>
        </w:rPr>
        <w:t xml:space="preserve">y </w:t>
      </w:r>
      <w:r>
        <w:rPr>
          <w:rStyle w:val="OperatorTok"/>
        </w:rPr>
        <w:t xml:space="preserve">=</w:t>
      </w:r>
      <w:r>
        <w:rPr>
          <w:rStyle w:val="NormalTok"/>
        </w:rPr>
        <w:t xml:space="preserve"> np.zeros((</w:t>
      </w:r>
      <w:r>
        <w:rPr>
          <w:rStyle w:val="DecValTok"/>
        </w:rPr>
        <w:t xml:space="preserve">400</w:t>
      </w:r>
      <w:r>
        <w:rPr>
          <w:rStyle w:val="NormalTok"/>
        </w:rPr>
        <w:t xml:space="preserve">, </w:t>
      </w:r>
      <w:r>
        <w:rPr>
          <w:rStyle w:val="DecValTok"/>
        </w:rPr>
        <w:t xml:space="preserve">2</w:t>
      </w:r>
      <w:r>
        <w:rPr>
          <w:rStyle w:val="NormalTok"/>
        </w:rPr>
        <w:t xml:space="preserve">))</w:t>
      </w:r>
      <w:r>
        <w:br/>
      </w:r>
      <w:r>
        <w:rPr>
          <w:rStyle w:val="ControlFlowTok"/>
        </w:rPr>
        <w:t xml:space="preserve">for</w:t>
      </w:r>
      <w:r>
        <w:rPr>
          <w:rStyle w:val="NormalTok"/>
        </w:rPr>
        <w:t xml:space="preserve"> t </w:t>
      </w:r>
      <w:r>
        <w:rPr>
          <w:rStyle w:val="KeywordTok"/>
        </w:rPr>
        <w:t xml:space="preserve">in</w:t>
      </w:r>
      <w:r>
        <w:rPr>
          <w:rStyle w:val="NormalTok"/>
        </w:rPr>
        <w:t xml:space="preserve"> </w:t>
      </w:r>
      <w:r>
        <w:rPr>
          <w:rStyle w:val="BuiltInTok"/>
        </w:rPr>
        <w:t xml:space="preserve">range</w:t>
      </w:r>
      <w:r>
        <w:rPr>
          <w:rStyle w:val="NormalTok"/>
        </w:rPr>
        <w:t xml:space="preserve">(</w:t>
      </w:r>
      <w:r>
        <w:rPr>
          <w:rStyle w:val="DecValTok"/>
        </w:rPr>
        <w:t xml:space="preserve">1</w:t>
      </w:r>
      <w:r>
        <w:rPr>
          <w:rStyle w:val="NormalTok"/>
        </w:rPr>
        <w:t xml:space="preserve">, </w:t>
      </w:r>
      <w:r>
        <w:rPr>
          <w:rStyle w:val="DecValTok"/>
        </w:rPr>
        <w:t xml:space="preserve">400</w:t>
      </w:r>
      <w:r>
        <w:rPr>
          <w:rStyle w:val="NormalTok"/>
        </w:rPr>
        <w:t xml:space="preserve">):</w:t>
      </w:r>
      <w:r>
        <w:br/>
      </w:r>
      <w:r>
        <w:rPr>
          <w:rStyle w:val="NormalTok"/>
        </w:rPr>
        <w:t xml:space="preserve">    y[t] </w:t>
      </w:r>
      <w:r>
        <w:rPr>
          <w:rStyle w:val="OperatorTok"/>
        </w:rPr>
        <w:t xml:space="preserve">=</w:t>
      </w:r>
      <w:r>
        <w:rPr>
          <w:rStyle w:val="NormalTok"/>
        </w:rPr>
        <w:t xml:space="preserve"> [</w:t>
      </w:r>
      <w:r>
        <w:rPr>
          <w:rStyle w:val="FloatTok"/>
        </w:rPr>
        <w:t xml:space="preserve">0.55</w:t>
      </w:r>
      <w:r>
        <w:rPr>
          <w:rStyle w:val="OperatorTok"/>
        </w:rPr>
        <w:t xml:space="preserve">*</w:t>
      </w:r>
      <w:r>
        <w:rPr>
          <w:rStyle w:val="NormalTok"/>
        </w:rPr>
        <w:t xml:space="preserve">y[t</w:t>
      </w:r>
      <w:r>
        <w:rPr>
          <w:rStyle w:val="OperatorTok"/>
        </w:rPr>
        <w:t xml:space="preserve">-</w:t>
      </w:r>
      <w:r>
        <w:rPr>
          <w:rStyle w:val="DecValTok"/>
        </w:rPr>
        <w:t xml:space="preserve">1</w:t>
      </w:r>
      <w:r>
        <w:rPr>
          <w:rStyle w:val="NormalTok"/>
        </w:rPr>
        <w:t xml:space="preserve">,</w:t>
      </w:r>
      <w:r>
        <w:rPr>
          <w:rStyle w:val="DecValTok"/>
        </w:rPr>
        <w:t xml:space="preserve">0</w:t>
      </w:r>
      <w:r>
        <w:rPr>
          <w:rStyle w:val="NormalTok"/>
        </w:rPr>
        <w:t xml:space="preserve">] </w:t>
      </w:r>
      <w:r>
        <w:rPr>
          <w:rStyle w:val="OperatorTok"/>
        </w:rPr>
        <w:t xml:space="preserve">+</w:t>
      </w:r>
      <w:r>
        <w:rPr>
          <w:rStyle w:val="NormalTok"/>
        </w:rPr>
        <w:t xml:space="preserve"> </w:t>
      </w:r>
      <w:r>
        <w:rPr>
          <w:rStyle w:val="FloatTok"/>
        </w:rPr>
        <w:t xml:space="preserve">0.20</w:t>
      </w:r>
      <w:r>
        <w:rPr>
          <w:rStyle w:val="OperatorTok"/>
        </w:rPr>
        <w:t xml:space="preserve">*</w:t>
      </w:r>
      <w:r>
        <w:rPr>
          <w:rStyle w:val="NormalTok"/>
        </w:rPr>
        <w:t xml:space="preserve">y[t</w:t>
      </w:r>
      <w:r>
        <w:rPr>
          <w:rStyle w:val="OperatorTok"/>
        </w:rPr>
        <w:t xml:space="preserve">-</w:t>
      </w:r>
      <w:r>
        <w:rPr>
          <w:rStyle w:val="DecValTok"/>
        </w:rPr>
        <w:t xml:space="preserve">1</w:t>
      </w:r>
      <w:r>
        <w:rPr>
          <w:rStyle w:val="NormalTok"/>
        </w:rPr>
        <w:t xml:space="preserve">,</w:t>
      </w:r>
      <w:r>
        <w:rPr>
          <w:rStyle w:val="DecValTok"/>
        </w:rPr>
        <w:t xml:space="preserve">1</w:t>
      </w:r>
      <w:r>
        <w:rPr>
          <w:rStyle w:val="NormalTok"/>
        </w:rPr>
        <w:t xml:space="preserve">], </w:t>
      </w:r>
      <w:r>
        <w:rPr>
          <w:rStyle w:val="OperatorTok"/>
        </w:rPr>
        <w:t xml:space="preserve">-</w:t>
      </w:r>
      <w:r>
        <w:rPr>
          <w:rStyle w:val="FloatTok"/>
        </w:rPr>
        <w:t xml:space="preserve">0.10</w:t>
      </w:r>
      <w:r>
        <w:rPr>
          <w:rStyle w:val="OperatorTok"/>
        </w:rPr>
        <w:t xml:space="preserve">*</w:t>
      </w:r>
      <w:r>
        <w:rPr>
          <w:rStyle w:val="NormalTok"/>
        </w:rPr>
        <w:t xml:space="preserve">y[t</w:t>
      </w:r>
      <w:r>
        <w:rPr>
          <w:rStyle w:val="OperatorTok"/>
        </w:rPr>
        <w:t xml:space="preserve">-</w:t>
      </w:r>
      <w:r>
        <w:rPr>
          <w:rStyle w:val="DecValTok"/>
        </w:rPr>
        <w:t xml:space="preserve">1</w:t>
      </w:r>
      <w:r>
        <w:rPr>
          <w:rStyle w:val="NormalTok"/>
        </w:rPr>
        <w:t xml:space="preserve">,</w:t>
      </w:r>
      <w:r>
        <w:rPr>
          <w:rStyle w:val="DecValTok"/>
        </w:rPr>
        <w:t xml:space="preserve">0</w:t>
      </w:r>
      <w:r>
        <w:rPr>
          <w:rStyle w:val="NormalTok"/>
        </w:rPr>
        <w:t xml:space="preserve">] </w:t>
      </w:r>
      <w:r>
        <w:rPr>
          <w:rStyle w:val="OperatorTok"/>
        </w:rPr>
        <w:t xml:space="preserve">+</w:t>
      </w:r>
      <w:r>
        <w:rPr>
          <w:rStyle w:val="NormalTok"/>
        </w:rPr>
        <w:t xml:space="preserve"> </w:t>
      </w:r>
      <w:r>
        <w:rPr>
          <w:rStyle w:val="FloatTok"/>
        </w:rPr>
        <w:t xml:space="preserve">0.45</w:t>
      </w:r>
      <w:r>
        <w:rPr>
          <w:rStyle w:val="OperatorTok"/>
        </w:rPr>
        <w:t xml:space="preserve">*</w:t>
      </w:r>
      <w:r>
        <w:rPr>
          <w:rStyle w:val="NormalTok"/>
        </w:rPr>
        <w:t xml:space="preserve">y[t</w:t>
      </w:r>
      <w:r>
        <w:rPr>
          <w:rStyle w:val="OperatorTok"/>
        </w:rPr>
        <w:t xml:space="preserve">-</w:t>
      </w:r>
      <w:r>
        <w:rPr>
          <w:rStyle w:val="DecValTok"/>
        </w:rPr>
        <w:t xml:space="preserve">1</w:t>
      </w:r>
      <w:r>
        <w:rPr>
          <w:rStyle w:val="NormalTok"/>
        </w:rPr>
        <w:t xml:space="preserve">,</w:t>
      </w:r>
      <w:r>
        <w:rPr>
          <w:rStyle w:val="DecValTok"/>
        </w:rPr>
        <w:t xml:space="preserve">1</w:t>
      </w:r>
      <w:r>
        <w:rPr>
          <w:rStyle w:val="NormalTok"/>
        </w:rPr>
        <w:t xml:space="preserve">]] </w:t>
      </w:r>
      <w:r>
        <w:rPr>
          <w:rStyle w:val="OperatorTok"/>
        </w:rPr>
        <w:t xml:space="preserve">+</w:t>
      </w:r>
      <w:r>
        <w:rPr>
          <w:rStyle w:val="NormalTok"/>
        </w:rPr>
        <w:t xml:space="preserve"> rng.normal(scale</w:t>
      </w:r>
      <w:r>
        <w:rPr>
          <w:rStyle w:val="OperatorTok"/>
        </w:rPr>
        <w:t xml:space="preserve">=</w:t>
      </w:r>
      <w:r>
        <w:rPr>
          <w:rStyle w:val="FloatTok"/>
        </w:rPr>
        <w:t xml:space="preserve">0.6</w:t>
      </w:r>
      <w:r>
        <w:rPr>
          <w:rStyle w:val="NormalTok"/>
        </w:rPr>
        <w:t xml:space="preserve">, size</w:t>
      </w:r>
      <w:r>
        <w:rPr>
          <w:rStyle w:val="OperatorTok"/>
        </w:rPr>
        <w:t xml:space="preserve">=</w:t>
      </w:r>
      <w:r>
        <w:rPr>
          <w:rStyle w:val="DecValTok"/>
        </w:rPr>
        <w:t xml:space="preserve">2</w:t>
      </w:r>
      <w:r>
        <w:rPr>
          <w:rStyle w:val="NormalTok"/>
        </w:rPr>
        <w:t xml:space="preserve">)</w:t>
      </w:r>
      <w:r>
        <w:br/>
      </w:r>
      <w:r>
        <w:rPr>
          <w:rStyle w:val="NormalTok"/>
        </w:rPr>
        <w:t xml:space="preserve">df </w:t>
      </w:r>
      <w:r>
        <w:rPr>
          <w:rStyle w:val="OperatorTok"/>
        </w:rPr>
        <w:t xml:space="preserve">=</w:t>
      </w:r>
      <w:r>
        <w:rPr>
          <w:rStyle w:val="NormalTok"/>
        </w:rPr>
        <w:t xml:space="preserve"> pd.DataFrame(y, columns</w:t>
      </w:r>
      <w:r>
        <w:rPr>
          <w:rStyle w:val="OperatorTok"/>
        </w:rPr>
        <w:t xml:space="preserve">=</w:t>
      </w:r>
      <w:r>
        <w:rPr>
          <w:rStyle w:val="NormalTok"/>
        </w:rPr>
        <w:t xml:space="preserve">[</w:t>
      </w:r>
      <w:r>
        <w:rPr>
          <w:rStyle w:val="StringTok"/>
        </w:rPr>
        <w:t xml:space="preserve">"x"</w:t>
      </w:r>
      <w:r>
        <w:rPr>
          <w:rStyle w:val="NormalTok"/>
        </w:rPr>
        <w:t xml:space="preserve">, </w:t>
      </w:r>
      <w:r>
        <w:rPr>
          <w:rStyle w:val="StringTok"/>
        </w:rPr>
        <w:t xml:space="preserve">"z"</w:t>
      </w:r>
      <w:r>
        <w:rPr>
          <w:rStyle w:val="NormalTok"/>
        </w:rPr>
        <w:t xml:space="preserve">])</w:t>
      </w:r>
      <w:r>
        <w:br/>
      </w:r>
      <w:r>
        <w:rPr>
          <w:rStyle w:val="NormalTok"/>
        </w:rPr>
        <w:t xml:space="preserve">fit </w:t>
      </w:r>
      <w:r>
        <w:rPr>
          <w:rStyle w:val="OperatorTok"/>
        </w:rPr>
        <w:t xml:space="preserve">=</w:t>
      </w:r>
      <w:r>
        <w:rPr>
          <w:rStyle w:val="NormalTok"/>
        </w:rPr>
        <w:t xml:space="preserve"> VAR(df).fit(</w:t>
      </w:r>
      <w:r>
        <w:rPr>
          <w:rStyle w:val="DecValTok"/>
        </w:rPr>
        <w:t xml:space="preserve">1</w:t>
      </w:r>
      <w:r>
        <w:rPr>
          <w:rStyle w:val="NormalTok"/>
        </w:rPr>
        <w:t xml:space="preserve">)</w:t>
      </w:r>
      <w:r>
        <w:br/>
      </w:r>
      <w:r>
        <w:rPr>
          <w:rStyle w:val="BuiltInTok"/>
        </w:rPr>
        <w:t xml:space="preserve">print</w:t>
      </w:r>
      <w:r>
        <w:rPr>
          <w:rStyle w:val="NormalTok"/>
        </w:rPr>
        <w:t xml:space="preserve">(fit.coefs[</w:t>
      </w:r>
      <w:r>
        <w:rPr>
          <w:rStyle w:val="DecValTok"/>
        </w:rPr>
        <w:t xml:space="preserve">0</w:t>
      </w:r>
      <w:r>
        <w:rPr>
          <w:rStyle w:val="NormalTok"/>
        </w:rPr>
        <w:t xml:space="preserve">].</w:t>
      </w:r>
      <w:r>
        <w:rPr>
          <w:rStyle w:val="BuiltInTok"/>
        </w:rPr>
        <w:t xml:space="preserve">round</w:t>
      </w:r>
      <w:r>
        <w:rPr>
          <w:rStyle w:val="NormalTok"/>
        </w:rPr>
        <w:t xml:space="preserve">(</w:t>
      </w:r>
      <w:r>
        <w:rPr>
          <w:rStyle w:val="DecValTok"/>
        </w:rPr>
        <w:t xml:space="preserve">2</w:t>
      </w:r>
      <w:r>
        <w:rPr>
          <w:rStyle w:val="NormalTok"/>
        </w:rPr>
        <w:t xml:space="preserve">))</w:t>
      </w:r>
    </w:p>
    <w:p>
      <w:pPr>
        <w:pStyle w:val="FirstParagraph"/>
      </w:pPr>
      <w:r>
        <w:rPr>
          <w:b/>
          <w:bCs/>
        </w:rPr>
        <w:t xml:space="preserve">Verified output</w:t>
      </w:r>
    </w:p>
    <w:p>
      <w:pPr>
        <w:pStyle w:val="SourceCode"/>
        <w:keepLines/>
        <w:shd w:fill="F6F8FA" w:val="clear"/>
      </w:pPr>
      <w:r>
        <w:rPr>
          <w:rStyle w:val="VerbatimChar"/>
        </w:rPr>
        <w:t xml:space="preserve">[[ 0.55  0.15]</w:t>
      </w:r>
      <w:r>
        <w:br/>
      </w:r>
      <w:r>
        <w:rPr>
          <w:rStyle w:val="VerbatimChar"/>
        </w:rPr>
        <w:t xml:space="preserve"> [-0.13  0.47]]</w:t>
      </w:r>
    </w:p>
    <w:p>
      <w:pPr>
        <w:pStyle w:val="FirstParagraph"/>
      </w:pPr>
      <w:r>
        <w:rPr>
          <w:b/>
          <w:bCs/>
        </w:rPr>
        <w:t xml:space="preserve">Interpretation.</w:t>
      </w:r>
      <w:r>
        <w:t xml:space="preserve"> </w:t>
      </w:r>
      <w:r>
        <w:t xml:space="preserve">The estimated lag matrix is close to the simulated system, with sampling variation.</w:t>
      </w:r>
    </w:p>
    <w:bookmarkEnd w:id="533"/>
    <w:bookmarkStart w:id="534" w:name="Xdabd3791a72a4df4803c4020296e3d21e0434c9"/>
    <w:p>
      <w:pPr>
        <w:pStyle w:val="Heading3"/>
        <w:keepNext/>
      </w:pPr>
      <w:r>
        <w:t>45.6.2</w:t>
        <w:tab/>
        <w:t>Demonstration 26.2: Test a cointegrating spread</w:t>
      </w:r>
    </w:p>
    <w:p>
      <w:pPr>
        <w:pStyle w:val="SourceCode"/>
        <w:shd w:fill="F6F8FA" w:val="clear"/>
      </w:pPr>
      <w:r>
        <w:rPr>
          <w:rStyle w:val="ImportTok"/>
        </w:rPr>
        <w:t xml:space="preserve">import</w:t>
      </w:r>
      <w:r>
        <w:rPr>
          <w:rStyle w:val="NormalTok"/>
        </w:rPr>
        <w:t xml:space="preserve"> numpy </w:t>
      </w:r>
      <w:r>
        <w:rPr>
          <w:rStyle w:val="ImportTok"/>
        </w:rPr>
        <w:t xml:space="preserve">as</w:t>
      </w:r>
      <w:r>
        <w:rPr>
          <w:rStyle w:val="NormalTok"/>
        </w:rPr>
        <w:t xml:space="preserve"> np</w:t>
      </w:r>
      <w:r>
        <w:br/>
      </w:r>
      <w:r>
        <w:rPr>
          <w:rStyle w:val="ImportTok"/>
        </w:rPr>
        <w:t xml:space="preserve">from</w:t>
      </w:r>
      <w:r>
        <w:rPr>
          <w:rStyle w:val="NormalTok"/>
        </w:rPr>
        <w:t xml:space="preserve"> statsmodels.tsa.stattools </w:t>
      </w:r>
      <w:r>
        <w:rPr>
          <w:rStyle w:val="ImportTok"/>
        </w:rPr>
        <w:t xml:space="preserve">import</w:t>
      </w:r>
      <w:r>
        <w:rPr>
          <w:rStyle w:val="NormalTok"/>
        </w:rPr>
        <w:t xml:space="preserve"> adfuller</w:t>
      </w:r>
      <w:r>
        <w:br/>
      </w:r>
      <w:r>
        <w:br/>
      </w:r>
      <w:r>
        <w:rPr>
          <w:rStyle w:val="NormalTok"/>
        </w:rPr>
        <w:t xml:space="preserve">rng </w:t>
      </w:r>
      <w:r>
        <w:rPr>
          <w:rStyle w:val="OperatorTok"/>
        </w:rPr>
        <w:t xml:space="preserve">=</w:t>
      </w:r>
      <w:r>
        <w:rPr>
          <w:rStyle w:val="NormalTok"/>
        </w:rPr>
        <w:t xml:space="preserve"> np.random.default_rng(</w:t>
      </w:r>
      <w:r>
        <w:rPr>
          <w:rStyle w:val="DecValTok"/>
        </w:rPr>
        <w:t xml:space="preserve">2601</w:t>
      </w:r>
      <w:r>
        <w:rPr>
          <w:rStyle w:val="NormalTok"/>
        </w:rPr>
        <w:t xml:space="preserve">)</w:t>
      </w:r>
      <w:r>
        <w:br/>
      </w:r>
      <w:r>
        <w:rPr>
          <w:rStyle w:val="NormalTok"/>
        </w:rPr>
        <w:t xml:space="preserve">common </w:t>
      </w:r>
      <w:r>
        <w:rPr>
          <w:rStyle w:val="OperatorTok"/>
        </w:rPr>
        <w:t xml:space="preserve">=</w:t>
      </w:r>
      <w:r>
        <w:rPr>
          <w:rStyle w:val="NormalTok"/>
        </w:rPr>
        <w:t xml:space="preserve"> np.cumsum(rng.normal(size</w:t>
      </w:r>
      <w:r>
        <w:rPr>
          <w:rStyle w:val="OperatorTok"/>
        </w:rPr>
        <w:t xml:space="preserve">=</w:t>
      </w:r>
      <w:r>
        <w:rPr>
          <w:rStyle w:val="DecValTok"/>
        </w:rPr>
        <w:t xml:space="preserve">600</w:t>
      </w:r>
      <w:r>
        <w:rPr>
          <w:rStyle w:val="NormalTok"/>
        </w:rPr>
        <w:t xml:space="preserve">))</w:t>
      </w:r>
      <w:r>
        <w:br/>
      </w:r>
      <w:r>
        <w:rPr>
          <w:rStyle w:val="NormalTok"/>
        </w:rPr>
        <w:t xml:space="preserve">x </w:t>
      </w:r>
      <w:r>
        <w:rPr>
          <w:rStyle w:val="OperatorTok"/>
        </w:rPr>
        <w:t xml:space="preserve">=</w:t>
      </w:r>
      <w:r>
        <w:rPr>
          <w:rStyle w:val="NormalTok"/>
        </w:rPr>
        <w:t xml:space="preserve"> common </w:t>
      </w:r>
      <w:r>
        <w:rPr>
          <w:rStyle w:val="OperatorTok"/>
        </w:rPr>
        <w:t xml:space="preserve">+</w:t>
      </w:r>
      <w:r>
        <w:rPr>
          <w:rStyle w:val="NormalTok"/>
        </w:rPr>
        <w:t xml:space="preserve"> rng.normal(scale</w:t>
      </w:r>
      <w:r>
        <w:rPr>
          <w:rStyle w:val="OperatorTok"/>
        </w:rPr>
        <w:t xml:space="preserve">=</w:t>
      </w:r>
      <w:r>
        <w:rPr>
          <w:rStyle w:val="FloatTok"/>
        </w:rPr>
        <w:t xml:space="preserve">0.5</w:t>
      </w:r>
      <w:r>
        <w:rPr>
          <w:rStyle w:val="NormalTok"/>
        </w:rPr>
        <w:t xml:space="preserve">, size</w:t>
      </w:r>
      <w:r>
        <w:rPr>
          <w:rStyle w:val="OperatorTok"/>
        </w:rPr>
        <w:t xml:space="preserve">=</w:t>
      </w:r>
      <w:r>
        <w:rPr>
          <w:rStyle w:val="DecValTok"/>
        </w:rPr>
        <w:t xml:space="preserve">600</w:t>
      </w:r>
      <w:r>
        <w:rPr>
          <w:rStyle w:val="NormalTok"/>
        </w:rPr>
        <w:t xml:space="preserve">)</w:t>
      </w:r>
      <w:r>
        <w:br/>
      </w:r>
      <w:r>
        <w:rPr>
          <w:rStyle w:val="NormalTok"/>
        </w:rPr>
        <w:t xml:space="preserve">y </w:t>
      </w:r>
      <w:r>
        <w:rPr>
          <w:rStyle w:val="OperatorTok"/>
        </w:rPr>
        <w:t xml:space="preserve">=</w:t>
      </w:r>
      <w:r>
        <w:rPr>
          <w:rStyle w:val="NormalTok"/>
        </w:rPr>
        <w:t xml:space="preserve"> </w:t>
      </w:r>
      <w:r>
        <w:rPr>
          <w:rStyle w:val="FloatTok"/>
        </w:rPr>
        <w:t xml:space="preserve">1.2</w:t>
      </w:r>
      <w:r>
        <w:rPr>
          <w:rStyle w:val="OperatorTok"/>
        </w:rPr>
        <w:t xml:space="preserve">*</w:t>
      </w:r>
      <w:r>
        <w:rPr>
          <w:rStyle w:val="NormalTok"/>
        </w:rPr>
        <w:t xml:space="preserve">common </w:t>
      </w:r>
      <w:r>
        <w:rPr>
          <w:rStyle w:val="OperatorTok"/>
        </w:rPr>
        <w:t xml:space="preserve">+</w:t>
      </w:r>
      <w:r>
        <w:rPr>
          <w:rStyle w:val="NormalTok"/>
        </w:rPr>
        <w:t xml:space="preserve"> rng.normal(scale</w:t>
      </w:r>
      <w:r>
        <w:rPr>
          <w:rStyle w:val="OperatorTok"/>
        </w:rPr>
        <w:t xml:space="preserve">=</w:t>
      </w:r>
      <w:r>
        <w:rPr>
          <w:rStyle w:val="FloatTok"/>
        </w:rPr>
        <w:t xml:space="preserve">0.5</w:t>
      </w:r>
      <w:r>
        <w:rPr>
          <w:rStyle w:val="NormalTok"/>
        </w:rPr>
        <w:t xml:space="preserve">, size</w:t>
      </w:r>
      <w:r>
        <w:rPr>
          <w:rStyle w:val="OperatorTok"/>
        </w:rPr>
        <w:t xml:space="preserve">=</w:t>
      </w:r>
      <w:r>
        <w:rPr>
          <w:rStyle w:val="DecValTok"/>
        </w:rPr>
        <w:t xml:space="preserve">600</w:t>
      </w:r>
      <w:r>
        <w:rPr>
          <w:rStyle w:val="NormalTok"/>
        </w:rPr>
        <w:t xml:space="preserve">)</w:t>
      </w:r>
      <w:r>
        <w:br/>
      </w:r>
      <w:r>
        <w:rPr>
          <w:rStyle w:val="NormalTok"/>
        </w:rPr>
        <w:t xml:space="preserve">spread </w:t>
      </w:r>
      <w:r>
        <w:rPr>
          <w:rStyle w:val="OperatorTok"/>
        </w:rPr>
        <w:t xml:space="preserve">=</w:t>
      </w:r>
      <w:r>
        <w:rPr>
          <w:rStyle w:val="NormalTok"/>
        </w:rPr>
        <w:t xml:space="preserve"> y </w:t>
      </w:r>
      <w:r>
        <w:rPr>
          <w:rStyle w:val="OperatorTok"/>
        </w:rPr>
        <w:t xml:space="preserve">-</w:t>
      </w:r>
      <w:r>
        <w:rPr>
          <w:rStyle w:val="NormalTok"/>
        </w:rPr>
        <w:t xml:space="preserve"> </w:t>
      </w:r>
      <w:r>
        <w:rPr>
          <w:rStyle w:val="FloatTok"/>
        </w:rPr>
        <w:t xml:space="preserve">1.2</w:t>
      </w:r>
      <w:r>
        <w:rPr>
          <w:rStyle w:val="OperatorTok"/>
        </w:rPr>
        <w:t xml:space="preserve">*</w:t>
      </w:r>
      <w:r>
        <w:rPr>
          <w:rStyle w:val="NormalTok"/>
        </w:rPr>
        <w:t xml:space="preserve">x</w:t>
      </w:r>
      <w:r>
        <w:br/>
      </w:r>
      <w:r>
        <w:rPr>
          <w:rStyle w:val="BuiltInTok"/>
        </w:rPr>
        <w:t xml:space="preserve">print</w:t>
      </w:r>
      <w:r>
        <w:rPr>
          <w:rStyle w:val="NormalTok"/>
        </w:rPr>
        <w:t xml:space="preserve">(</w:t>
      </w:r>
      <w:r>
        <w:rPr>
          <w:rStyle w:val="SpecialStringTok"/>
        </w:rPr>
        <w:t xml:space="preserve">f"</w:t>
      </w:r>
      <w:r>
        <w:rPr>
          <w:rStyle w:val="SpecialCharTok"/>
        </w:rPr>
        <w:t xml:space="preserve">{</w:t>
      </w:r>
      <w:r>
        <w:rPr>
          <w:rStyle w:val="NormalTok"/>
        </w:rPr>
        <w:t xml:space="preserve">adfuller(spread)[</w:t>
      </w:r>
      <w:r>
        <w:rPr>
          <w:rStyle w:val="DecValTok"/>
        </w:rPr>
        <w:t xml:space="preserve">1</w:t>
      </w:r>
      <w:r>
        <w:rPr>
          <w:rStyle w:val="NormalTok"/>
        </w:rPr>
        <w:t xml:space="preserve">]</w:t>
      </w:r>
      <w:r>
        <w:rPr>
          <w:rStyle w:val="SpecialCharTok"/>
        </w:rPr>
        <w:t xml:space="preserve">:.2e}</w:t>
      </w:r>
      <w:r>
        <w:rPr>
          <w:rStyle w:val="SpecialStringTok"/>
        </w:rPr>
        <w:t xml:space="preserve">"</w:t>
      </w:r>
      <w:r>
        <w:rPr>
          <w:rStyle w:val="NormalTok"/>
        </w:rPr>
        <w:t xml:space="preserve">)</w:t>
      </w:r>
    </w:p>
    <w:p>
      <w:pPr>
        <w:pStyle w:val="FirstParagraph"/>
      </w:pPr>
      <w:r>
        <w:rPr>
          <w:b/>
          <w:bCs/>
        </w:rPr>
        <w:t xml:space="preserve">Verified output</w:t>
      </w:r>
    </w:p>
    <w:p>
      <w:pPr>
        <w:pStyle w:val="SourceCode"/>
        <w:keepLines/>
        <w:shd w:fill="F6F8FA" w:val="clear"/>
      </w:pPr>
      <w:r>
        <w:rPr>
          <w:rStyle w:val="VerbatimChar"/>
        </w:rPr>
        <w:t xml:space="preserve">0.00e+00</w:t>
      </w:r>
    </w:p>
    <w:p>
      <w:pPr>
        <w:pStyle w:val="FirstParagraph"/>
      </w:pPr>
      <w:r>
        <w:rPr>
          <w:b/>
          <w:bCs/>
        </w:rPr>
        <w:t xml:space="preserve">Interpretation.</w:t>
      </w:r>
      <w:r>
        <w:t xml:space="preserve"> </w:t>
      </w:r>
      <w:r>
        <w:t xml:space="preserve">The constructed spread is stationary even though the two levels inherit a shared stochastic trend.</w:t>
      </w:r>
    </w:p>
    <w:bookmarkEnd w:id="534"/>
    <w:bookmarkEnd w:id="535"/>
    <w:bookmarkStart w:id="551" w:name="visual-evidence-25"/>
    <w:p>
      <w:pPr>
        <w:pStyle w:val="Heading2"/>
        <w:keepNext/>
      </w:pPr>
      <w:r>
        <w:t>45.7</w:t>
        <w:tab/>
        <w:t>Visual evidence</w:t>
      </w:r>
    </w:p>
    <w:p>
      <w:pPr>
        <w:pStyle w:val="FirstParagraph"/>
      </w:pPr>
      <w:r>
        <w:drawing>
          <wp:inline>
            <wp:extent cx="4907280" cy="2778315"/>
            <wp:effectExtent b="0" l="0" r="0" t="0"/>
            <wp:docPr descr="Image: rId536.png" title="" id="537" name="Picture"/>
            <a:graphic>
              <a:graphicData uri="http://schemas.openxmlformats.org/drawingml/2006/picture">
                <pic:pic>
                  <pic:nvPicPr>
                    <pic:cNvPr descr="figures/fig_42_cross_correlation.png" id="538" name="Picture"/>
                    <pic:cNvPicPr>
                      <a:picLocks noChangeArrowheads="1" noChangeAspect="1"/>
                    </pic:cNvPicPr>
                  </pic:nvPicPr>
                  <pic:blipFill>
                    <a:blip r:embed="rId536"/>
                    <a:stretch>
                      <a:fillRect/>
                    </a:stretch>
                  </pic:blipFill>
                  <pic:spPr bwMode="auto">
                    <a:xfrm>
                      <a:off x="0" y="0"/>
                      <a:ext cx="4907280" cy="2778315"/>
                    </a:xfrm>
                    <a:prstGeom prst="rect">
                      <a:avLst/>
                    </a:prstGeom>
                    <a:noFill/>
                    <a:ln w="9525">
                      <a:noFill/>
                      <a:headEnd/>
                      <a:tailEnd/>
                    </a:ln>
                  </pic:spPr>
                </pic:pic>
              </a:graphicData>
            </a:graphic>
          </wp:inline>
        </w:drawing>
      </w:r>
    </w:p>
    <w:p>
      <w:pPr>
        <w:pStyle w:val="Caption"/>
        <w:keepNext w:val="0"/>
        <w:jc w:val="center"/>
      </w:pPr>
      <w:r>
        <w:rPr>
          <w:b/>
          <w:bCs/>
        </w:rPr>
        <w:t xml:space="preserve">Figure 42.</w:t>
      </w:r>
      <w:r>
        <w:t xml:space="preserve"> </w:t>
      </w:r>
      <w:r>
        <w:t xml:space="preserve">A synthetic lead-lag relationship peaks near a lag of two periods.</w:t>
      </w:r>
    </w:p>
    <w:p>
      <w:pPr>
        <w:pStyle w:val="BodyText"/>
      </w:pPr>
      <w:r>
        <w:drawing>
          <wp:inline>
            <wp:extent cx="4907280" cy="2831224"/>
            <wp:effectExtent b="0" l="0" r="0" t="0"/>
            <wp:docPr descr="Image: rId539.png" title="" id="540" name="Picture"/>
            <a:graphic>
              <a:graphicData uri="http://schemas.openxmlformats.org/drawingml/2006/picture">
                <pic:pic>
                  <pic:nvPicPr>
                    <pic:cNvPr descr="figures/fig_43_var_forecast.png" id="541" name="Picture"/>
                    <pic:cNvPicPr>
                      <a:picLocks noChangeArrowheads="1" noChangeAspect="1"/>
                    </pic:cNvPicPr>
                  </pic:nvPicPr>
                  <pic:blipFill>
                    <a:blip r:embed="rId539"/>
                    <a:stretch>
                      <a:fillRect/>
                    </a:stretch>
                  </pic:blipFill>
                  <pic:spPr bwMode="auto">
                    <a:xfrm>
                      <a:off x="0" y="0"/>
                      <a:ext cx="4907280" cy="2831224"/>
                    </a:xfrm>
                    <a:prstGeom prst="rect">
                      <a:avLst/>
                    </a:prstGeom>
                    <a:noFill/>
                    <a:ln w="9525">
                      <a:noFill/>
                      <a:headEnd/>
                      <a:tailEnd/>
                    </a:ln>
                  </pic:spPr>
                </pic:pic>
              </a:graphicData>
            </a:graphic>
          </wp:inline>
        </w:drawing>
      </w:r>
    </w:p>
    <w:p>
      <w:pPr>
        <w:pStyle w:val="Caption"/>
        <w:keepNext w:val="0"/>
        <w:jc w:val="center"/>
      </w:pPr>
      <w:r>
        <w:rPr>
          <w:b/>
          <w:bCs/>
        </w:rPr>
        <w:t xml:space="preserve">Figure 43.</w:t>
      </w:r>
      <w:r>
        <w:t xml:space="preserve"> </w:t>
      </w:r>
      <w:r>
        <w:t xml:space="preserve">A bivariate VAR forecast for U.S. GDP growth and changes in unemployment.</w:t>
      </w:r>
    </w:p>
    <w:p>
      <w:pPr>
        <w:pStyle w:val="BodyText"/>
      </w:pPr>
      <w:r>
        <w:drawing>
          <wp:inline>
            <wp:extent cx="4907280" cy="2892570"/>
            <wp:effectExtent b="0" l="0" r="0" t="0"/>
            <wp:docPr descr="Image: rId542.png" title="" id="543" name="Picture"/>
            <a:graphic>
              <a:graphicData uri="http://schemas.openxmlformats.org/drawingml/2006/picture">
                <pic:pic>
                  <pic:nvPicPr>
                    <pic:cNvPr descr="figures/fig_44_impulse_response.png" id="544" name="Picture"/>
                    <pic:cNvPicPr>
                      <a:picLocks noChangeArrowheads="1" noChangeAspect="1"/>
                    </pic:cNvPicPr>
                  </pic:nvPicPr>
                  <pic:blipFill>
                    <a:blip r:embed="rId542"/>
                    <a:stretch>
                      <a:fillRect/>
                    </a:stretch>
                  </pic:blipFill>
                  <pic:spPr bwMode="auto">
                    <a:xfrm>
                      <a:off x="0" y="0"/>
                      <a:ext cx="4907280" cy="2892570"/>
                    </a:xfrm>
                    <a:prstGeom prst="rect">
                      <a:avLst/>
                    </a:prstGeom>
                    <a:noFill/>
                    <a:ln w="9525">
                      <a:noFill/>
                      <a:headEnd/>
                      <a:tailEnd/>
                    </a:ln>
                  </pic:spPr>
                </pic:pic>
              </a:graphicData>
            </a:graphic>
          </wp:inline>
        </w:drawing>
      </w:r>
    </w:p>
    <w:p>
      <w:pPr>
        <w:pStyle w:val="Caption"/>
        <w:keepNext w:val="0"/>
        <w:jc w:val="center"/>
      </w:pPr>
      <w:r>
        <w:rPr>
          <w:b/>
          <w:bCs/>
        </w:rPr>
        <w:t xml:space="preserve">Figure 44.</w:t>
      </w:r>
      <w:r>
        <w:t xml:space="preserve"> </w:t>
      </w:r>
      <w:r>
        <w:t xml:space="preserve">Illustrative response of GDP growth to the second VAR innovation.</w:t>
      </w:r>
    </w:p>
    <w:p>
      <w:pPr>
        <w:pStyle w:val="BodyText"/>
      </w:pPr>
      <w:r>
        <w:drawing>
          <wp:inline>
            <wp:extent cx="4907280" cy="2861472"/>
            <wp:effectExtent b="0" l="0" r="0" t="0"/>
            <wp:docPr descr="Image: rId545.png" title="" id="546" name="Picture"/>
            <a:graphic>
              <a:graphicData uri="http://schemas.openxmlformats.org/drawingml/2006/picture">
                <pic:pic>
                  <pic:nvPicPr>
                    <pic:cNvPr descr="figures/fig_45_cointegration_spread.png" id="547" name="Picture"/>
                    <pic:cNvPicPr>
                      <a:picLocks noChangeArrowheads="1" noChangeAspect="1"/>
                    </pic:cNvPicPr>
                  </pic:nvPicPr>
                  <pic:blipFill>
                    <a:blip r:embed="rId545"/>
                    <a:stretch>
                      <a:fillRect/>
                    </a:stretch>
                  </pic:blipFill>
                  <pic:spPr bwMode="auto">
                    <a:xfrm>
                      <a:off x="0" y="0"/>
                      <a:ext cx="4907280" cy="2861472"/>
                    </a:xfrm>
                    <a:prstGeom prst="rect">
                      <a:avLst/>
                    </a:prstGeom>
                    <a:noFill/>
                    <a:ln w="9525">
                      <a:noFill/>
                      <a:headEnd/>
                      <a:tailEnd/>
                    </a:ln>
                  </pic:spPr>
                </pic:pic>
              </a:graphicData>
            </a:graphic>
          </wp:inline>
        </w:drawing>
      </w:r>
    </w:p>
    <w:p>
      <w:pPr>
        <w:pStyle w:val="Caption"/>
        <w:keepNext w:val="0"/>
        <w:jc w:val="center"/>
      </w:pPr>
      <w:r>
        <w:rPr>
          <w:b/>
          <w:bCs/>
        </w:rPr>
        <w:t xml:space="preserve">Figure 45.</w:t>
      </w:r>
      <w:r>
        <w:t xml:space="preserve"> </w:t>
      </w:r>
      <w:r>
        <w:t xml:space="preserve">Simulated cointegrated prices and their mean-reverting linear combination.</w:t>
      </w:r>
    </w:p>
    <w:p>
      <w:pPr>
        <w:pStyle w:val="BodyText"/>
      </w:pPr>
      <w:r>
        <w:drawing>
          <wp:inline>
            <wp:extent cx="4907280" cy="2511913"/>
            <wp:effectExtent b="0" l="0" r="0" t="0"/>
            <wp:docPr descr="Image: rId548.png" title="" id="549" name="Picture"/>
            <a:graphic>
              <a:graphicData uri="http://schemas.openxmlformats.org/drawingml/2006/picture">
                <pic:pic>
                  <pic:nvPicPr>
                    <pic:cNvPr descr="figures/fig_46_pairs_signals.png" id="550" name="Picture"/>
                    <pic:cNvPicPr>
                      <a:picLocks noChangeArrowheads="1" noChangeAspect="1"/>
                    </pic:cNvPicPr>
                  </pic:nvPicPr>
                  <pic:blipFill>
                    <a:blip r:embed="rId548"/>
                    <a:stretch>
                      <a:fillRect/>
                    </a:stretch>
                  </pic:blipFill>
                  <pic:spPr bwMode="auto">
                    <a:xfrm>
                      <a:off x="0" y="0"/>
                      <a:ext cx="4907280" cy="2511913"/>
                    </a:xfrm>
                    <a:prstGeom prst="rect">
                      <a:avLst/>
                    </a:prstGeom>
                    <a:noFill/>
                    <a:ln w="9525">
                      <a:noFill/>
                      <a:headEnd/>
                      <a:tailEnd/>
                    </a:ln>
                  </pic:spPr>
                </pic:pic>
              </a:graphicData>
            </a:graphic>
          </wp:inline>
        </w:drawing>
      </w:r>
    </w:p>
    <w:p>
      <w:pPr>
        <w:pStyle w:val="Caption"/>
        <w:keepNext w:val="0"/>
        <w:jc w:val="center"/>
      </w:pPr>
      <w:r>
        <w:rPr>
          <w:b/>
          <w:bCs/>
        </w:rPr>
        <w:t xml:space="preserve">Figure 46.</w:t>
      </w:r>
      <w:r>
        <w:t xml:space="preserve"> </w:t>
      </w:r>
      <w:r>
        <w:t xml:space="preserve">A cointegration-spread z-score with illustrative entry thresholds.</w:t>
      </w:r>
    </w:p>
    <w:bookmarkEnd w:id="551"/>
    <w:bookmarkStart w:id="552" w:name="reference-table-25"/>
    <w:p>
      <w:pPr>
        <w:pStyle w:val="Heading2"/>
        <w:keepNext/>
      </w:pPr>
      <w:r>
        <w:t>45.8</w:t>
        <w:tab/>
        <w:t>Reference table</w:t>
      </w:r>
    </w:p>
    <w:p>
      <w:pPr>
        <w:pStyle w:val="Caption"/>
        <w:keepNext/>
        <w:jc w:val="center"/>
      </w:pPr>
      <w:r>
        <w:rPr>
          <w:b/>
          <w:bCs/>
        </w:rPr>
        <w:t xml:space="preserve">Table 26. Chapter reference.</w:t>
      </w:r>
    </w:p>
    <w:tbl>
      <w:tblPr>
        <w:tblStyle w:val="Table"/>
        <w:tblW w:type="pct" w:w="5000"/>
        <w:jc w:val="center"/>
        <w:tblLayout w:type="autofit"/>
        <w:tblLook w:firstRow="1" w:lastRow="0" w:firstColumn="0" w:lastColumn="0" w:noHBand="0" w:noVBand="0" w:val="0020"/>
      </w:tblPr>
      <w:tblGrid>
        <w:gridCol w:w="2640"/>
        <w:gridCol w:w="2640"/>
        <w:gridCol w:w="2640"/>
      </w:tblGrid>
      <w:tr>
        <w:trPr>
          <w:tblHeader w:val="on"/>
          <w:tblHeader w:val="true"/>
          <w:cantSplit/>
        </w:trPr>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0A2342" w:val="clear"/>
          </w:tcPr>
          <w:p>
            <w:pPr>
              <w:pStyle w:val="Compact"/>
              <w:spacing w:before="30" w:after="30" w:line="240" w:lineRule="auto"/>
              <w:jc w:val="left"/>
            </w:pPr>
            <w:r>
              <w:rPr>
                <w:rFonts w:ascii="Noto Sans" w:hAnsi="Noto Sans" w:eastAsia="Noto Sans" w:cs="Noto Sans"/>
                <w:b/>
                <w:color w:val="FFFFFF"/>
                <w:sz w:val="16"/>
              </w:rPr>
              <w:t xml:space="preserve">Output</w:t>
            </w:r>
          </w:p>
        </w:tc>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0A2342" w:val="clear"/>
          </w:tcPr>
          <w:p>
            <w:pPr>
              <w:pStyle w:val="Compact"/>
              <w:spacing w:before="30" w:after="30" w:line="240" w:lineRule="auto"/>
              <w:jc w:val="left"/>
            </w:pPr>
            <w:r>
              <w:rPr>
                <w:rFonts w:ascii="Noto Sans" w:hAnsi="Noto Sans" w:eastAsia="Noto Sans" w:cs="Noto Sans"/>
                <w:b/>
                <w:color w:val="FFFFFF"/>
                <w:sz w:val="16"/>
              </w:rPr>
              <w:t xml:space="preserve">What it answers</w:t>
            </w:r>
          </w:p>
        </w:tc>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0A2342" w:val="clear"/>
          </w:tcPr>
          <w:p>
            <w:pPr>
              <w:pStyle w:val="Compact"/>
              <w:spacing w:before="30" w:after="30" w:line="240" w:lineRule="auto"/>
              <w:jc w:val="left"/>
            </w:pPr>
            <w:r>
              <w:rPr>
                <w:rFonts w:ascii="Noto Sans" w:hAnsi="Noto Sans" w:eastAsia="Noto Sans" w:cs="Noto Sans"/>
                <w:b/>
                <w:color w:val="FFFFFF"/>
                <w:sz w:val="16"/>
              </w:rPr>
              <w:t xml:space="preserve">Required caution</w:t>
            </w:r>
          </w:p>
        </w:tc>
      </w:tr>
      <w:tr>
        <w:trPr>
          <w:cantSplit/>
        </w:trPr>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EEF4F8" w:val="clear"/>
          </w:tcPr>
          <w:p>
            <w:pPr>
              <w:pStyle w:val="Compact"/>
              <w:spacing w:before="30" w:after="30" w:line="240" w:lineRule="auto"/>
              <w:jc w:val="left"/>
            </w:pPr>
            <w:r>
              <w:rPr>
                <w:rFonts w:ascii="Noto Sans" w:hAnsi="Noto Sans" w:eastAsia="Noto Sans" w:cs="Noto Sans"/>
                <w:b w:val="0"/>
                <w:color w:val="18212B"/>
                <w:sz w:val="16"/>
              </w:rPr>
              <w:t xml:space="preserve">VAR coefficient</w:t>
            </w:r>
          </w:p>
        </w:tc>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EEF4F8" w:val="clear"/>
          </w:tcPr>
          <w:p>
            <w:pPr>
              <w:pStyle w:val="Compact"/>
              <w:spacing w:before="30" w:after="30" w:line="240" w:lineRule="auto"/>
              <w:jc w:val="left"/>
            </w:pPr>
            <w:r>
              <w:rPr>
                <w:rFonts w:ascii="Noto Sans" w:hAnsi="Noto Sans" w:eastAsia="Noto Sans" w:cs="Noto Sans"/>
                <w:b w:val="0"/>
                <w:color w:val="18212B"/>
                <w:sz w:val="16"/>
              </w:rPr>
              <w:t xml:space="preserve">conditional lag relation</w:t>
            </w:r>
          </w:p>
        </w:tc>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EEF4F8" w:val="clear"/>
          </w:tcPr>
          <w:p>
            <w:pPr>
              <w:pStyle w:val="Compact"/>
              <w:spacing w:before="30" w:after="30" w:line="240" w:lineRule="auto"/>
              <w:jc w:val="left"/>
            </w:pPr>
            <w:r>
              <w:rPr>
                <w:rFonts w:ascii="Noto Sans" w:hAnsi="Noto Sans" w:eastAsia="Noto Sans" w:cs="Noto Sans"/>
                <w:b w:val="0"/>
                <w:color w:val="18212B"/>
                <w:sz w:val="16"/>
              </w:rPr>
              <w:t xml:space="preserve">system scale and many tests</w:t>
            </w:r>
          </w:p>
        </w:tc>
      </w:tr>
      <w:tr>
        <w:trPr>
          <w:cantSplit/>
        </w:trPr>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FFFFFF" w:val="clear"/>
          </w:tcPr>
          <w:p>
            <w:pPr>
              <w:pStyle w:val="Compact"/>
              <w:spacing w:before="30" w:after="30" w:line="240" w:lineRule="auto"/>
              <w:jc w:val="left"/>
            </w:pPr>
            <w:r>
              <w:rPr>
                <w:rFonts w:ascii="Noto Sans" w:hAnsi="Noto Sans" w:eastAsia="Noto Sans" w:cs="Noto Sans"/>
                <w:b w:val="0"/>
                <w:color w:val="18212B"/>
                <w:sz w:val="16"/>
              </w:rPr>
              <w:t xml:space="preserve">Granger test</w:t>
            </w:r>
          </w:p>
        </w:tc>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FFFFFF" w:val="clear"/>
          </w:tcPr>
          <w:p>
            <w:pPr>
              <w:pStyle w:val="Compact"/>
              <w:spacing w:before="30" w:after="30" w:line="240" w:lineRule="auto"/>
              <w:jc w:val="left"/>
            </w:pPr>
            <w:r>
              <w:rPr>
                <w:rFonts w:ascii="Noto Sans" w:hAnsi="Noto Sans" w:eastAsia="Noto Sans" w:cs="Noto Sans"/>
                <w:b w:val="0"/>
                <w:color w:val="18212B"/>
                <w:sz w:val="16"/>
              </w:rPr>
              <w:t xml:space="preserve">incremental predictive content</w:t>
            </w:r>
          </w:p>
        </w:tc>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FFFFFF" w:val="clear"/>
          </w:tcPr>
          <w:p>
            <w:pPr>
              <w:pStyle w:val="Compact"/>
              <w:spacing w:before="30" w:after="30" w:line="240" w:lineRule="auto"/>
              <w:jc w:val="left"/>
            </w:pPr>
            <w:r>
              <w:rPr>
                <w:rFonts w:ascii="Noto Sans" w:hAnsi="Noto Sans" w:eastAsia="Noto Sans" w:cs="Noto Sans"/>
                <w:b w:val="0"/>
                <w:color w:val="18212B"/>
                <w:sz w:val="16"/>
              </w:rPr>
              <w:t xml:space="preserve">not structural causality</w:t>
            </w:r>
          </w:p>
        </w:tc>
      </w:tr>
      <w:tr>
        <w:trPr>
          <w:cantSplit/>
        </w:trPr>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EEF4F8" w:val="clear"/>
          </w:tcPr>
          <w:p>
            <w:pPr>
              <w:pStyle w:val="Compact"/>
              <w:spacing w:before="30" w:after="30" w:line="240" w:lineRule="auto"/>
              <w:jc w:val="left"/>
            </w:pPr>
            <w:r>
              <w:rPr>
                <w:rFonts w:ascii="Noto Sans" w:hAnsi="Noto Sans" w:eastAsia="Noto Sans" w:cs="Noto Sans"/>
                <w:b w:val="0"/>
                <w:color w:val="18212B"/>
                <w:sz w:val="16"/>
              </w:rPr>
              <w:t xml:space="preserve">impulse response</w:t>
            </w:r>
          </w:p>
        </w:tc>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EEF4F8" w:val="clear"/>
          </w:tcPr>
          <w:p>
            <w:pPr>
              <w:pStyle w:val="Compact"/>
              <w:spacing w:before="30" w:after="30" w:line="240" w:lineRule="auto"/>
              <w:jc w:val="left"/>
            </w:pPr>
            <w:r>
              <w:rPr>
                <w:rFonts w:ascii="Noto Sans" w:hAnsi="Noto Sans" w:eastAsia="Noto Sans" w:cs="Noto Sans"/>
                <w:b w:val="0"/>
                <w:color w:val="18212B"/>
                <w:sz w:val="16"/>
              </w:rPr>
              <w:t xml:space="preserve">dynamic response to identified shock</w:t>
            </w:r>
          </w:p>
        </w:tc>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EEF4F8" w:val="clear"/>
          </w:tcPr>
          <w:p>
            <w:pPr>
              <w:pStyle w:val="Compact"/>
              <w:spacing w:before="30" w:after="30" w:line="240" w:lineRule="auto"/>
              <w:jc w:val="left"/>
            </w:pPr>
            <w:r>
              <w:rPr>
                <w:rFonts w:ascii="Noto Sans" w:hAnsi="Noto Sans" w:eastAsia="Noto Sans" w:cs="Noto Sans"/>
                <w:b w:val="0"/>
                <w:color w:val="18212B"/>
                <w:sz w:val="16"/>
              </w:rPr>
              <w:t xml:space="preserve">ordering/restriction dependence</w:t>
            </w:r>
          </w:p>
        </w:tc>
      </w:tr>
      <w:tr>
        <w:trPr>
          <w:cantSplit/>
        </w:trPr>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FFFFFF" w:val="clear"/>
          </w:tcPr>
          <w:p>
            <w:pPr>
              <w:pStyle w:val="Compact"/>
              <w:spacing w:before="30" w:after="30" w:line="240" w:lineRule="auto"/>
              <w:jc w:val="left"/>
            </w:pPr>
            <w:r>
              <w:rPr>
                <w:rFonts w:ascii="Noto Sans" w:hAnsi="Noto Sans" w:eastAsia="Noto Sans" w:cs="Noto Sans"/>
                <w:b w:val="0"/>
                <w:color w:val="18212B"/>
                <w:sz w:val="16"/>
              </w:rPr>
              <w:t xml:space="preserve">cointegrating vector</w:t>
            </w:r>
          </w:p>
        </w:tc>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FFFFFF" w:val="clear"/>
          </w:tcPr>
          <w:p>
            <w:pPr>
              <w:pStyle w:val="Compact"/>
              <w:spacing w:before="30" w:after="30" w:line="240" w:lineRule="auto"/>
              <w:jc w:val="left"/>
            </w:pPr>
            <w:r>
              <w:rPr>
                <w:rFonts w:ascii="Noto Sans" w:hAnsi="Noto Sans" w:eastAsia="Noto Sans" w:cs="Noto Sans"/>
                <w:b w:val="0"/>
                <w:color w:val="18212B"/>
                <w:sz w:val="16"/>
              </w:rPr>
              <w:t xml:space="preserve">stationary long-run combination</w:t>
            </w:r>
          </w:p>
        </w:tc>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FFFFFF" w:val="clear"/>
          </w:tcPr>
          <w:p>
            <w:pPr>
              <w:pStyle w:val="Compact"/>
              <w:spacing w:before="30" w:after="30" w:line="240" w:lineRule="auto"/>
              <w:jc w:val="left"/>
            </w:pPr>
            <w:r>
              <w:rPr>
                <w:rFonts w:ascii="Noto Sans" w:hAnsi="Noto Sans" w:eastAsia="Noto Sans" w:cs="Noto Sans"/>
                <w:b w:val="0"/>
                <w:color w:val="18212B"/>
                <w:sz w:val="16"/>
              </w:rPr>
              <w:t xml:space="preserve">normalization and breaks</w:t>
            </w:r>
          </w:p>
        </w:tc>
      </w:tr>
      <w:tr>
        <w:trPr>
          <w:cantSplit/>
        </w:trPr>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EEF4F8" w:val="clear"/>
          </w:tcPr>
          <w:p>
            <w:pPr>
              <w:pStyle w:val="Compact"/>
              <w:spacing w:before="30" w:after="30" w:line="240" w:lineRule="auto"/>
              <w:jc w:val="left"/>
            </w:pPr>
            <w:r>
              <w:rPr>
                <w:rFonts w:ascii="Noto Sans" w:hAnsi="Noto Sans" w:eastAsia="Noto Sans" w:cs="Noto Sans"/>
                <w:b w:val="0"/>
                <w:color w:val="18212B"/>
                <w:sz w:val="16"/>
              </w:rPr>
              <w:t xml:space="preserve">error-correction loading</w:t>
            </w:r>
          </w:p>
        </w:tc>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EEF4F8" w:val="clear"/>
          </w:tcPr>
          <w:p>
            <w:pPr>
              <w:pStyle w:val="Compact"/>
              <w:spacing w:before="30" w:after="30" w:line="240" w:lineRule="auto"/>
              <w:jc w:val="left"/>
            </w:pPr>
            <w:r>
              <w:rPr>
                <w:rFonts w:ascii="Noto Sans" w:hAnsi="Noto Sans" w:eastAsia="Noto Sans" w:cs="Noto Sans"/>
                <w:b w:val="0"/>
                <w:color w:val="18212B"/>
                <w:sz w:val="16"/>
              </w:rPr>
              <w:t xml:space="preserve">speed/direction of adjustment</w:t>
            </w:r>
          </w:p>
        </w:tc>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EEF4F8" w:val="clear"/>
          </w:tcPr>
          <w:p>
            <w:pPr>
              <w:pStyle w:val="Compact"/>
              <w:spacing w:before="30" w:after="30" w:line="240" w:lineRule="auto"/>
              <w:jc w:val="left"/>
            </w:pPr>
            <w:r>
              <w:rPr>
                <w:rFonts w:ascii="Noto Sans" w:hAnsi="Noto Sans" w:eastAsia="Noto Sans" w:cs="Noto Sans"/>
                <w:b w:val="0"/>
                <w:color w:val="18212B"/>
                <w:sz w:val="16"/>
              </w:rPr>
              <w:t xml:space="preserve">model specification</w:t>
            </w:r>
          </w:p>
        </w:tc>
      </w:tr>
    </w:tbl>
    <w:p>
      <w:pPr>
        <w:pStyle w:val="BlockText"/>
        <w:shd w:fill="EAF7F5" w:val="clear"/>
        <w:pBdr>
          <w:left w:val="single" w:sz="18" w:space="8" w:color="008F87"/>
        </w:pBdr>
      </w:pPr>
      <w:r>
        <w:rPr>
          <w:b/>
          <w:bCs/>
        </w:rPr>
        <w:t xml:space="preserve">Why This Matters</w:t>
      </w:r>
    </w:p>
    <w:p>
      <w:pPr>
        <w:pStyle w:val="BlockText"/>
        <w:shd w:fill="EAF7F5" w:val="clear"/>
        <w:pBdr>
          <w:left w:val="single" w:sz="18" w:space="8" w:color="008F87"/>
        </w:pBdr>
      </w:pPr>
      <w:r>
        <w:t xml:space="preserve">Multivariate models separate joint prediction, shock identification, and long-run adjustment into distinct analytical questions.</w:t>
      </w:r>
    </w:p>
    <w:p>
      <w:pPr>
        <w:pStyle w:val="BlockText"/>
        <w:shd w:fill="EAF7F5" w:val="clear"/>
        <w:pBdr>
          <w:left w:val="single" w:sz="18" w:space="8" w:color="008F87"/>
        </w:pBdr>
      </w:pPr>
      <w:r>
        <w:rPr>
          <w:b/>
          <w:bCs/>
        </w:rPr>
        <w:t xml:space="preserve">Common Mistake</w:t>
      </w:r>
    </w:p>
    <w:p>
      <w:pPr>
        <w:pStyle w:val="BlockText"/>
        <w:shd w:fill="EAF7F5" w:val="clear"/>
        <w:pBdr>
          <w:left w:val="single" w:sz="18" w:space="8" w:color="008F87"/>
        </w:pBdr>
      </w:pPr>
      <w:r>
        <w:t xml:space="preserve">Calling a Granger test evidence that one policy variable causes another outcome.</w:t>
      </w:r>
    </w:p>
    <w:p>
      <w:pPr>
        <w:pStyle w:val="BlockText"/>
        <w:shd w:fill="EAF7F5" w:val="clear"/>
        <w:pBdr>
          <w:left w:val="single" w:sz="18" w:space="8" w:color="008F87"/>
        </w:pBdr>
      </w:pPr>
      <w:r>
        <w:rPr>
          <w:b/>
          <w:bCs/>
        </w:rPr>
        <w:t xml:space="preserve">Ceteris LAB Tip</w:t>
      </w:r>
    </w:p>
    <w:p>
      <w:pPr>
        <w:pStyle w:val="BlockText"/>
        <w:shd w:fill="EAF7F5" w:val="clear"/>
        <w:pBdr>
          <w:left w:val="single" w:sz="18" w:space="8" w:color="008F87"/>
        </w:pBdr>
      </w:pPr>
      <w:r>
        <w:t xml:space="preserve">Write the contemporaneous identification assumption directly in the impulse-response caption.</w:t>
      </w:r>
    </w:p>
    <w:p>
      <w:pPr>
        <w:pStyle w:val="BlockText"/>
        <w:shd w:fill="EAF7F5" w:val="clear"/>
        <w:pBdr>
          <w:left w:val="single" w:sz="18" w:space="8" w:color="008F87"/>
        </w:pBdr>
      </w:pPr>
      <w:r>
        <w:rPr>
          <w:b/>
          <w:bCs/>
        </w:rPr>
        <w:t xml:space="preserve">R-to-Python / Source Bridge</w:t>
      </w:r>
    </w:p>
    <w:p>
      <w:pPr>
        <w:pStyle w:val="BlockText"/>
        <w:shd w:fill="EAF7F5" w:val="clear"/>
        <w:pBdr>
          <w:left w:val="single" w:sz="18" w:space="8" w:color="008F87"/>
        </w:pBdr>
      </w:pPr>
      <w:r>
        <w:t xml:space="preserve">The final source lecture develops cross-covariance, VAR, Granger relations, cointegration, Johansen testing, and pairs trading. Python replaces custom R scripts with statsmodels VAR/VECM tools and stronger identification cautions</w:t>
      </w:r>
      <w:r>
        <w:t xml:space="preserve"> </w:t>
      </w:r>
      <w:r>
        <w:t xml:space="preserve">(Tsay 2013)</w:t>
      </w:r>
      <w:r>
        <w:t xml:space="preserve">.</w:t>
      </w:r>
    </w:p>
    <w:bookmarkEnd w:id="552"/>
    <w:bookmarkStart w:id="553" w:name="guided-practice-25"/>
    <w:p>
      <w:pPr>
        <w:pStyle w:val="Heading2"/>
        <w:keepNext/>
      </w:pPr>
      <w:r>
        <w:t>45.9</w:t>
        <w:tab/>
        <w:t>Guided practice</w:t>
      </w:r>
    </w:p>
    <w:p>
      <w:pPr>
        <w:pStyle w:val="Compact"/>
        <w:numPr>
          <w:ilvl w:val="0"/>
          <w:numId w:val="1104"/>
        </w:numPr>
      </w:pPr>
      <w:r>
        <w:t xml:space="preserve">Re-run Demonstration 26.1 and change one input while keeping the analytical question fixed.</w:t>
      </w:r>
    </w:p>
    <w:p>
      <w:pPr>
        <w:pStyle w:val="Compact"/>
        <w:numPr>
          <w:ilvl w:val="0"/>
          <w:numId w:val="1104"/>
        </w:numPr>
      </w:pPr>
      <w:r>
        <w:t xml:space="preserve">Explain in two sentences how the output supports, or fails to support, the chapter opening question.</w:t>
      </w:r>
    </w:p>
    <w:p>
      <w:pPr>
        <w:pStyle w:val="Compact"/>
        <w:numPr>
          <w:ilvl w:val="0"/>
          <w:numId w:val="1104"/>
        </w:numPr>
      </w:pPr>
      <w:r>
        <w:t xml:space="preserve">Add one validation check that would prevent a plausible error.</w:t>
      </w:r>
    </w:p>
    <w:bookmarkEnd w:id="553"/>
    <w:bookmarkStart w:id="554" w:name="exercises-25"/>
    <w:p>
      <w:pPr>
        <w:pStyle w:val="Heading2"/>
        <w:keepNext/>
      </w:pPr>
      <w:r>
        <w:t>45.10</w:t>
        <w:tab/>
        <w:t>Exercises</w:t>
      </w:r>
    </w:p>
    <w:p>
      <w:pPr>
        <w:pStyle w:val="Compact"/>
        <w:numPr>
          <w:ilvl w:val="0"/>
          <w:numId w:val="1105"/>
        </w:numPr>
      </w:pPr>
      <w:r>
        <w:t xml:space="preserve">Fit a bivariate VAR and select lags by AIC and BIC.</w:t>
      </w:r>
    </w:p>
    <w:p>
      <w:pPr>
        <w:pStyle w:val="Compact"/>
        <w:numPr>
          <w:ilvl w:val="0"/>
          <w:numId w:val="1105"/>
        </w:numPr>
      </w:pPr>
      <w:r>
        <w:t xml:space="preserve">Test each predictive direction.</w:t>
      </w:r>
    </w:p>
    <w:p>
      <w:pPr>
        <w:pStyle w:val="Compact"/>
        <w:numPr>
          <w:ilvl w:val="0"/>
          <w:numId w:val="1105"/>
        </w:numPr>
      </w:pPr>
      <w:r>
        <w:t xml:space="preserve">Compare impulse responses under two variable orderings.</w:t>
      </w:r>
    </w:p>
    <w:p>
      <w:pPr>
        <w:pStyle w:val="Compact"/>
        <w:numPr>
          <w:ilvl w:val="0"/>
          <w:numId w:val="1105"/>
        </w:numPr>
      </w:pPr>
      <w:r>
        <w:t xml:space="preserve">Simulate cointegrated series and estimate a VECM.</w:t>
      </w:r>
    </w:p>
    <w:bookmarkEnd w:id="554"/>
    <w:bookmarkStart w:id="555" w:name="chapter-summary-25"/>
    <w:p>
      <w:pPr>
        <w:pStyle w:val="Heading2"/>
        <w:keepNext/>
      </w:pPr>
      <w:r>
        <w:t>45.11</w:t>
        <w:tab/>
        <w:t>Chapter summary</w:t>
      </w:r>
    </w:p>
    <w:p>
      <w:pPr>
        <w:pStyle w:val="Compact"/>
        <w:numPr>
          <w:ilvl w:val="0"/>
          <w:numId w:val="1106"/>
        </w:numPr>
      </w:pPr>
      <w:r>
        <w:t xml:space="preserve">VAR models exploit cross-series lag information.</w:t>
      </w:r>
    </w:p>
    <w:p>
      <w:pPr>
        <w:pStyle w:val="Compact"/>
        <w:numPr>
          <w:ilvl w:val="0"/>
          <w:numId w:val="1106"/>
        </w:numPr>
      </w:pPr>
      <w:r>
        <w:t xml:space="preserve">Granger tests are predictive, not structural.</w:t>
      </w:r>
    </w:p>
    <w:p>
      <w:pPr>
        <w:pStyle w:val="Compact"/>
        <w:numPr>
          <w:ilvl w:val="0"/>
          <w:numId w:val="1106"/>
        </w:numPr>
      </w:pPr>
      <w:r>
        <w:t xml:space="preserve">Cointegration and VECM connect nonstationary levels to stationary long-run combinations.</w:t>
      </w:r>
    </w:p>
    <w:bookmarkEnd w:id="555"/>
    <w:bookmarkStart w:id="556" w:name="key-python-commands-25"/>
    <w:p>
      <w:pPr>
        <w:pStyle w:val="Heading2"/>
        <w:keepNext/>
      </w:pPr>
      <w:r>
        <w:t>45.12</w:t>
        <w:tab/>
        <w:t>Key Python commands</w:t>
      </w:r>
    </w:p>
    <w:p>
      <w:pPr>
        <w:pStyle w:val="SourceCode"/>
        <w:keepLines/>
        <w:shd w:fill="F6F8FA" w:val="clear"/>
      </w:pPr>
      <w:r>
        <w:rPr>
          <w:rStyle w:val="ImportTok"/>
        </w:rPr>
        <w:t xml:space="preserve">import</w:t>
      </w:r>
      <w:r>
        <w:rPr>
          <w:rStyle w:val="NormalTok"/>
        </w:rPr>
        <w:t xml:space="preserve"> numpy </w:t>
      </w:r>
      <w:r>
        <w:rPr>
          <w:rStyle w:val="ImportTok"/>
        </w:rPr>
        <w:t xml:space="preserve">as</w:t>
      </w:r>
      <w:r>
        <w:rPr>
          <w:rStyle w:val="NormalTok"/>
        </w:rPr>
        <w:t xml:space="preserve"> np</w:t>
      </w:r>
      <w:r>
        <w:br/>
      </w:r>
      <w:r>
        <w:rPr>
          <w:rStyle w:val="ImportTok"/>
        </w:rPr>
        <w:t xml:space="preserve">import</w:t>
      </w:r>
      <w:r>
        <w:rPr>
          <w:rStyle w:val="NormalTok"/>
        </w:rPr>
        <w:t xml:space="preserve"> pandas </w:t>
      </w:r>
      <w:r>
        <w:rPr>
          <w:rStyle w:val="ImportTok"/>
        </w:rPr>
        <w:t xml:space="preserve">as</w:t>
      </w:r>
      <w:r>
        <w:rPr>
          <w:rStyle w:val="NormalTok"/>
        </w:rPr>
        <w:t xml:space="preserve"> pd</w:t>
      </w:r>
      <w:r>
        <w:br/>
      </w:r>
      <w:r>
        <w:rPr>
          <w:rStyle w:val="ImportTok"/>
        </w:rPr>
        <w:t xml:space="preserve">from</w:t>
      </w:r>
      <w:r>
        <w:rPr>
          <w:rStyle w:val="NormalTok"/>
        </w:rPr>
        <w:t xml:space="preserve"> statsmodels.tsa.api </w:t>
      </w:r>
      <w:r>
        <w:rPr>
          <w:rStyle w:val="ImportTok"/>
        </w:rPr>
        <w:t xml:space="preserve">import</w:t>
      </w:r>
      <w:r>
        <w:rPr>
          <w:rStyle w:val="NormalTok"/>
        </w:rPr>
        <w:t xml:space="preserve"> VAR</w:t>
      </w:r>
      <w:r>
        <w:br/>
      </w:r>
      <w:r>
        <w:rPr>
          <w:rStyle w:val="NormalTok"/>
        </w:rPr>
        <w:t xml:space="preserve">rng </w:t>
      </w:r>
      <w:r>
        <w:rPr>
          <w:rStyle w:val="OperatorTok"/>
        </w:rPr>
        <w:t xml:space="preserve">=</w:t>
      </w:r>
      <w:r>
        <w:rPr>
          <w:rStyle w:val="NormalTok"/>
        </w:rPr>
        <w:t xml:space="preserve"> np.random.default_rng(</w:t>
      </w:r>
      <w:r>
        <w:rPr>
          <w:rStyle w:val="DecValTok"/>
        </w:rPr>
        <w:t xml:space="preserve">26</w:t>
      </w:r>
      <w:r>
        <w:rPr>
          <w:rStyle w:val="NormalTok"/>
        </w:rPr>
        <w:t xml:space="preserve">)</w:t>
      </w:r>
      <w:r>
        <w:br/>
      </w:r>
      <w:r>
        <w:rPr>
          <w:rStyle w:val="NormalTok"/>
        </w:rPr>
        <w:t xml:space="preserve">y </w:t>
      </w:r>
      <w:r>
        <w:rPr>
          <w:rStyle w:val="OperatorTok"/>
        </w:rPr>
        <w:t xml:space="preserve">=</w:t>
      </w:r>
      <w:r>
        <w:rPr>
          <w:rStyle w:val="NormalTok"/>
        </w:rPr>
        <w:t xml:space="preserve"> np.zeros((</w:t>
      </w:r>
      <w:r>
        <w:rPr>
          <w:rStyle w:val="DecValTok"/>
        </w:rPr>
        <w:t xml:space="preserve">400</w:t>
      </w:r>
      <w:r>
        <w:rPr>
          <w:rStyle w:val="NormalTok"/>
        </w:rPr>
        <w:t xml:space="preserve">, </w:t>
      </w:r>
      <w:r>
        <w:rPr>
          <w:rStyle w:val="DecValTok"/>
        </w:rPr>
        <w:t xml:space="preserve">2</w:t>
      </w:r>
      <w:r>
        <w:rPr>
          <w:rStyle w:val="NormalTok"/>
        </w:rPr>
        <w:t xml:space="preserve">))</w:t>
      </w:r>
      <w:r>
        <w:br/>
      </w:r>
      <w:r>
        <w:rPr>
          <w:rStyle w:val="NormalTok"/>
        </w:rPr>
        <w:t xml:space="preserve">df </w:t>
      </w:r>
      <w:r>
        <w:rPr>
          <w:rStyle w:val="OperatorTok"/>
        </w:rPr>
        <w:t xml:space="preserve">=</w:t>
      </w:r>
      <w:r>
        <w:rPr>
          <w:rStyle w:val="NormalTok"/>
        </w:rPr>
        <w:t xml:space="preserve"> pd.DataFrame(y, columns</w:t>
      </w:r>
      <w:r>
        <w:rPr>
          <w:rStyle w:val="OperatorTok"/>
        </w:rPr>
        <w:t xml:space="preserve">=</w:t>
      </w:r>
      <w:r>
        <w:rPr>
          <w:rStyle w:val="NormalTok"/>
        </w:rPr>
        <w:t xml:space="preserve">[</w:t>
      </w:r>
      <w:r>
        <w:rPr>
          <w:rStyle w:val="StringTok"/>
        </w:rPr>
        <w:t xml:space="preserve">"x"</w:t>
      </w:r>
      <w:r>
        <w:rPr>
          <w:rStyle w:val="NormalTok"/>
        </w:rPr>
        <w:t xml:space="preserve">, </w:t>
      </w:r>
      <w:r>
        <w:rPr>
          <w:rStyle w:val="StringTok"/>
        </w:rPr>
        <w:t xml:space="preserve">"z"</w:t>
      </w:r>
      <w:r>
        <w:rPr>
          <w:rStyle w:val="NormalTok"/>
        </w:rPr>
        <w:t xml:space="preserve">])</w:t>
      </w:r>
    </w:p>
    <w:bookmarkEnd w:id="556"/>
    <w:bookmarkEnd w:id="557"/>
    <w:bookmarkStart w:id="558" w:name="X578f49c8a8be317270611e482207b183d8b0a7c"/>
    <w:p>
      <w:pPr>
        <w:keepNext/>
        <w:pageBreakBefore/>
        <w:spacing w:before="1360" w:after="240"/>
        <w:jc w:val="center"/>
      </w:pPr>
      <w:r>
        <w:drawing>
          <wp:inline>
            <wp:extent cx="4297680" cy="2418730"/>
            <wp:docPr id="738" name="Picture 738" descr="Image: rId20.png"/>
            <wp:cNvGraphicFramePr>
              <a:graphicFrameLocks noChangeAspect="1"/>
            </wp:cNvGraphicFramePr>
            <a:graphic>
              <a:graphicData uri="http://schemas.openxmlformats.org/drawingml/2006/picture">
                <pic:pic>
                  <pic:nvPicPr>
                    <pic:cNvPr id="0" name="image.png"/>
                    <pic:cNvPicPr/>
                  </pic:nvPicPr>
                  <pic:blipFill>
                    <a:blip r:embed="rId20"/>
                    <a:stretch>
                      <a:fillRect/>
                    </a:stretch>
                  </pic:blipFill>
                  <pic:spPr>
                    <a:xfrm>
                      <a:off x="0" y="0"/>
                      <a:ext cx="4297680" cy="2418730"/>
                    </a:xfrm>
                    <a:prstGeom prst="rect"/>
                  </pic:spPr>
                </pic:pic>
              </a:graphicData>
            </a:graphic>
          </wp:inline>
        </w:drawing>
      </w:r>
    </w:p>
    <w:p>
      <w:pPr>
        <w:pStyle w:val="PartTitle"/>
        <w:keepNext/>
        <w:pageBreakBefore w:val="0"/>
      </w:pPr>
      <w:r>
        <w:rPr>
          <w:rFonts w:ascii="Noto Sans" w:hAnsi="Noto Sans" w:eastAsia="Noto Sans" w:cs="Noto Sans"/>
          <w:b/>
          <w:color w:val="0A2342"/>
          <w:sz w:val="28"/>
        </w:rPr>
        <w:t>PART IV</w:t>
        <w:br/>
      </w:r>
      <w:r>
        <w:rPr>
          <w:rFonts w:ascii="Noto Sans" w:hAnsi="Noto Sans" w:eastAsia="Noto Sans" w:cs="Noto Sans"/>
          <w:b/>
          <w:color w:val="008F87"/>
          <w:sz w:val="56"/>
        </w:rPr>
        <w:t>Machine Learning and Artificial Intelligence</w:t>
      </w:r>
    </w:p>
    <w:p>
      <w:pPr>
        <w:pStyle w:val="PartTagline"/>
      </w:pPr>
      <w:r>
        <w:t>LEARN  •  ANALYZE  •  UNDERSTAND</w:t>
      </w:r>
    </w:p>
    <w:p>
      <w:pPr>
        <w:pStyle w:val="PartTagline"/>
      </w:pPr>
      <w:r>
        <w:t>Ceteris LAB  |  econometrics.safavim.com</w:t>
      </w:r>
    </w:p>
    <w:bookmarkEnd w:id="558"/>
    <w:bookmarkStart w:id="575" w:name="X031a15753c2218374c692cc59a0ac0fa300b6e1"/>
    <w:p>
      <w:pPr>
        <w:pStyle w:val="Heading1"/>
        <w:keepNext/>
        <w:pageBreakBefore/>
      </w:pPr>
      <w:r>
        <w:t>46</w:t>
        <w:tab/>
        <w:t>Econometrics and Machine Learning: Different Questions, Shared Tools</w:t>
      </w:r>
    </w:p>
    <w:p>
      <w:pPr>
        <w:pStyle w:val="FirstParagraph"/>
      </w:pPr>
      <w:r>
        <w:rPr>
          <w:i/>
          <w:iCs/>
        </w:rPr>
        <w:t xml:space="preserve">Opening question:</w:t>
      </w:r>
      <w:r>
        <w:t xml:space="preserve"> </w:t>
      </w:r>
      <w:r>
        <w:rPr>
          <w:b/>
          <w:bCs/>
        </w:rPr>
        <w:t xml:space="preserve">Which tasks deserve the label AI, and which claims collapse when we ask what data, objective, and evaluation produced the result?</w:t>
      </w:r>
    </w:p>
    <w:bookmarkStart w:id="559" w:name="learning-objectives-26"/>
    <w:p>
      <w:pPr>
        <w:pStyle w:val="Heading2"/>
        <w:keepNext/>
      </w:pPr>
      <w:r>
        <w:t>46.1</w:t>
        <w:tab/>
        <w:t>Learning objectives</w:t>
      </w:r>
    </w:p>
    <w:p>
      <w:pPr>
        <w:pStyle w:val="Compact"/>
        <w:numPr>
          <w:ilvl w:val="0"/>
          <w:numId w:val="1107"/>
        </w:numPr>
      </w:pPr>
      <w:r>
        <w:t xml:space="preserve">Distinguish AI, machine learning, deep learning, and generative AI.</w:t>
      </w:r>
    </w:p>
    <w:p>
      <w:pPr>
        <w:pStyle w:val="Compact"/>
        <w:numPr>
          <w:ilvl w:val="0"/>
          <w:numId w:val="1107"/>
        </w:numPr>
      </w:pPr>
      <w:r>
        <w:t xml:space="preserve">Separate rule-based systems from learned models.</w:t>
      </w:r>
    </w:p>
    <w:p>
      <w:pPr>
        <w:pStyle w:val="Compact"/>
        <w:numPr>
          <w:ilvl w:val="0"/>
          <w:numId w:val="1107"/>
        </w:numPr>
      </w:pPr>
      <w:r>
        <w:t xml:space="preserve">Explain regression, classification, generation, and retrieval.</w:t>
      </w:r>
    </w:p>
    <w:p>
      <w:pPr>
        <w:pStyle w:val="Compact"/>
        <w:numPr>
          <w:ilvl w:val="0"/>
          <w:numId w:val="1107"/>
        </w:numPr>
      </w:pPr>
      <w:r>
        <w:t xml:space="preserve">Identify hallucination, bias, privacy, and deepfake risks.</w:t>
      </w:r>
    </w:p>
    <w:p>
      <w:pPr>
        <w:pStyle w:val="FirstParagraph"/>
      </w:pPr>
      <w:r>
        <w:rPr>
          <w:b/>
          <w:bCs/>
        </w:rPr>
        <w:t xml:space="preserve">Prerequisites:</w:t>
      </w:r>
      <w:r>
        <w:t xml:space="preserve"> </w:t>
      </w:r>
      <w:r>
        <w:t xml:space="preserve">Parts I and II.</w:t>
      </w:r>
    </w:p>
    <w:p>
      <w:pPr>
        <w:pStyle w:val="BodyText"/>
      </w:pPr>
      <w:r>
        <w:rPr>
          <w:b/>
          <w:bCs/>
        </w:rPr>
        <w:t xml:space="preserve">Key terms:</w:t>
      </w:r>
      <w:r>
        <w:t xml:space="preserve"> </w:t>
      </w:r>
      <w:r>
        <w:t xml:space="preserve">artificial intelligence, machine learning, deep learning, generative AI, hallucination, bias.</w:t>
      </w:r>
    </w:p>
    <w:bookmarkEnd w:id="559"/>
    <w:bookmarkStart w:id="560" w:name="ai-is-an-umbrella-not-a-single-mechanism"/>
    <w:p>
      <w:pPr>
        <w:pStyle w:val="Heading2"/>
        <w:keepNext/>
      </w:pPr>
      <w:r>
        <w:t>46.2</w:t>
        <w:tab/>
        <w:t>AI is an umbrella, not a single mechanism</w:t>
      </w:r>
    </w:p>
    <w:p>
      <w:pPr>
        <w:pStyle w:val="FirstParagraph"/>
      </w:pPr>
      <w:r>
        <w:t xml:space="preserve">Artificial intelligence is a broad label for systems designed to perform tasks associated with perception, language, prediction, planning, or decision support. Machine learning is a subset in which patterns are estimated from data rather than fully specified as hand-written rules. Deep learning uses layered neural networks. Generative models produce new text, images, audio, or code. A system can be useful and still be narrow: performance on one task does not imply general understanding.</w:t>
      </w:r>
    </w:p>
    <w:bookmarkEnd w:id="560"/>
    <w:bookmarkStart w:id="561" w:name="learning-means-optimizing-an-objective"/>
    <w:p>
      <w:pPr>
        <w:pStyle w:val="Heading2"/>
        <w:keepNext/>
      </w:pPr>
      <w:r>
        <w:t>46.3</w:t>
        <w:tab/>
        <w:t>Learning means optimizing an objective</w:t>
      </w:r>
    </w:p>
    <w:p>
      <w:pPr>
        <w:pStyle w:val="FirstParagraph"/>
      </w:pPr>
      <w:r>
        <w:t xml:space="preserve">A supervised model receives examples with features and targets and chooses parameters that reduce a loss function. A classifier does not</w:t>
      </w:r>
      <w:r>
        <w:t xml:space="preserve"> </w:t>
      </w:r>
      <w:r>
        <w:t xml:space="preserve">“</w:t>
      </w:r>
      <w:r>
        <w:t xml:space="preserve">know</w:t>
      </w:r>
      <w:r>
        <w:t xml:space="preserve">”</w:t>
      </w:r>
      <w:r>
        <w:t xml:space="preserve"> </w:t>
      </w:r>
      <w:r>
        <w:t xml:space="preserve">a class in the human sense; it maps inputs to scores or probabilities according to its training objective. Unsupervised methods search for structure without labelled outcomes. Reinforcement learning connects actions to rewards. Every approach inherits the information and omissions in its data and objective.</w:t>
      </w:r>
    </w:p>
    <w:bookmarkEnd w:id="561"/>
    <w:bookmarkStart w:id="562" w:name="fluency-is-not-verification"/>
    <w:p>
      <w:pPr>
        <w:pStyle w:val="Heading2"/>
        <w:keepNext/>
      </w:pPr>
      <w:r>
        <w:t>46.4</w:t>
        <w:tab/>
        <w:t>Fluency is not verification</w:t>
      </w:r>
    </w:p>
    <w:p>
      <w:pPr>
        <w:pStyle w:val="FirstParagraph"/>
      </w:pPr>
      <w:r>
        <w:t xml:space="preserve">Generative systems can produce coherent but unsupported statements, fabricated references, or subtly incorrect code. Hallucination is not cured by confident prose. Bias can enter through historical data, labels, sampling, model choices, or deployment context. Deepfakes and synthetic media make provenance checks increasingly important. Responsible use requires disclosure, privacy protection, human review, and task-specific evaluation rather than vague trust in</w:t>
      </w:r>
      <w:r>
        <w:t xml:space="preserve"> </w:t>
      </w:r>
      <w:r>
        <w:t xml:space="preserve">“</w:t>
      </w:r>
      <w:r>
        <w:t xml:space="preserve">AI</w:t>
      </w:r>
      <w:r>
        <w:t xml:space="preserve">”</w:t>
      </w:r>
      <w:r>
        <w:t xml:space="preserve"> </w:t>
      </w:r>
      <w:r>
        <w:t xml:space="preserve">(Sharifi-Zarchi and contributors 2026)</w:t>
      </w:r>
      <w:r>
        <w:t xml:space="preserve">.</w:t>
      </w:r>
    </w:p>
    <w:bookmarkEnd w:id="562"/>
    <w:bookmarkStart w:id="565" w:name="python-demonstrations-26"/>
    <w:p>
      <w:pPr>
        <w:pStyle w:val="Heading2"/>
        <w:keepNext/>
      </w:pPr>
      <w:r>
        <w:t>46.5</w:t>
        <w:tab/>
        <w:t>Python demonstrations</w:t>
      </w:r>
    </w:p>
    <w:bookmarkStart w:id="563" w:name="Xeaba94002b21bb4a9babd7214715d24310506f4"/>
    <w:p>
      <w:pPr>
        <w:pStyle w:val="Heading3"/>
        <w:keepNext/>
      </w:pPr>
      <w:r>
        <w:t>46.5.1</w:t>
        <w:tab/>
        <w:t>Demonstration 27.1: Rules versus learned boundaries</w:t>
      </w:r>
    </w:p>
    <w:p>
      <w:pPr>
        <w:pStyle w:val="SourceCode"/>
        <w:keepLines/>
        <w:shd w:fill="F6F8FA" w:val="clear"/>
      </w:pPr>
      <w:r>
        <w:rPr>
          <w:rStyle w:val="KeywordTok"/>
        </w:rPr>
        <w:t xml:space="preserve">def</w:t>
      </w:r>
      <w:r>
        <w:rPr>
          <w:rStyle w:val="NormalTok"/>
        </w:rPr>
        <w:t xml:space="preserve"> rule_based_income(income):</w:t>
      </w:r>
      <w:r>
        <w:br/>
      </w:r>
      <w:r>
        <w:rPr>
          <w:rStyle w:val="NormalTok"/>
        </w:rPr>
        <w:t xml:space="preserve">    </w:t>
      </w:r>
      <w:r>
        <w:rPr>
          <w:rStyle w:val="ControlFlowTok"/>
        </w:rPr>
        <w:t xml:space="preserve">return</w:t>
      </w:r>
      <w:r>
        <w:rPr>
          <w:rStyle w:val="NormalTok"/>
        </w:rPr>
        <w:t xml:space="preserve"> </w:t>
      </w:r>
      <w:r>
        <w:rPr>
          <w:rStyle w:val="StringTok"/>
        </w:rPr>
        <w:t xml:space="preserve">"high"</w:t>
      </w:r>
      <w:r>
        <w:rPr>
          <w:rStyle w:val="NormalTok"/>
        </w:rPr>
        <w:t xml:space="preserve"> </w:t>
      </w:r>
      <w:r>
        <w:rPr>
          <w:rStyle w:val="ControlFlowTok"/>
        </w:rPr>
        <w:t xml:space="preserve">if</w:t>
      </w:r>
      <w:r>
        <w:rPr>
          <w:rStyle w:val="NormalTok"/>
        </w:rPr>
        <w:t xml:space="preserve"> income </w:t>
      </w:r>
      <w:r>
        <w:rPr>
          <w:rStyle w:val="OperatorTok"/>
        </w:rPr>
        <w:t xml:space="preserve">&gt;=</w:t>
      </w:r>
      <w:r>
        <w:rPr>
          <w:rStyle w:val="NormalTok"/>
        </w:rPr>
        <w:t xml:space="preserve"> </w:t>
      </w:r>
      <w:r>
        <w:rPr>
          <w:rStyle w:val="DecValTok"/>
        </w:rPr>
        <w:t xml:space="preserve">70_000</w:t>
      </w:r>
      <w:r>
        <w:rPr>
          <w:rStyle w:val="NormalTok"/>
        </w:rPr>
        <w:t xml:space="preserve"> </w:t>
      </w:r>
      <w:r>
        <w:rPr>
          <w:rStyle w:val="ControlFlowTok"/>
        </w:rPr>
        <w:t xml:space="preserve">else</w:t>
      </w:r>
      <w:r>
        <w:rPr>
          <w:rStyle w:val="NormalTok"/>
        </w:rPr>
        <w:t xml:space="preserve"> </w:t>
      </w:r>
      <w:r>
        <w:rPr>
          <w:rStyle w:val="StringTok"/>
        </w:rPr>
        <w:t xml:space="preserve">"not high"</w:t>
      </w:r>
      <w:r>
        <w:br/>
      </w:r>
      <w:r>
        <w:br/>
      </w:r>
      <w:r>
        <w:rPr>
          <w:rStyle w:val="ControlFlowTok"/>
        </w:rPr>
        <w:t xml:space="preserve">for</w:t>
      </w:r>
      <w:r>
        <w:rPr>
          <w:rStyle w:val="NormalTok"/>
        </w:rPr>
        <w:t xml:space="preserve"> value </w:t>
      </w:r>
      <w:r>
        <w:rPr>
          <w:rStyle w:val="KeywordTok"/>
        </w:rPr>
        <w:t xml:space="preserve">in</w:t>
      </w:r>
      <w:r>
        <w:rPr>
          <w:rStyle w:val="NormalTok"/>
        </w:rPr>
        <w:t xml:space="preserve"> [</w:t>
      </w:r>
      <w:r>
        <w:rPr>
          <w:rStyle w:val="DecValTok"/>
        </w:rPr>
        <w:t xml:space="preserve">55_000</w:t>
      </w:r>
      <w:r>
        <w:rPr>
          <w:rStyle w:val="NormalTok"/>
        </w:rPr>
        <w:t xml:space="preserve">, </w:t>
      </w:r>
      <w:r>
        <w:rPr>
          <w:rStyle w:val="DecValTok"/>
        </w:rPr>
        <w:t xml:space="preserve">72_000</w:t>
      </w:r>
      <w:r>
        <w:rPr>
          <w:rStyle w:val="NormalTok"/>
        </w:rPr>
        <w:t xml:space="preserve">]:</w:t>
      </w:r>
      <w:r>
        <w:br/>
      </w:r>
      <w:r>
        <w:rPr>
          <w:rStyle w:val="NormalTok"/>
        </w:rPr>
        <w:t xml:space="preserve">    </w:t>
      </w:r>
      <w:r>
        <w:rPr>
          <w:rStyle w:val="BuiltInTok"/>
        </w:rPr>
        <w:t xml:space="preserve">print</w:t>
      </w:r>
      <w:r>
        <w:rPr>
          <w:rStyle w:val="NormalTok"/>
        </w:rPr>
        <w:t xml:space="preserve">(value, rule_based_income(value))</w:t>
      </w:r>
    </w:p>
    <w:p>
      <w:pPr>
        <w:pStyle w:val="FirstParagraph"/>
      </w:pPr>
      <w:r>
        <w:rPr>
          <w:b/>
          <w:bCs/>
        </w:rPr>
        <w:t xml:space="preserve">Verified output</w:t>
      </w:r>
    </w:p>
    <w:p>
      <w:pPr>
        <w:pStyle w:val="SourceCode"/>
        <w:keepLines/>
        <w:shd w:fill="F6F8FA" w:val="clear"/>
      </w:pPr>
      <w:r>
        <w:rPr>
          <w:rStyle w:val="VerbatimChar"/>
        </w:rPr>
        <w:t xml:space="preserve">55000 not high</w:t>
      </w:r>
      <w:r>
        <w:br/>
      </w:r>
      <w:r>
        <w:rPr>
          <w:rStyle w:val="VerbatimChar"/>
        </w:rPr>
        <w:t xml:space="preserve">72000 high</w:t>
      </w:r>
    </w:p>
    <w:p>
      <w:pPr>
        <w:pStyle w:val="FirstParagraph"/>
      </w:pPr>
      <w:r>
        <w:rPr>
          <w:b/>
          <w:bCs/>
        </w:rPr>
        <w:t xml:space="preserve">Interpretation.</w:t>
      </w:r>
      <w:r>
        <w:t xml:space="preserve"> </w:t>
      </w:r>
      <w:r>
        <w:t xml:space="preserve">The threshold is fully specified by a person. A learned classifier would estimate a boundary from labelled examples.</w:t>
      </w:r>
    </w:p>
    <w:bookmarkEnd w:id="563"/>
    <w:bookmarkStart w:id="564" w:name="X49df0d44846bd51f70642ba75c58b4f08693f1b"/>
    <w:p>
      <w:pPr>
        <w:pStyle w:val="Heading3"/>
        <w:keepNext/>
      </w:pPr>
      <w:r>
        <w:t>46.5.2</w:t>
        <w:tab/>
        <w:t>Demonstration 27.2: A tiny learned classifier</w:t>
      </w:r>
    </w:p>
    <w:p>
      <w:pPr>
        <w:pStyle w:val="SourceCode"/>
        <w:shd w:fill="F6F8FA" w:val="clear"/>
      </w:pPr>
      <w:r>
        <w:rPr>
          <w:rStyle w:val="ImportTok"/>
        </w:rPr>
        <w:t xml:space="preserve">import</w:t>
      </w:r>
      <w:r>
        <w:rPr>
          <w:rStyle w:val="NormalTok"/>
        </w:rPr>
        <w:t xml:space="preserve"> numpy </w:t>
      </w:r>
      <w:r>
        <w:rPr>
          <w:rStyle w:val="ImportTok"/>
        </w:rPr>
        <w:t xml:space="preserve">as</w:t>
      </w:r>
      <w:r>
        <w:rPr>
          <w:rStyle w:val="NormalTok"/>
        </w:rPr>
        <w:t xml:space="preserve"> np</w:t>
      </w:r>
      <w:r>
        <w:br/>
      </w:r>
      <w:r>
        <w:rPr>
          <w:rStyle w:val="ImportTok"/>
        </w:rPr>
        <w:t xml:space="preserve">from</w:t>
      </w:r>
      <w:r>
        <w:rPr>
          <w:rStyle w:val="NormalTok"/>
        </w:rPr>
        <w:t xml:space="preserve"> sklearn.linear_model </w:t>
      </w:r>
      <w:r>
        <w:rPr>
          <w:rStyle w:val="ImportTok"/>
        </w:rPr>
        <w:t xml:space="preserve">import</w:t>
      </w:r>
      <w:r>
        <w:rPr>
          <w:rStyle w:val="NormalTok"/>
        </w:rPr>
        <w:t xml:space="preserve"> LogisticRegression</w:t>
      </w:r>
      <w:r>
        <w:br/>
      </w:r>
      <w:r>
        <w:br/>
      </w:r>
      <w:r>
        <w:rPr>
          <w:rStyle w:val="NormalTok"/>
        </w:rPr>
        <w:t xml:space="preserve">X </w:t>
      </w:r>
      <w:r>
        <w:rPr>
          <w:rStyle w:val="OperatorTok"/>
        </w:rPr>
        <w:t xml:space="preserve">=</w:t>
      </w:r>
      <w:r>
        <w:rPr>
          <w:rStyle w:val="NormalTok"/>
        </w:rPr>
        <w:t xml:space="preserve"> np.array([[</w:t>
      </w:r>
      <w:r>
        <w:rPr>
          <w:rStyle w:val="DecValTok"/>
        </w:rPr>
        <w:t xml:space="preserve">20</w:t>
      </w:r>
      <w:r>
        <w:rPr>
          <w:rStyle w:val="NormalTok"/>
        </w:rPr>
        <w:t xml:space="preserve">], [</w:t>
      </w:r>
      <w:r>
        <w:rPr>
          <w:rStyle w:val="DecValTok"/>
        </w:rPr>
        <w:t xml:space="preserve">30</w:t>
      </w:r>
      <w:r>
        <w:rPr>
          <w:rStyle w:val="NormalTok"/>
        </w:rPr>
        <w:t xml:space="preserve">], [</w:t>
      </w:r>
      <w:r>
        <w:rPr>
          <w:rStyle w:val="DecValTok"/>
        </w:rPr>
        <w:t xml:space="preserve">45</w:t>
      </w:r>
      <w:r>
        <w:rPr>
          <w:rStyle w:val="NormalTok"/>
        </w:rPr>
        <w:t xml:space="preserve">], [</w:t>
      </w:r>
      <w:r>
        <w:rPr>
          <w:rStyle w:val="DecValTok"/>
        </w:rPr>
        <w:t xml:space="preserve">60</w:t>
      </w:r>
      <w:r>
        <w:rPr>
          <w:rStyle w:val="NormalTok"/>
        </w:rPr>
        <w:t xml:space="preserve">], [</w:t>
      </w:r>
      <w:r>
        <w:rPr>
          <w:rStyle w:val="DecValTok"/>
        </w:rPr>
        <w:t xml:space="preserve">75</w:t>
      </w:r>
      <w:r>
        <w:rPr>
          <w:rStyle w:val="NormalTok"/>
        </w:rPr>
        <w:t xml:space="preserve">], [</w:t>
      </w:r>
      <w:r>
        <w:rPr>
          <w:rStyle w:val="DecValTok"/>
        </w:rPr>
        <w:t xml:space="preserve">90</w:t>
      </w:r>
      <w:r>
        <w:rPr>
          <w:rStyle w:val="NormalTok"/>
        </w:rPr>
        <w:t xml:space="preserve">]])</w:t>
      </w:r>
      <w:r>
        <w:br/>
      </w:r>
      <w:r>
        <w:rPr>
          <w:rStyle w:val="NormalTok"/>
        </w:rPr>
        <w:t xml:space="preserve">y </w:t>
      </w:r>
      <w:r>
        <w:rPr>
          <w:rStyle w:val="OperatorTok"/>
        </w:rPr>
        <w:t xml:space="preserve">=</w:t>
      </w:r>
      <w:r>
        <w:rPr>
          <w:rStyle w:val="NormalTok"/>
        </w:rPr>
        <w:t xml:space="preserve"> np.array([</w:t>
      </w:r>
      <w:r>
        <w:rPr>
          <w:rStyle w:val="DecValTok"/>
        </w:rPr>
        <w:t xml:space="preserve">0</w:t>
      </w:r>
      <w:r>
        <w:rPr>
          <w:rStyle w:val="NormalTok"/>
        </w:rPr>
        <w:t xml:space="preserve">, </w:t>
      </w:r>
      <w:r>
        <w:rPr>
          <w:rStyle w:val="DecValTok"/>
        </w:rPr>
        <w:t xml:space="preserve">0</w:t>
      </w:r>
      <w:r>
        <w:rPr>
          <w:rStyle w:val="NormalTok"/>
        </w:rPr>
        <w:t xml:space="preserve">, </w:t>
      </w:r>
      <w:r>
        <w:rPr>
          <w:rStyle w:val="DecValTok"/>
        </w:rPr>
        <w:t xml:space="preserve">0</w:t>
      </w:r>
      <w:r>
        <w:rPr>
          <w:rStyle w:val="NormalTok"/>
        </w:rPr>
        <w:t xml:space="preserve">, </w:t>
      </w:r>
      <w:r>
        <w:rPr>
          <w:rStyle w:val="DecValTok"/>
        </w:rPr>
        <w:t xml:space="preserve">1</w:t>
      </w:r>
      <w:r>
        <w:rPr>
          <w:rStyle w:val="NormalTok"/>
        </w:rPr>
        <w:t xml:space="preserve">, </w:t>
      </w:r>
      <w:r>
        <w:rPr>
          <w:rStyle w:val="DecValTok"/>
        </w:rPr>
        <w:t xml:space="preserve">1</w:t>
      </w:r>
      <w:r>
        <w:rPr>
          <w:rStyle w:val="NormalTok"/>
        </w:rPr>
        <w:t xml:space="preserve">, </w:t>
      </w:r>
      <w:r>
        <w:rPr>
          <w:rStyle w:val="DecValTok"/>
        </w:rPr>
        <w:t xml:space="preserve">1</w:t>
      </w:r>
      <w:r>
        <w:rPr>
          <w:rStyle w:val="NormalTok"/>
        </w:rPr>
        <w:t xml:space="preserve">])</w:t>
      </w:r>
      <w:r>
        <w:br/>
      </w:r>
      <w:r>
        <w:rPr>
          <w:rStyle w:val="NormalTok"/>
        </w:rPr>
        <w:t xml:space="preserve">model </w:t>
      </w:r>
      <w:r>
        <w:rPr>
          <w:rStyle w:val="OperatorTok"/>
        </w:rPr>
        <w:t xml:space="preserve">=</w:t>
      </w:r>
      <w:r>
        <w:rPr>
          <w:rStyle w:val="NormalTok"/>
        </w:rPr>
        <w:t xml:space="preserve"> LogisticRegression().fit(X, y)</w:t>
      </w:r>
      <w:r>
        <w:br/>
      </w:r>
      <w:r>
        <w:rPr>
          <w:rStyle w:val="BuiltInTok"/>
        </w:rPr>
        <w:t xml:space="preserve">print</w:t>
      </w:r>
      <w:r>
        <w:rPr>
          <w:rStyle w:val="NormalTok"/>
        </w:rPr>
        <w:t xml:space="preserve">(np.</w:t>
      </w:r>
      <w:r>
        <w:rPr>
          <w:rStyle w:val="BuiltInTok"/>
        </w:rPr>
        <w:t xml:space="preserve">round</w:t>
      </w:r>
      <w:r>
        <w:rPr>
          <w:rStyle w:val="NormalTok"/>
        </w:rPr>
        <w:t xml:space="preserve">(model.predict_proba([[</w:t>
      </w:r>
      <w:r>
        <w:rPr>
          <w:rStyle w:val="DecValTok"/>
        </w:rPr>
        <w:t xml:space="preserve">50</w:t>
      </w:r>
      <w:r>
        <w:rPr>
          <w:rStyle w:val="NormalTok"/>
        </w:rPr>
        <w:t xml:space="preserve">], [</w:t>
      </w:r>
      <w:r>
        <w:rPr>
          <w:rStyle w:val="DecValTok"/>
        </w:rPr>
        <w:t xml:space="preserve">80</w:t>
      </w:r>
      <w:r>
        <w:rPr>
          <w:rStyle w:val="NormalTok"/>
        </w:rPr>
        <w:t xml:space="preserve">]]), </w:t>
      </w:r>
      <w:r>
        <w:rPr>
          <w:rStyle w:val="DecValTok"/>
        </w:rPr>
        <w:t xml:space="preserve">3</w:t>
      </w:r>
      <w:r>
        <w:rPr>
          <w:rStyle w:val="NormalTok"/>
        </w:rPr>
        <w:t xml:space="preserve">))</w:t>
      </w:r>
    </w:p>
    <w:p>
      <w:pPr>
        <w:pStyle w:val="FirstParagraph"/>
      </w:pPr>
      <w:r>
        <w:rPr>
          <w:b/>
          <w:bCs/>
        </w:rPr>
        <w:t xml:space="preserve">Verified output</w:t>
      </w:r>
    </w:p>
    <w:p>
      <w:pPr>
        <w:pStyle w:val="SourceCode"/>
        <w:keepLines/>
        <w:shd w:fill="F6F8FA" w:val="clear"/>
      </w:pPr>
      <w:r>
        <w:rPr>
          <w:rStyle w:val="VerbatimChar"/>
        </w:rPr>
        <w:t xml:space="preserve">[[0.76 0.24]</w:t>
      </w:r>
      <w:r>
        <w:br/>
      </w:r>
      <w:r>
        <w:rPr>
          <w:rStyle w:val="VerbatimChar"/>
        </w:rPr>
        <w:t xml:space="preserve"> [0.   1.  ]]</w:t>
      </w:r>
    </w:p>
    <w:p>
      <w:pPr>
        <w:pStyle w:val="FirstParagraph"/>
      </w:pPr>
      <w:r>
        <w:rPr>
          <w:b/>
          <w:bCs/>
        </w:rPr>
        <w:t xml:space="preserve">Interpretation.</w:t>
      </w:r>
      <w:r>
        <w:t xml:space="preserve"> </w:t>
      </w:r>
      <w:r>
        <w:t xml:space="preserve">The probabilities arise from the fitted data and model, not from a hand-coded threshold, although the training labels still reflect human choices.</w:t>
      </w:r>
    </w:p>
    <w:bookmarkEnd w:id="564"/>
    <w:bookmarkEnd w:id="565"/>
    <w:bookmarkStart w:id="569" w:name="visual-evidence-26"/>
    <w:p>
      <w:pPr>
        <w:pStyle w:val="Heading2"/>
        <w:keepNext/>
      </w:pPr>
      <w:r>
        <w:t>46.6</w:t>
        <w:tab/>
        <w:t>Visual evidence</w:t>
      </w:r>
    </w:p>
    <w:p>
      <w:pPr>
        <w:pStyle w:val="FirstParagraph"/>
      </w:pPr>
      <w:r>
        <w:drawing>
          <wp:inline>
            <wp:extent cx="4907280" cy="3104107"/>
            <wp:effectExtent b="0" l="0" r="0" t="0"/>
            <wp:docPr descr="Image: rId566.png" title="" id="567" name="Picture"/>
            <a:graphic>
              <a:graphicData uri="http://schemas.openxmlformats.org/drawingml/2006/picture">
                <pic:pic>
                  <pic:nvPicPr>
                    <pic:cNvPr descr="figures/fig_47_ai_taxonomy.png" id="568" name="Picture"/>
                    <pic:cNvPicPr>
                      <a:picLocks noChangeArrowheads="1" noChangeAspect="1"/>
                    </pic:cNvPicPr>
                  </pic:nvPicPr>
                  <pic:blipFill>
                    <a:blip r:embed="rId566"/>
                    <a:stretch>
                      <a:fillRect/>
                    </a:stretch>
                  </pic:blipFill>
                  <pic:spPr bwMode="auto">
                    <a:xfrm>
                      <a:off x="0" y="0"/>
                      <a:ext cx="4907280" cy="3104107"/>
                    </a:xfrm>
                    <a:prstGeom prst="rect">
                      <a:avLst/>
                    </a:prstGeom>
                    <a:noFill/>
                    <a:ln w="9525">
                      <a:noFill/>
                      <a:headEnd/>
                      <a:tailEnd/>
                    </a:ln>
                  </pic:spPr>
                </pic:pic>
              </a:graphicData>
            </a:graphic>
          </wp:inline>
        </w:drawing>
      </w:r>
    </w:p>
    <w:p>
      <w:pPr>
        <w:pStyle w:val="Caption"/>
        <w:keepNext w:val="0"/>
        <w:jc w:val="center"/>
      </w:pPr>
      <w:r>
        <w:rPr>
          <w:b/>
          <w:bCs/>
        </w:rPr>
        <w:t xml:space="preserve">Figure 47.</w:t>
      </w:r>
      <w:r>
        <w:t xml:space="preserve"> </w:t>
      </w:r>
      <w:r>
        <w:t xml:space="preserve">A simplified relationship among AI, machine learning, deep learning, and generative AI.</w:t>
      </w:r>
    </w:p>
    <w:bookmarkEnd w:id="569"/>
    <w:bookmarkStart w:id="570" w:name="reference-table-26"/>
    <w:p>
      <w:pPr>
        <w:pStyle w:val="Heading2"/>
        <w:keepNext/>
      </w:pPr>
      <w:r>
        <w:t>46.7</w:t>
        <w:tab/>
        <w:t>Reference table</w:t>
      </w:r>
    </w:p>
    <w:p>
      <w:pPr>
        <w:pStyle w:val="Caption"/>
        <w:keepNext/>
        <w:jc w:val="center"/>
      </w:pPr>
      <w:r>
        <w:rPr>
          <w:b/>
          <w:bCs/>
        </w:rPr>
        <w:t xml:space="preserve">Table 27. Chapter reference.</w:t>
      </w:r>
    </w:p>
    <w:tbl>
      <w:tblPr>
        <w:tblStyle w:val="Table"/>
        <w:tblW w:type="auto" w:w="0"/>
        <w:jc w:val="center"/>
        <w:tblLayout w:type="autofit"/>
        <w:tblLook w:firstRow="1" w:lastRow="0" w:firstColumn="0" w:lastColumn="0" w:noHBand="0" w:noVBand="0" w:val="0020"/>
      </w:tblPr>
      <w:tblGrid>
        <w:gridCol w:w="2640"/>
        <w:gridCol w:w="2640"/>
        <w:gridCol w:w="2640"/>
      </w:tblGrid>
      <w:tr>
        <w:trPr>
          <w:tblHeader w:val="on"/>
          <w:tblHeader w:val="true"/>
          <w:cantSplit/>
        </w:trPr>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0A2342" w:val="clear"/>
          </w:tcPr>
          <w:p>
            <w:pPr>
              <w:pStyle w:val="Compact"/>
              <w:spacing w:before="30" w:after="30" w:line="240" w:lineRule="auto"/>
              <w:jc w:val="left"/>
            </w:pPr>
            <w:r>
              <w:rPr>
                <w:rFonts w:ascii="Noto Sans" w:hAnsi="Noto Sans" w:eastAsia="Noto Sans" w:cs="Noto Sans"/>
                <w:b/>
                <w:color w:val="FFFFFF"/>
                <w:sz w:val="16"/>
              </w:rPr>
              <w:t xml:space="preserve">System type</w:t>
            </w:r>
          </w:p>
        </w:tc>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0A2342" w:val="clear"/>
          </w:tcPr>
          <w:p>
            <w:pPr>
              <w:pStyle w:val="Compact"/>
              <w:spacing w:before="30" w:after="30" w:line="240" w:lineRule="auto"/>
              <w:jc w:val="left"/>
            </w:pPr>
            <w:r>
              <w:rPr>
                <w:rFonts w:ascii="Noto Sans" w:hAnsi="Noto Sans" w:eastAsia="Noto Sans" w:cs="Noto Sans"/>
                <w:b/>
                <w:color w:val="FFFFFF"/>
                <w:sz w:val="16"/>
              </w:rPr>
              <w:t xml:space="preserve">Learns from examples?</w:t>
            </w:r>
          </w:p>
        </w:tc>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0A2342" w:val="clear"/>
          </w:tcPr>
          <w:p>
            <w:pPr>
              <w:pStyle w:val="Compact"/>
              <w:spacing w:before="30" w:after="30" w:line="240" w:lineRule="auto"/>
              <w:jc w:val="left"/>
            </w:pPr>
            <w:r>
              <w:rPr>
                <w:rFonts w:ascii="Noto Sans" w:hAnsi="Noto Sans" w:eastAsia="Noto Sans" w:cs="Noto Sans"/>
                <w:b/>
                <w:color w:val="FFFFFF"/>
                <w:sz w:val="16"/>
              </w:rPr>
              <w:t xml:space="preserve">Typical output</w:t>
            </w:r>
          </w:p>
        </w:tc>
      </w:tr>
      <w:tr>
        <w:trPr>
          <w:cantSplit/>
        </w:trPr>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EEF4F8" w:val="clear"/>
          </w:tcPr>
          <w:p>
            <w:pPr>
              <w:pStyle w:val="Compact"/>
              <w:spacing w:before="30" w:after="30" w:line="240" w:lineRule="auto"/>
              <w:jc w:val="left"/>
            </w:pPr>
            <w:r>
              <w:rPr>
                <w:rFonts w:ascii="Noto Sans" w:hAnsi="Noto Sans" w:eastAsia="Noto Sans" w:cs="Noto Sans"/>
                <w:b w:val="0"/>
                <w:color w:val="18212B"/>
                <w:sz w:val="16"/>
              </w:rPr>
              <w:t xml:space="preserve">rule-based program</w:t>
            </w:r>
          </w:p>
        </w:tc>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EEF4F8" w:val="clear"/>
          </w:tcPr>
          <w:p>
            <w:pPr>
              <w:pStyle w:val="Compact"/>
              <w:spacing w:before="30" w:after="30" w:line="240" w:lineRule="auto"/>
              <w:jc w:val="left"/>
            </w:pPr>
            <w:r>
              <w:rPr>
                <w:rFonts w:ascii="Noto Sans" w:hAnsi="Noto Sans" w:eastAsia="Noto Sans" w:cs="Noto Sans"/>
                <w:b w:val="0"/>
                <w:color w:val="18212B"/>
                <w:sz w:val="16"/>
              </w:rPr>
              <w:t xml:space="preserve">No, rules are coded</w:t>
            </w:r>
          </w:p>
        </w:tc>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EEF4F8" w:val="clear"/>
          </w:tcPr>
          <w:p>
            <w:pPr>
              <w:pStyle w:val="Compact"/>
              <w:spacing w:before="30" w:after="30" w:line="240" w:lineRule="auto"/>
              <w:jc w:val="left"/>
            </w:pPr>
            <w:r>
              <w:rPr>
                <w:rFonts w:ascii="Noto Sans" w:hAnsi="Noto Sans" w:eastAsia="Noto Sans" w:cs="Noto Sans"/>
                <w:b w:val="0"/>
                <w:color w:val="18212B"/>
                <w:sz w:val="16"/>
              </w:rPr>
              <w:t xml:space="preserve">deterministic decision</w:t>
            </w:r>
          </w:p>
        </w:tc>
      </w:tr>
      <w:tr>
        <w:trPr>
          <w:cantSplit/>
        </w:trPr>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FFFFFF" w:val="clear"/>
          </w:tcPr>
          <w:p>
            <w:pPr>
              <w:pStyle w:val="Compact"/>
              <w:spacing w:before="30" w:after="30" w:line="240" w:lineRule="auto"/>
              <w:jc w:val="left"/>
            </w:pPr>
            <w:r>
              <w:rPr>
                <w:rFonts w:ascii="Noto Sans" w:hAnsi="Noto Sans" w:eastAsia="Noto Sans" w:cs="Noto Sans"/>
                <w:b w:val="0"/>
                <w:color w:val="18212B"/>
                <w:sz w:val="16"/>
              </w:rPr>
              <w:t xml:space="preserve">regression model</w:t>
            </w:r>
          </w:p>
        </w:tc>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FFFFFF" w:val="clear"/>
          </w:tcPr>
          <w:p>
            <w:pPr>
              <w:pStyle w:val="Compact"/>
              <w:spacing w:before="30" w:after="30" w:line="240" w:lineRule="auto"/>
              <w:jc w:val="left"/>
            </w:pPr>
            <w:r>
              <w:rPr>
                <w:rFonts w:ascii="Noto Sans" w:hAnsi="Noto Sans" w:eastAsia="Noto Sans" w:cs="Noto Sans"/>
                <w:b w:val="0"/>
                <w:color w:val="18212B"/>
                <w:sz w:val="16"/>
              </w:rPr>
              <w:t xml:space="preserve">Yes</w:t>
            </w:r>
          </w:p>
        </w:tc>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FFFFFF" w:val="clear"/>
          </w:tcPr>
          <w:p>
            <w:pPr>
              <w:pStyle w:val="Compact"/>
              <w:spacing w:before="30" w:after="30" w:line="240" w:lineRule="auto"/>
              <w:jc w:val="left"/>
            </w:pPr>
            <w:r>
              <w:rPr>
                <w:rFonts w:ascii="Noto Sans" w:hAnsi="Noto Sans" w:eastAsia="Noto Sans" w:cs="Noto Sans"/>
                <w:b w:val="0"/>
                <w:color w:val="18212B"/>
                <w:sz w:val="16"/>
              </w:rPr>
              <w:t xml:space="preserve">continuous prediction</w:t>
            </w:r>
          </w:p>
        </w:tc>
      </w:tr>
      <w:tr>
        <w:trPr>
          <w:cantSplit/>
        </w:trPr>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EEF4F8" w:val="clear"/>
          </w:tcPr>
          <w:p>
            <w:pPr>
              <w:pStyle w:val="Compact"/>
              <w:spacing w:before="30" w:after="30" w:line="240" w:lineRule="auto"/>
              <w:jc w:val="left"/>
            </w:pPr>
            <w:r>
              <w:rPr>
                <w:rFonts w:ascii="Noto Sans" w:hAnsi="Noto Sans" w:eastAsia="Noto Sans" w:cs="Noto Sans"/>
                <w:b w:val="0"/>
                <w:color w:val="18212B"/>
                <w:sz w:val="16"/>
              </w:rPr>
              <w:t xml:space="preserve">classifier</w:t>
            </w:r>
          </w:p>
        </w:tc>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EEF4F8" w:val="clear"/>
          </w:tcPr>
          <w:p>
            <w:pPr>
              <w:pStyle w:val="Compact"/>
              <w:spacing w:before="30" w:after="30" w:line="240" w:lineRule="auto"/>
              <w:jc w:val="left"/>
            </w:pPr>
            <w:r>
              <w:rPr>
                <w:rFonts w:ascii="Noto Sans" w:hAnsi="Noto Sans" w:eastAsia="Noto Sans" w:cs="Noto Sans"/>
                <w:b w:val="0"/>
                <w:color w:val="18212B"/>
                <w:sz w:val="16"/>
              </w:rPr>
              <w:t xml:space="preserve">Yes</w:t>
            </w:r>
          </w:p>
        </w:tc>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EEF4F8" w:val="clear"/>
          </w:tcPr>
          <w:p>
            <w:pPr>
              <w:pStyle w:val="Compact"/>
              <w:spacing w:before="30" w:after="30" w:line="240" w:lineRule="auto"/>
              <w:jc w:val="left"/>
            </w:pPr>
            <w:r>
              <w:rPr>
                <w:rFonts w:ascii="Noto Sans" w:hAnsi="Noto Sans" w:eastAsia="Noto Sans" w:cs="Noto Sans"/>
                <w:b w:val="0"/>
                <w:color w:val="18212B"/>
                <w:sz w:val="16"/>
              </w:rPr>
              <w:t xml:space="preserve">class score or probability</w:t>
            </w:r>
          </w:p>
        </w:tc>
      </w:tr>
      <w:tr>
        <w:trPr>
          <w:cantSplit/>
        </w:trPr>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FFFFFF" w:val="clear"/>
          </w:tcPr>
          <w:p>
            <w:pPr>
              <w:pStyle w:val="Compact"/>
              <w:spacing w:before="30" w:after="30" w:line="240" w:lineRule="auto"/>
              <w:jc w:val="left"/>
            </w:pPr>
            <w:r>
              <w:rPr>
                <w:rFonts w:ascii="Noto Sans" w:hAnsi="Noto Sans" w:eastAsia="Noto Sans" w:cs="Noto Sans"/>
                <w:b w:val="0"/>
                <w:color w:val="18212B"/>
                <w:sz w:val="16"/>
              </w:rPr>
              <w:t xml:space="preserve">generative model</w:t>
            </w:r>
          </w:p>
        </w:tc>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FFFFFF" w:val="clear"/>
          </w:tcPr>
          <w:p>
            <w:pPr>
              <w:pStyle w:val="Compact"/>
              <w:spacing w:before="30" w:after="30" w:line="240" w:lineRule="auto"/>
              <w:jc w:val="left"/>
            </w:pPr>
            <w:r>
              <w:rPr>
                <w:rFonts w:ascii="Noto Sans" w:hAnsi="Noto Sans" w:eastAsia="Noto Sans" w:cs="Noto Sans"/>
                <w:b w:val="0"/>
                <w:color w:val="18212B"/>
                <w:sz w:val="16"/>
              </w:rPr>
              <w:t xml:space="preserve">Yes</w:t>
            </w:r>
          </w:p>
        </w:tc>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FFFFFF" w:val="clear"/>
          </w:tcPr>
          <w:p>
            <w:pPr>
              <w:pStyle w:val="Compact"/>
              <w:spacing w:before="30" w:after="30" w:line="240" w:lineRule="auto"/>
              <w:jc w:val="left"/>
            </w:pPr>
            <w:r>
              <w:rPr>
                <w:rFonts w:ascii="Noto Sans" w:hAnsi="Noto Sans" w:eastAsia="Noto Sans" w:cs="Noto Sans"/>
                <w:b w:val="0"/>
                <w:color w:val="18212B"/>
                <w:sz w:val="16"/>
              </w:rPr>
              <w:t xml:space="preserve">new content</w:t>
            </w:r>
          </w:p>
        </w:tc>
      </w:tr>
      <w:tr>
        <w:trPr>
          <w:cantSplit/>
        </w:trPr>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EEF4F8" w:val="clear"/>
          </w:tcPr>
          <w:p>
            <w:pPr>
              <w:pStyle w:val="Compact"/>
              <w:spacing w:before="30" w:after="30" w:line="240" w:lineRule="auto"/>
              <w:jc w:val="left"/>
            </w:pPr>
            <w:r>
              <w:rPr>
                <w:rFonts w:ascii="Noto Sans" w:hAnsi="Noto Sans" w:eastAsia="Noto Sans" w:cs="Noto Sans"/>
                <w:b w:val="0"/>
                <w:color w:val="18212B"/>
                <w:sz w:val="16"/>
              </w:rPr>
              <w:t xml:space="preserve">retrieval system</w:t>
            </w:r>
          </w:p>
        </w:tc>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EEF4F8" w:val="clear"/>
          </w:tcPr>
          <w:p>
            <w:pPr>
              <w:pStyle w:val="Compact"/>
              <w:spacing w:before="30" w:after="30" w:line="240" w:lineRule="auto"/>
              <w:jc w:val="left"/>
            </w:pPr>
            <w:r>
              <w:rPr>
                <w:rFonts w:ascii="Noto Sans" w:hAnsi="Noto Sans" w:eastAsia="Noto Sans" w:cs="Noto Sans"/>
                <w:b w:val="0"/>
                <w:color w:val="18212B"/>
                <w:sz w:val="16"/>
              </w:rPr>
              <w:t xml:space="preserve">Indexes examples/documents</w:t>
            </w:r>
          </w:p>
        </w:tc>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EEF4F8" w:val="clear"/>
          </w:tcPr>
          <w:p>
            <w:pPr>
              <w:pStyle w:val="Compact"/>
              <w:spacing w:before="30" w:after="30" w:line="240" w:lineRule="auto"/>
              <w:jc w:val="left"/>
            </w:pPr>
            <w:r>
              <w:rPr>
                <w:rFonts w:ascii="Noto Sans" w:hAnsi="Noto Sans" w:eastAsia="Noto Sans" w:cs="Noto Sans"/>
                <w:b w:val="0"/>
                <w:color w:val="18212B"/>
                <w:sz w:val="16"/>
              </w:rPr>
              <w:t xml:space="preserve">ranked evidence</w:t>
            </w:r>
          </w:p>
        </w:tc>
      </w:tr>
      <w:tr>
        <w:trPr>
          <w:cantSplit/>
        </w:trPr>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FFFFFF" w:val="clear"/>
          </w:tcPr>
          <w:p>
            <w:pPr>
              <w:pStyle w:val="Compact"/>
              <w:spacing w:before="30" w:after="30" w:line="240" w:lineRule="auto"/>
              <w:jc w:val="left"/>
            </w:pPr>
            <w:r>
              <w:rPr>
                <w:rFonts w:ascii="Noto Sans" w:hAnsi="Noto Sans" w:eastAsia="Noto Sans" w:cs="Noto Sans"/>
                <w:b w:val="0"/>
                <w:color w:val="18212B"/>
                <w:sz w:val="16"/>
              </w:rPr>
              <w:t xml:space="preserve">agent</w:t>
            </w:r>
          </w:p>
        </w:tc>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FFFFFF" w:val="clear"/>
          </w:tcPr>
          <w:p>
            <w:pPr>
              <w:pStyle w:val="Compact"/>
              <w:spacing w:before="30" w:after="30" w:line="240" w:lineRule="auto"/>
              <w:jc w:val="left"/>
            </w:pPr>
            <w:r>
              <w:rPr>
                <w:rFonts w:ascii="Noto Sans" w:hAnsi="Noto Sans" w:eastAsia="Noto Sans" w:cs="Noto Sans"/>
                <w:b w:val="0"/>
                <w:color w:val="18212B"/>
                <w:sz w:val="16"/>
              </w:rPr>
              <w:t xml:space="preserve">May combine models and tools</w:t>
            </w:r>
          </w:p>
        </w:tc>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FFFFFF" w:val="clear"/>
          </w:tcPr>
          <w:p>
            <w:pPr>
              <w:pStyle w:val="Compact"/>
              <w:spacing w:before="30" w:after="30" w:line="240" w:lineRule="auto"/>
              <w:jc w:val="left"/>
            </w:pPr>
            <w:r>
              <w:rPr>
                <w:rFonts w:ascii="Noto Sans" w:hAnsi="Noto Sans" w:eastAsia="Noto Sans" w:cs="Noto Sans"/>
                <w:b w:val="0"/>
                <w:color w:val="18212B"/>
                <w:sz w:val="16"/>
              </w:rPr>
              <w:t xml:space="preserve">multi-step action</w:t>
            </w:r>
          </w:p>
        </w:tc>
      </w:tr>
    </w:tbl>
    <w:p>
      <w:pPr>
        <w:pStyle w:val="BlockText"/>
        <w:shd w:fill="EAF7F5" w:val="clear"/>
        <w:pBdr>
          <w:left w:val="single" w:sz="18" w:space="8" w:color="008F87"/>
        </w:pBdr>
      </w:pPr>
      <w:r>
        <w:rPr>
          <w:b/>
          <w:bCs/>
        </w:rPr>
        <w:t xml:space="preserve">Why This Matters</w:t>
      </w:r>
    </w:p>
    <w:p>
      <w:pPr>
        <w:pStyle w:val="BlockText"/>
        <w:shd w:fill="EAF7F5" w:val="clear"/>
        <w:pBdr>
          <w:left w:val="single" w:sz="18" w:space="8" w:color="008F87"/>
        </w:pBdr>
      </w:pPr>
      <w:r>
        <w:t xml:space="preserve">Clear definitions prevent AI enthusiasm from outrunning evidence, governance, and task-specific evaluation.</w:t>
      </w:r>
    </w:p>
    <w:p>
      <w:pPr>
        <w:pStyle w:val="BlockText"/>
        <w:shd w:fill="EAF7F5" w:val="clear"/>
        <w:pBdr>
          <w:left w:val="single" w:sz="18" w:space="8" w:color="008F87"/>
        </w:pBdr>
      </w:pPr>
      <w:r>
        <w:rPr>
          <w:b/>
          <w:bCs/>
        </w:rPr>
        <w:t xml:space="preserve">Common Mistake</w:t>
      </w:r>
    </w:p>
    <w:p>
      <w:pPr>
        <w:pStyle w:val="BlockText"/>
        <w:shd w:fill="EAF7F5" w:val="clear"/>
        <w:pBdr>
          <w:left w:val="single" w:sz="18" w:space="8" w:color="008F87"/>
        </w:pBdr>
      </w:pPr>
      <w:r>
        <w:t xml:space="preserve">Treating a fluent language-model answer as a cited fact or a successful code run as proof of conceptual correctness.</w:t>
      </w:r>
    </w:p>
    <w:p>
      <w:pPr>
        <w:pStyle w:val="BlockText"/>
        <w:shd w:fill="EAF7F5" w:val="clear"/>
        <w:pBdr>
          <w:left w:val="single" w:sz="18" w:space="8" w:color="008F87"/>
        </w:pBdr>
      </w:pPr>
      <w:r>
        <w:rPr>
          <w:b/>
          <w:bCs/>
        </w:rPr>
        <w:t xml:space="preserve">Ceteris LAB Tip</w:t>
      </w:r>
    </w:p>
    <w:p>
      <w:pPr>
        <w:pStyle w:val="BlockText"/>
        <w:shd w:fill="EAF7F5" w:val="clear"/>
        <w:pBdr>
          <w:left w:val="single" w:sz="18" w:space="8" w:color="008F87"/>
        </w:pBdr>
      </w:pPr>
      <w:r>
        <w:t xml:space="preserve">Ask four questions: What is the task? What data shaped the system? What objective was optimized? How was performance evaluated?</w:t>
      </w:r>
    </w:p>
    <w:p>
      <w:pPr>
        <w:pStyle w:val="BlockText"/>
        <w:shd w:fill="EAF7F5" w:val="clear"/>
        <w:pBdr>
          <w:left w:val="single" w:sz="18" w:space="8" w:color="008F87"/>
        </w:pBdr>
      </w:pPr>
      <w:r>
        <w:rPr>
          <w:b/>
          <w:bCs/>
        </w:rPr>
        <w:t xml:space="preserve">R-to-Python / Source Bridge</w:t>
      </w:r>
    </w:p>
    <w:p>
      <w:pPr>
        <w:pStyle w:val="BlockText"/>
        <w:shd w:fill="EAF7F5" w:val="clear"/>
        <w:pBdr>
          <w:left w:val="single" w:sz="18" w:space="8" w:color="008F87"/>
        </w:pBdr>
      </w:pPr>
      <w:r>
        <w:t xml:space="preserve">This chapter adapts the first three IntroAI sessions, which emphasize practical intuition, inflated claims, hallucination, bias, and the difference between programming rules and learning patterns</w:t>
      </w:r>
      <w:r>
        <w:t xml:space="preserve"> </w:t>
      </w:r>
      <w:r>
        <w:t xml:space="preserve">(Sharifi-Zarchi and contributors 2026)</w:t>
      </w:r>
      <w:r>
        <w:t xml:space="preserve">.</w:t>
      </w:r>
    </w:p>
    <w:bookmarkEnd w:id="570"/>
    <w:bookmarkStart w:id="571" w:name="guided-practice-26"/>
    <w:p>
      <w:pPr>
        <w:pStyle w:val="Heading2"/>
        <w:keepNext/>
      </w:pPr>
      <w:r>
        <w:t>46.8</w:t>
        <w:tab/>
        <w:t>Guided practice</w:t>
      </w:r>
    </w:p>
    <w:p>
      <w:pPr>
        <w:pStyle w:val="Compact"/>
        <w:numPr>
          <w:ilvl w:val="0"/>
          <w:numId w:val="1108"/>
        </w:numPr>
      </w:pPr>
      <w:r>
        <w:t xml:space="preserve">Re-run Demonstration 27.1 and change one input while keeping the analytical question fixed.</w:t>
      </w:r>
    </w:p>
    <w:p>
      <w:pPr>
        <w:pStyle w:val="Compact"/>
        <w:numPr>
          <w:ilvl w:val="0"/>
          <w:numId w:val="1108"/>
        </w:numPr>
      </w:pPr>
      <w:r>
        <w:t xml:space="preserve">Explain in two sentences how the output supports, or fails to support, the chapter opening question.</w:t>
      </w:r>
    </w:p>
    <w:p>
      <w:pPr>
        <w:pStyle w:val="Compact"/>
        <w:numPr>
          <w:ilvl w:val="0"/>
          <w:numId w:val="1108"/>
        </w:numPr>
      </w:pPr>
      <w:r>
        <w:t xml:space="preserve">Add one validation check that would prevent a plausible error.</w:t>
      </w:r>
    </w:p>
    <w:bookmarkEnd w:id="571"/>
    <w:bookmarkStart w:id="572" w:name="exercises-26"/>
    <w:p>
      <w:pPr>
        <w:pStyle w:val="Heading2"/>
        <w:keepNext/>
      </w:pPr>
      <w:r>
        <w:t>46.9</w:t>
        <w:tab/>
        <w:t>Exercises</w:t>
      </w:r>
    </w:p>
    <w:p>
      <w:pPr>
        <w:pStyle w:val="Compact"/>
        <w:numPr>
          <w:ilvl w:val="0"/>
          <w:numId w:val="1109"/>
        </w:numPr>
      </w:pPr>
      <w:r>
        <w:t xml:space="preserve">Classify five everyday systems as rule-based, predictive, generative, retrieval, or agentic.</w:t>
      </w:r>
    </w:p>
    <w:p>
      <w:pPr>
        <w:pStyle w:val="Compact"/>
        <w:numPr>
          <w:ilvl w:val="0"/>
          <w:numId w:val="1109"/>
        </w:numPr>
      </w:pPr>
      <w:r>
        <w:t xml:space="preserve">Give one example of label bias.</w:t>
      </w:r>
    </w:p>
    <w:p>
      <w:pPr>
        <w:pStyle w:val="Compact"/>
        <w:numPr>
          <w:ilvl w:val="0"/>
          <w:numId w:val="1109"/>
        </w:numPr>
      </w:pPr>
      <w:r>
        <w:t xml:space="preserve">Design a verification checklist for AI-generated code.</w:t>
      </w:r>
    </w:p>
    <w:p>
      <w:pPr>
        <w:pStyle w:val="Compact"/>
        <w:numPr>
          <w:ilvl w:val="0"/>
          <w:numId w:val="1109"/>
        </w:numPr>
      </w:pPr>
      <w:r>
        <w:t xml:space="preserve">Explain why narrow task performance is not evidence of general intelligence.</w:t>
      </w:r>
    </w:p>
    <w:bookmarkEnd w:id="572"/>
    <w:bookmarkStart w:id="573" w:name="chapter-summary-26"/>
    <w:p>
      <w:pPr>
        <w:pStyle w:val="Heading2"/>
        <w:keepNext/>
      </w:pPr>
      <w:r>
        <w:t>46.10</w:t>
        <w:tab/>
        <w:t>Chapter summary</w:t>
      </w:r>
    </w:p>
    <w:p>
      <w:pPr>
        <w:pStyle w:val="Compact"/>
        <w:numPr>
          <w:ilvl w:val="0"/>
          <w:numId w:val="1110"/>
        </w:numPr>
      </w:pPr>
      <w:r>
        <w:t xml:space="preserve">AI is a broad family of systems, not one method.</w:t>
      </w:r>
    </w:p>
    <w:p>
      <w:pPr>
        <w:pStyle w:val="Compact"/>
        <w:numPr>
          <w:ilvl w:val="0"/>
          <w:numId w:val="1110"/>
        </w:numPr>
      </w:pPr>
      <w:r>
        <w:t xml:space="preserve">Machine learning estimates patterns by optimizing objectives on data.</w:t>
      </w:r>
    </w:p>
    <w:p>
      <w:pPr>
        <w:pStyle w:val="Compact"/>
        <w:numPr>
          <w:ilvl w:val="0"/>
          <w:numId w:val="1110"/>
        </w:numPr>
      </w:pPr>
      <w:r>
        <w:t xml:space="preserve">Fluency, accuracy, fairness, and safety require separate evaluation.</w:t>
      </w:r>
    </w:p>
    <w:bookmarkEnd w:id="573"/>
    <w:bookmarkStart w:id="574" w:name="key-python-commands-26"/>
    <w:p>
      <w:pPr>
        <w:pStyle w:val="Heading2"/>
        <w:keepNext/>
      </w:pPr>
      <w:r>
        <w:t>46.11</w:t>
        <w:tab/>
        <w:t>Key Python commands</w:t>
      </w:r>
    </w:p>
    <w:p>
      <w:pPr>
        <w:pStyle w:val="SourceCode"/>
        <w:keepLines/>
        <w:shd w:fill="F6F8FA" w:val="clear"/>
      </w:pPr>
      <w:r>
        <w:rPr>
          <w:rStyle w:val="KeywordTok"/>
        </w:rPr>
        <w:t xml:space="preserve">def</w:t>
      </w:r>
      <w:r>
        <w:rPr>
          <w:rStyle w:val="NormalTok"/>
        </w:rPr>
        <w:t xml:space="preserve"> rule_based_income(income):</w:t>
      </w:r>
      <w:r>
        <w:br/>
      </w:r>
      <w:r>
        <w:rPr>
          <w:rStyle w:val="BuiltInTok"/>
        </w:rPr>
        <w:t xml:space="preserve">print</w:t>
      </w:r>
      <w:r>
        <w:rPr>
          <w:rStyle w:val="NormalTok"/>
        </w:rPr>
        <w:t xml:space="preserve">(value, rule_based_income(value))</w:t>
      </w:r>
      <w:r>
        <w:br/>
      </w:r>
      <w:r>
        <w:rPr>
          <w:rStyle w:val="ImportTok"/>
        </w:rPr>
        <w:t xml:space="preserve">import</w:t>
      </w:r>
      <w:r>
        <w:rPr>
          <w:rStyle w:val="NormalTok"/>
        </w:rPr>
        <w:t xml:space="preserve"> numpy </w:t>
      </w:r>
      <w:r>
        <w:rPr>
          <w:rStyle w:val="ImportTok"/>
        </w:rPr>
        <w:t xml:space="preserve">as</w:t>
      </w:r>
      <w:r>
        <w:rPr>
          <w:rStyle w:val="NormalTok"/>
        </w:rPr>
        <w:t xml:space="preserve"> np</w:t>
      </w:r>
      <w:r>
        <w:br/>
      </w:r>
      <w:r>
        <w:rPr>
          <w:rStyle w:val="ImportTok"/>
        </w:rPr>
        <w:t xml:space="preserve">from</w:t>
      </w:r>
      <w:r>
        <w:rPr>
          <w:rStyle w:val="NormalTok"/>
        </w:rPr>
        <w:t xml:space="preserve"> sklearn.linear_model </w:t>
      </w:r>
      <w:r>
        <w:rPr>
          <w:rStyle w:val="ImportTok"/>
        </w:rPr>
        <w:t xml:space="preserve">import</w:t>
      </w:r>
      <w:r>
        <w:rPr>
          <w:rStyle w:val="NormalTok"/>
        </w:rPr>
        <w:t xml:space="preserve"> LogisticRegression</w:t>
      </w:r>
      <w:r>
        <w:br/>
      </w:r>
      <w:r>
        <w:rPr>
          <w:rStyle w:val="NormalTok"/>
        </w:rPr>
        <w:t xml:space="preserve">X </w:t>
      </w:r>
      <w:r>
        <w:rPr>
          <w:rStyle w:val="OperatorTok"/>
        </w:rPr>
        <w:t xml:space="preserve">=</w:t>
      </w:r>
      <w:r>
        <w:rPr>
          <w:rStyle w:val="NormalTok"/>
        </w:rPr>
        <w:t xml:space="preserve"> np.array([[</w:t>
      </w:r>
      <w:r>
        <w:rPr>
          <w:rStyle w:val="DecValTok"/>
        </w:rPr>
        <w:t xml:space="preserve">20</w:t>
      </w:r>
      <w:r>
        <w:rPr>
          <w:rStyle w:val="NormalTok"/>
        </w:rPr>
        <w:t xml:space="preserve">], [</w:t>
      </w:r>
      <w:r>
        <w:rPr>
          <w:rStyle w:val="DecValTok"/>
        </w:rPr>
        <w:t xml:space="preserve">30</w:t>
      </w:r>
      <w:r>
        <w:rPr>
          <w:rStyle w:val="NormalTok"/>
        </w:rPr>
        <w:t xml:space="preserve">], [</w:t>
      </w:r>
      <w:r>
        <w:rPr>
          <w:rStyle w:val="DecValTok"/>
        </w:rPr>
        <w:t xml:space="preserve">45</w:t>
      </w:r>
      <w:r>
        <w:rPr>
          <w:rStyle w:val="NormalTok"/>
        </w:rPr>
        <w:t xml:space="preserve">], [</w:t>
      </w:r>
      <w:r>
        <w:rPr>
          <w:rStyle w:val="DecValTok"/>
        </w:rPr>
        <w:t xml:space="preserve">60</w:t>
      </w:r>
      <w:r>
        <w:rPr>
          <w:rStyle w:val="NormalTok"/>
        </w:rPr>
        <w:t xml:space="preserve">], [</w:t>
      </w:r>
      <w:r>
        <w:rPr>
          <w:rStyle w:val="DecValTok"/>
        </w:rPr>
        <w:t xml:space="preserve">75</w:t>
      </w:r>
      <w:r>
        <w:rPr>
          <w:rStyle w:val="NormalTok"/>
        </w:rPr>
        <w:t xml:space="preserve">], [</w:t>
      </w:r>
      <w:r>
        <w:rPr>
          <w:rStyle w:val="DecValTok"/>
        </w:rPr>
        <w:t xml:space="preserve">90</w:t>
      </w:r>
      <w:r>
        <w:rPr>
          <w:rStyle w:val="NormalTok"/>
        </w:rPr>
        <w:t xml:space="preserve">]])</w:t>
      </w:r>
      <w:r>
        <w:br/>
      </w:r>
      <w:r>
        <w:rPr>
          <w:rStyle w:val="NormalTok"/>
        </w:rPr>
        <w:t xml:space="preserve">y </w:t>
      </w:r>
      <w:r>
        <w:rPr>
          <w:rStyle w:val="OperatorTok"/>
        </w:rPr>
        <w:t xml:space="preserve">=</w:t>
      </w:r>
      <w:r>
        <w:rPr>
          <w:rStyle w:val="NormalTok"/>
        </w:rPr>
        <w:t xml:space="preserve"> np.array([</w:t>
      </w:r>
      <w:r>
        <w:rPr>
          <w:rStyle w:val="DecValTok"/>
        </w:rPr>
        <w:t xml:space="preserve">0</w:t>
      </w:r>
      <w:r>
        <w:rPr>
          <w:rStyle w:val="NormalTok"/>
        </w:rPr>
        <w:t xml:space="preserve">, </w:t>
      </w:r>
      <w:r>
        <w:rPr>
          <w:rStyle w:val="DecValTok"/>
        </w:rPr>
        <w:t xml:space="preserve">0</w:t>
      </w:r>
      <w:r>
        <w:rPr>
          <w:rStyle w:val="NormalTok"/>
        </w:rPr>
        <w:t xml:space="preserve">, </w:t>
      </w:r>
      <w:r>
        <w:rPr>
          <w:rStyle w:val="DecValTok"/>
        </w:rPr>
        <w:t xml:space="preserve">0</w:t>
      </w:r>
      <w:r>
        <w:rPr>
          <w:rStyle w:val="NormalTok"/>
        </w:rPr>
        <w:t xml:space="preserve">, </w:t>
      </w:r>
      <w:r>
        <w:rPr>
          <w:rStyle w:val="DecValTok"/>
        </w:rPr>
        <w:t xml:space="preserve">1</w:t>
      </w:r>
      <w:r>
        <w:rPr>
          <w:rStyle w:val="NormalTok"/>
        </w:rPr>
        <w:t xml:space="preserve">, </w:t>
      </w:r>
      <w:r>
        <w:rPr>
          <w:rStyle w:val="DecValTok"/>
        </w:rPr>
        <w:t xml:space="preserve">1</w:t>
      </w:r>
      <w:r>
        <w:rPr>
          <w:rStyle w:val="NormalTok"/>
        </w:rPr>
        <w:t xml:space="preserve">, </w:t>
      </w:r>
      <w:r>
        <w:rPr>
          <w:rStyle w:val="DecValTok"/>
        </w:rPr>
        <w:t xml:space="preserve">1</w:t>
      </w:r>
      <w:r>
        <w:rPr>
          <w:rStyle w:val="NormalTok"/>
        </w:rPr>
        <w:t xml:space="preserve">])</w:t>
      </w:r>
    </w:p>
    <w:bookmarkEnd w:id="574"/>
    <w:bookmarkEnd w:id="575"/>
    <w:bookmarkStart w:id="596" w:name="X6acd8e1a7b9f1ec0896d1d980f590e74a347942"/>
    <w:p>
      <w:pPr>
        <w:pStyle w:val="Heading1"/>
        <w:keepNext/>
        <w:pageBreakBefore/>
      </w:pPr>
      <w:r>
        <w:t>47</w:t>
        <w:tab/>
        <w:t>Machine-Learning Workflow and Gradient Descent for Economic Data</w:t>
      </w:r>
    </w:p>
    <w:p>
      <w:pPr>
        <w:pStyle w:val="FirstParagraph"/>
      </w:pPr>
      <w:r>
        <w:rPr>
          <w:i/>
          <w:iCs/>
        </w:rPr>
        <w:t xml:space="preserve">Opening question:</w:t>
      </w:r>
      <w:r>
        <w:t xml:space="preserve"> </w:t>
      </w:r>
      <w:r>
        <w:rPr>
          <w:b/>
          <w:bCs/>
        </w:rPr>
        <w:t xml:space="preserve">How can a model be trained without letting information from the future or test set leak into the learning process?</w:t>
      </w:r>
    </w:p>
    <w:bookmarkStart w:id="576" w:name="learning-objectives-27"/>
    <w:p>
      <w:pPr>
        <w:pStyle w:val="Heading2"/>
        <w:keepNext/>
      </w:pPr>
      <w:r>
        <w:t>47.1</w:t>
        <w:tab/>
        <w:t>Learning objectives</w:t>
      </w:r>
    </w:p>
    <w:p>
      <w:pPr>
        <w:pStyle w:val="Compact"/>
        <w:numPr>
          <w:ilvl w:val="0"/>
          <w:numId w:val="1111"/>
        </w:numPr>
      </w:pPr>
      <w:r>
        <w:t xml:space="preserve">Define features, labels, train, validation, and test sets.</w:t>
      </w:r>
    </w:p>
    <w:p>
      <w:pPr>
        <w:pStyle w:val="Compact"/>
        <w:numPr>
          <w:ilvl w:val="0"/>
          <w:numId w:val="1111"/>
        </w:numPr>
      </w:pPr>
      <w:r>
        <w:t xml:space="preserve">Recognize overfitting, underfitting, and leakage.</w:t>
      </w:r>
    </w:p>
    <w:p>
      <w:pPr>
        <w:pStyle w:val="Compact"/>
        <w:numPr>
          <w:ilvl w:val="0"/>
          <w:numId w:val="1111"/>
        </w:numPr>
      </w:pPr>
      <w:r>
        <w:t xml:space="preserve">Explain loss functions and gradient descent.</w:t>
      </w:r>
    </w:p>
    <w:p>
      <w:pPr>
        <w:pStyle w:val="Compact"/>
        <w:numPr>
          <w:ilvl w:val="0"/>
          <w:numId w:val="1111"/>
        </w:numPr>
      </w:pPr>
      <w:r>
        <w:t xml:space="preserve">Build reproducible preprocessing pipelines.</w:t>
      </w:r>
    </w:p>
    <w:p>
      <w:pPr>
        <w:pStyle w:val="FirstParagraph"/>
      </w:pPr>
      <w:r>
        <w:rPr>
          <w:b/>
          <w:bCs/>
        </w:rPr>
        <w:t xml:space="preserve">Prerequisites:</w:t>
      </w:r>
      <w:r>
        <w:t xml:space="preserve"> </w:t>
      </w:r>
      <w:r>
        <w:t xml:space="preserve">Chapter 27 and basic calculus intuition.</w:t>
      </w:r>
    </w:p>
    <w:p>
      <w:pPr>
        <w:pStyle w:val="BodyText"/>
      </w:pPr>
      <w:r>
        <w:rPr>
          <w:b/>
          <w:bCs/>
        </w:rPr>
        <w:t xml:space="preserve">Key terms:</w:t>
      </w:r>
      <w:r>
        <w:t xml:space="preserve"> </w:t>
      </w:r>
      <w:r>
        <w:t xml:space="preserve">feature, label, generalization, data leakage, loss function, gradient descent.</w:t>
      </w:r>
    </w:p>
    <w:bookmarkEnd w:id="576"/>
    <w:bookmarkStart w:id="577" w:name="the-split-defines-the-claim"/>
    <w:p>
      <w:pPr>
        <w:pStyle w:val="Heading2"/>
        <w:keepNext/>
      </w:pPr>
      <w:r>
        <w:t>47.2</w:t>
        <w:tab/>
        <w:t>The split defines the claim</w:t>
      </w:r>
    </w:p>
    <w:p>
      <w:pPr>
        <w:pStyle w:val="FirstParagraph"/>
      </w:pPr>
      <w:r>
        <w:t xml:space="preserve">A training set estimates model parameters. A validation set supports choices such as complexity and tuning. A test set is held back for the final unbiased evaluation of the chosen workflow. In time series, random splitting can let future observations train a model used to</w:t>
      </w:r>
      <w:r>
        <w:t xml:space="preserve"> </w:t>
      </w:r>
      <w:r>
        <w:t xml:space="preserve">“</w:t>
      </w:r>
      <w:r>
        <w:t xml:space="preserve">predict</w:t>
      </w:r>
      <w:r>
        <w:t xml:space="preserve">”</w:t>
      </w:r>
      <w:r>
        <w:t xml:space="preserve"> </w:t>
      </w:r>
      <w:r>
        <w:t xml:space="preserve">the past. The split must reflect deployment: future-from-past forecasting, new households, new countries, or new images.</w:t>
      </w:r>
    </w:p>
    <w:bookmarkEnd w:id="577"/>
    <w:bookmarkStart w:id="578" w:name="X464e85111dc6ae95a63561d8856d42a8bed6f98"/>
    <w:p>
      <w:pPr>
        <w:pStyle w:val="Heading2"/>
        <w:keepNext/>
      </w:pPr>
      <w:r>
        <w:t>47.3</w:t>
        <w:tab/>
        <w:t>Overfitting is a gap between memory and generalization</w:t>
      </w:r>
    </w:p>
    <w:p>
      <w:pPr>
        <w:pStyle w:val="FirstParagraph"/>
      </w:pPr>
      <w:r>
        <w:t xml:space="preserve">A highly flexible model can fit training noise and fail on new observations. Underfitting occurs when a model is too constrained to capture relevant structure. Learning curves compare training and validation performance across sample sizes or complexity. Regularization, simpler features, more representative data, and better validation can reduce overfitting, but no method rescues a mismatch between training data and deployment conditions.</w:t>
      </w:r>
    </w:p>
    <w:bookmarkEnd w:id="578"/>
    <w:bookmarkStart w:id="579" w:name="Xfa4e05eac2b2bb9cb85198668e78dbd658e3a0a"/>
    <w:p>
      <w:pPr>
        <w:pStyle w:val="Heading2"/>
        <w:keepNext/>
      </w:pPr>
      <w:r>
        <w:t>47.4</w:t>
        <w:tab/>
        <w:t>Gradient descent follows local slope information</w:t>
      </w:r>
    </w:p>
    <w:p>
      <w:pPr>
        <w:pStyle w:val="FirstParagraph"/>
      </w:pPr>
      <w:r>
        <w:t xml:space="preserve">Gradient descent updates parameters in the direction that reduces a differentiable loss. The learning rate controls step size: too small can be slow, too large can oscillate or diverge. Feature scaling often improves numerical behaviour. Modern optimizers add momentum or adaptive scaling, yet the underlying idea remains iterative improvement of an objective. Optimization success does not guarantee a meaningful target or fair data.</w:t>
      </w:r>
    </w:p>
    <w:bookmarkEnd w:id="579"/>
    <w:bookmarkStart w:id="580" w:name="core-equations-14"/>
    <w:p>
      <w:pPr>
        <w:pStyle w:val="Heading2"/>
        <w:keepNext/>
      </w:pPr>
      <w:r>
        <w:t>47.5</w:t>
        <w:tab/>
        <w:t>Core equations</w:t>
      </w:r>
    </w:p>
    <w:p>
      <w:pPr>
        <w:pStyle w:val="FirstParagraph"/>
      </w:pPr>
      <w:r>
        <w:rPr>
          <w:b/>
          <w:bCs/>
        </w:rPr>
        <w:t xml:space="preserve">Gradient update</w:t>
      </w:r>
    </w:p>
    <w:p>
      <w:pPr>
        <w:pStyle w:val="BodyText"/>
      </w:pPr>
      <m:oMathPara>
        <m:oMathParaPr>
          <m:jc m:val="center"/>
        </m:oMathParaPr>
        <m:oMath>
          <m:sSub>
            <m:e>
              <m:r>
                <m:t>θ</m:t>
              </m:r>
            </m:e>
            <m:sub>
              <m:r>
                <m:t>k</m:t>
              </m:r>
              <m:r>
                <m:rPr>
                  <m:sty m:val="p"/>
                </m:rPr>
                <m:t>+</m:t>
              </m:r>
              <m:r>
                <m:t>1</m:t>
              </m:r>
            </m:sub>
          </m:sSub>
          <m:r>
            <m:rPr>
              <m:sty m:val="p"/>
            </m:rPr>
            <m:t>=</m:t>
          </m:r>
          <m:sSub>
            <m:e>
              <m:r>
                <m:t>θ</m:t>
              </m:r>
            </m:e>
            <m:sub>
              <m:r>
                <m:t>k</m:t>
              </m:r>
            </m:sub>
          </m:sSub>
          <m:r>
            <m:rPr>
              <m:sty m:val="p"/>
            </m:rPr>
            <m:t>−</m:t>
          </m:r>
          <m:r>
            <m:t>η</m:t>
          </m:r>
          <m:sSub>
            <m:e>
              <m:r>
                <m:rPr>
                  <m:sty m:val="p"/>
                </m:rPr>
                <m:t>∇</m:t>
              </m:r>
            </m:e>
            <m:sub>
              <m:r>
                <m:t>θ</m:t>
              </m:r>
            </m:sub>
          </m:sSub>
          <m:r>
            <m:rPr>
              <m:sty m:val="p"/>
              <m:scr m:val="script"/>
            </m:rPr>
            <m:t>L</m:t>
          </m:r>
          <m:d>
            <m:dPr>
              <m:begChr m:val="("/>
              <m:endChr m:val=")"/>
              <m:sepChr m:val=""/>
              <m:grow/>
            </m:dPr>
            <m:e>
              <m:sSub>
                <m:e>
                  <m:r>
                    <m:t>θ</m:t>
                  </m:r>
                </m:e>
                <m:sub>
                  <m:r>
                    <m:t>k</m:t>
                  </m:r>
                </m:sub>
              </m:sSub>
            </m:e>
          </m:d>
        </m:oMath>
      </m:oMathPara>
    </w:p>
    <w:p>
      <w:pPr>
        <w:pStyle w:val="FirstParagraph"/>
      </w:pPr>
      <w:r>
        <w:t xml:space="preserve">The learning rate eta scales a step opposite the loss gradient.</w:t>
      </w:r>
    </w:p>
    <w:bookmarkEnd w:id="580"/>
    <w:bookmarkStart w:id="583" w:name="python-demonstrations-27"/>
    <w:p>
      <w:pPr>
        <w:pStyle w:val="Heading2"/>
        <w:keepNext/>
      </w:pPr>
      <w:r>
        <w:t>47.6</w:t>
        <w:tab/>
        <w:t>Python demonstrations</w:t>
      </w:r>
    </w:p>
    <w:bookmarkStart w:id="581" w:name="Xe12e84cbb3ab840361606beb7192bfe37d00b98"/>
    <w:p>
      <w:pPr>
        <w:pStyle w:val="Heading3"/>
        <w:keepNext/>
      </w:pPr>
      <w:r>
        <w:t>47.6.1</w:t>
        <w:tab/>
        <w:t>Demonstration 28.1: Gradient descent for one slope</w:t>
      </w:r>
    </w:p>
    <w:p>
      <w:pPr>
        <w:pStyle w:val="SourceCode"/>
        <w:keepLines/>
        <w:shd w:fill="F6F8FA" w:val="clear"/>
      </w:pPr>
      <w:r>
        <w:rPr>
          <w:rStyle w:val="ImportTok"/>
        </w:rPr>
        <w:t xml:space="preserve">import</w:t>
      </w:r>
      <w:r>
        <w:rPr>
          <w:rStyle w:val="NormalTok"/>
        </w:rPr>
        <w:t xml:space="preserve"> numpy </w:t>
      </w:r>
      <w:r>
        <w:rPr>
          <w:rStyle w:val="ImportTok"/>
        </w:rPr>
        <w:t xml:space="preserve">as</w:t>
      </w:r>
      <w:r>
        <w:rPr>
          <w:rStyle w:val="NormalTok"/>
        </w:rPr>
        <w:t xml:space="preserve"> np</w:t>
      </w:r>
      <w:r>
        <w:br/>
      </w:r>
      <w:r>
        <w:br/>
      </w:r>
      <w:r>
        <w:rPr>
          <w:rStyle w:val="NormalTok"/>
        </w:rPr>
        <w:t xml:space="preserve">x </w:t>
      </w:r>
      <w:r>
        <w:rPr>
          <w:rStyle w:val="OperatorTok"/>
        </w:rPr>
        <w:t xml:space="preserve">=</w:t>
      </w:r>
      <w:r>
        <w:rPr>
          <w:rStyle w:val="NormalTok"/>
        </w:rPr>
        <w:t xml:space="preserve"> np.array([</w:t>
      </w:r>
      <w:r>
        <w:rPr>
          <w:rStyle w:val="FloatTok"/>
        </w:rPr>
        <w:t xml:space="preserve">1.</w:t>
      </w:r>
      <w:r>
        <w:rPr>
          <w:rStyle w:val="NormalTok"/>
        </w:rPr>
        <w:t xml:space="preserve">, </w:t>
      </w:r>
      <w:r>
        <w:rPr>
          <w:rStyle w:val="FloatTok"/>
        </w:rPr>
        <w:t xml:space="preserve">2.</w:t>
      </w:r>
      <w:r>
        <w:rPr>
          <w:rStyle w:val="NormalTok"/>
        </w:rPr>
        <w:t xml:space="preserve">, </w:t>
      </w:r>
      <w:r>
        <w:rPr>
          <w:rStyle w:val="FloatTok"/>
        </w:rPr>
        <w:t xml:space="preserve">3.</w:t>
      </w:r>
      <w:r>
        <w:rPr>
          <w:rStyle w:val="NormalTok"/>
        </w:rPr>
        <w:t xml:space="preserve">, </w:t>
      </w:r>
      <w:r>
        <w:rPr>
          <w:rStyle w:val="FloatTok"/>
        </w:rPr>
        <w:t xml:space="preserve">4.</w:t>
      </w:r>
      <w:r>
        <w:rPr>
          <w:rStyle w:val="NormalTok"/>
        </w:rPr>
        <w:t xml:space="preserve">])</w:t>
      </w:r>
      <w:r>
        <w:br/>
      </w:r>
      <w:r>
        <w:rPr>
          <w:rStyle w:val="NormalTok"/>
        </w:rPr>
        <w:t xml:space="preserve">y </w:t>
      </w:r>
      <w:r>
        <w:rPr>
          <w:rStyle w:val="OperatorTok"/>
        </w:rPr>
        <w:t xml:space="preserve">=</w:t>
      </w:r>
      <w:r>
        <w:rPr>
          <w:rStyle w:val="NormalTok"/>
        </w:rPr>
        <w:t xml:space="preserve"> </w:t>
      </w:r>
      <w:r>
        <w:rPr>
          <w:rStyle w:val="FloatTok"/>
        </w:rPr>
        <w:t xml:space="preserve">2.5</w:t>
      </w:r>
      <w:r>
        <w:rPr>
          <w:rStyle w:val="NormalTok"/>
        </w:rPr>
        <w:t xml:space="preserve"> </w:t>
      </w:r>
      <w:r>
        <w:rPr>
          <w:rStyle w:val="OperatorTok"/>
        </w:rPr>
        <w:t xml:space="preserve">*</w:t>
      </w:r>
      <w:r>
        <w:rPr>
          <w:rStyle w:val="NormalTok"/>
        </w:rPr>
        <w:t xml:space="preserve"> x</w:t>
      </w:r>
      <w:r>
        <w:br/>
      </w:r>
      <w:r>
        <w:rPr>
          <w:rStyle w:val="NormalTok"/>
        </w:rPr>
        <w:t xml:space="preserve">slope </w:t>
      </w:r>
      <w:r>
        <w:rPr>
          <w:rStyle w:val="OperatorTok"/>
        </w:rPr>
        <w:t xml:space="preserve">=</w:t>
      </w:r>
      <w:r>
        <w:rPr>
          <w:rStyle w:val="NormalTok"/>
        </w:rPr>
        <w:t xml:space="preserve"> </w:t>
      </w:r>
      <w:r>
        <w:rPr>
          <w:rStyle w:val="FloatTok"/>
        </w:rPr>
        <w:t xml:space="preserve">0.0</w:t>
      </w:r>
      <w:r>
        <w:br/>
      </w:r>
      <w:r>
        <w:rPr>
          <w:rStyle w:val="NormalTok"/>
        </w:rPr>
        <w:t xml:space="preserve">learning_rate </w:t>
      </w:r>
      <w:r>
        <w:rPr>
          <w:rStyle w:val="OperatorTok"/>
        </w:rPr>
        <w:t xml:space="preserve">=</w:t>
      </w:r>
      <w:r>
        <w:rPr>
          <w:rStyle w:val="NormalTok"/>
        </w:rPr>
        <w:t xml:space="preserve"> </w:t>
      </w:r>
      <w:r>
        <w:rPr>
          <w:rStyle w:val="FloatTok"/>
        </w:rPr>
        <w:t xml:space="preserve">0.02</w:t>
      </w:r>
      <w:r>
        <w:br/>
      </w:r>
      <w:r>
        <w:rPr>
          <w:rStyle w:val="ControlFlowTok"/>
        </w:rPr>
        <w:t xml:space="preserve">for</w:t>
      </w:r>
      <w:r>
        <w:rPr>
          <w:rStyle w:val="NormalTok"/>
        </w:rPr>
        <w:t xml:space="preserve"> _ </w:t>
      </w:r>
      <w:r>
        <w:rPr>
          <w:rStyle w:val="KeywordTok"/>
        </w:rPr>
        <w:t xml:space="preserve">in</w:t>
      </w:r>
      <w:r>
        <w:rPr>
          <w:rStyle w:val="NormalTok"/>
        </w:rPr>
        <w:t xml:space="preserve"> </w:t>
      </w:r>
      <w:r>
        <w:rPr>
          <w:rStyle w:val="BuiltInTok"/>
        </w:rPr>
        <w:t xml:space="preserve">range</w:t>
      </w:r>
      <w:r>
        <w:rPr>
          <w:rStyle w:val="NormalTok"/>
        </w:rPr>
        <w:t xml:space="preserve">(</w:t>
      </w:r>
      <w:r>
        <w:rPr>
          <w:rStyle w:val="DecValTok"/>
        </w:rPr>
        <w:t xml:space="preserve">500</w:t>
      </w:r>
      <w:r>
        <w:rPr>
          <w:rStyle w:val="NormalTok"/>
        </w:rPr>
        <w:t xml:space="preserve">):</w:t>
      </w:r>
      <w:r>
        <w:br/>
      </w:r>
      <w:r>
        <w:rPr>
          <w:rStyle w:val="NormalTok"/>
        </w:rPr>
        <w:t xml:space="preserve">    gradient </w:t>
      </w:r>
      <w:r>
        <w:rPr>
          <w:rStyle w:val="OperatorTok"/>
        </w:rPr>
        <w:t xml:space="preserve">=</w:t>
      </w:r>
      <w:r>
        <w:rPr>
          <w:rStyle w:val="NormalTok"/>
        </w:rPr>
        <w:t xml:space="preserve"> </w:t>
      </w:r>
      <w:r>
        <w:rPr>
          <w:rStyle w:val="OperatorTok"/>
        </w:rPr>
        <w:t xml:space="preserve">-</w:t>
      </w:r>
      <w:r>
        <w:rPr>
          <w:rStyle w:val="DecValTok"/>
        </w:rPr>
        <w:t xml:space="preserve">2</w:t>
      </w:r>
      <w:r>
        <w:rPr>
          <w:rStyle w:val="NormalTok"/>
        </w:rPr>
        <w:t xml:space="preserve"> </w:t>
      </w:r>
      <w:r>
        <w:rPr>
          <w:rStyle w:val="OperatorTok"/>
        </w:rPr>
        <w:t xml:space="preserve">*</w:t>
      </w:r>
      <w:r>
        <w:rPr>
          <w:rStyle w:val="NormalTok"/>
        </w:rPr>
        <w:t xml:space="preserve"> np.mean(x </w:t>
      </w:r>
      <w:r>
        <w:rPr>
          <w:rStyle w:val="OperatorTok"/>
        </w:rPr>
        <w:t xml:space="preserve">*</w:t>
      </w:r>
      <w:r>
        <w:rPr>
          <w:rStyle w:val="NormalTok"/>
        </w:rPr>
        <w:t xml:space="preserve"> (y </w:t>
      </w:r>
      <w:r>
        <w:rPr>
          <w:rStyle w:val="OperatorTok"/>
        </w:rPr>
        <w:t xml:space="preserve">-</w:t>
      </w:r>
      <w:r>
        <w:rPr>
          <w:rStyle w:val="NormalTok"/>
        </w:rPr>
        <w:t xml:space="preserve"> slope</w:t>
      </w:r>
      <w:r>
        <w:rPr>
          <w:rStyle w:val="OperatorTok"/>
        </w:rPr>
        <w:t xml:space="preserve">*</w:t>
      </w:r>
      <w:r>
        <w:rPr>
          <w:rStyle w:val="NormalTok"/>
        </w:rPr>
        <w:t xml:space="preserve">x))</w:t>
      </w:r>
      <w:r>
        <w:br/>
      </w:r>
      <w:r>
        <w:rPr>
          <w:rStyle w:val="NormalTok"/>
        </w:rPr>
        <w:t xml:space="preserve">    slope </w:t>
      </w:r>
      <w:r>
        <w:rPr>
          <w:rStyle w:val="OperatorTok"/>
        </w:rPr>
        <w:t xml:space="preserve">-=</w:t>
      </w:r>
      <w:r>
        <w:rPr>
          <w:rStyle w:val="NormalTok"/>
        </w:rPr>
        <w:t xml:space="preserve"> learning_rate </w:t>
      </w:r>
      <w:r>
        <w:rPr>
          <w:rStyle w:val="OperatorTok"/>
        </w:rPr>
        <w:t xml:space="preserve">*</w:t>
      </w:r>
      <w:r>
        <w:rPr>
          <w:rStyle w:val="NormalTok"/>
        </w:rPr>
        <w:t xml:space="preserve"> gradient</w:t>
      </w:r>
      <w:r>
        <w:br/>
      </w:r>
      <w:r>
        <w:rPr>
          <w:rStyle w:val="BuiltInTok"/>
        </w:rPr>
        <w:t xml:space="preserve">print</w:t>
      </w:r>
      <w:r>
        <w:rPr>
          <w:rStyle w:val="NormalTok"/>
        </w:rPr>
        <w:t xml:space="preserve">(</w:t>
      </w:r>
      <w:r>
        <w:rPr>
          <w:rStyle w:val="BuiltInTok"/>
        </w:rPr>
        <w:t xml:space="preserve">round</w:t>
      </w:r>
      <w:r>
        <w:rPr>
          <w:rStyle w:val="NormalTok"/>
        </w:rPr>
        <w:t xml:space="preserve">(slope, </w:t>
      </w:r>
      <w:r>
        <w:rPr>
          <w:rStyle w:val="DecValTok"/>
        </w:rPr>
        <w:t xml:space="preserve">4</w:t>
      </w:r>
      <w:r>
        <w:rPr>
          <w:rStyle w:val="NormalTok"/>
        </w:rPr>
        <w:t xml:space="preserve">))</w:t>
      </w:r>
    </w:p>
    <w:p>
      <w:pPr>
        <w:pStyle w:val="FirstParagraph"/>
      </w:pPr>
      <w:r>
        <w:rPr>
          <w:b/>
          <w:bCs/>
        </w:rPr>
        <w:t xml:space="preserve">Verified output</w:t>
      </w:r>
    </w:p>
    <w:p>
      <w:pPr>
        <w:pStyle w:val="SourceCode"/>
        <w:keepLines/>
        <w:shd w:fill="F6F8FA" w:val="clear"/>
      </w:pPr>
      <w:r>
        <w:rPr>
          <w:rStyle w:val="VerbatimChar"/>
        </w:rPr>
        <w:t xml:space="preserve">2.5</w:t>
      </w:r>
    </w:p>
    <w:p>
      <w:pPr>
        <w:pStyle w:val="FirstParagraph"/>
      </w:pPr>
      <w:r>
        <w:rPr>
          <w:b/>
          <w:bCs/>
        </w:rPr>
        <w:t xml:space="preserve">Interpretation.</w:t>
      </w:r>
      <w:r>
        <w:t xml:space="preserve"> </w:t>
      </w:r>
      <w:r>
        <w:t xml:space="preserve">The iterative slope converges to the least-squares solution for this noiseless one-parameter problem.</w:t>
      </w:r>
    </w:p>
    <w:bookmarkEnd w:id="581"/>
    <w:bookmarkStart w:id="582" w:name="Xa0be35044a65ff95e45f0b18eae40448b680838"/>
    <w:p>
      <w:pPr>
        <w:pStyle w:val="Heading3"/>
        <w:keepNext/>
      </w:pPr>
      <w:r>
        <w:t>47.6.2</w:t>
        <w:tab/>
        <w:t>Demonstration 28.2: A leakage-safe pipeline</w:t>
      </w:r>
    </w:p>
    <w:p>
      <w:pPr>
        <w:pStyle w:val="SourceCode"/>
        <w:shd w:fill="F6F8FA" w:val="clear"/>
      </w:pPr>
      <w:r>
        <w:rPr>
          <w:rStyle w:val="ImportTok"/>
        </w:rPr>
        <w:t xml:space="preserve">from</w:t>
      </w:r>
      <w:r>
        <w:rPr>
          <w:rStyle w:val="NormalTok"/>
        </w:rPr>
        <w:t xml:space="preserve"> sklearn.pipeline </w:t>
      </w:r>
      <w:r>
        <w:rPr>
          <w:rStyle w:val="ImportTok"/>
        </w:rPr>
        <w:t xml:space="preserve">import</w:t>
      </w:r>
      <w:r>
        <w:rPr>
          <w:rStyle w:val="NormalTok"/>
        </w:rPr>
        <w:t xml:space="preserve"> Pipeline</w:t>
      </w:r>
      <w:r>
        <w:br/>
      </w:r>
      <w:r>
        <w:rPr>
          <w:rStyle w:val="ImportTok"/>
        </w:rPr>
        <w:t xml:space="preserve">from</w:t>
      </w:r>
      <w:r>
        <w:rPr>
          <w:rStyle w:val="NormalTok"/>
        </w:rPr>
        <w:t xml:space="preserve"> sklearn.preprocessing </w:t>
      </w:r>
      <w:r>
        <w:rPr>
          <w:rStyle w:val="ImportTok"/>
        </w:rPr>
        <w:t xml:space="preserve">import</w:t>
      </w:r>
      <w:r>
        <w:rPr>
          <w:rStyle w:val="NormalTok"/>
        </w:rPr>
        <w:t xml:space="preserve"> StandardScaler</w:t>
      </w:r>
      <w:r>
        <w:br/>
      </w:r>
      <w:r>
        <w:rPr>
          <w:rStyle w:val="ImportTok"/>
        </w:rPr>
        <w:t xml:space="preserve">from</w:t>
      </w:r>
      <w:r>
        <w:rPr>
          <w:rStyle w:val="NormalTok"/>
        </w:rPr>
        <w:t xml:space="preserve"> sklearn.linear_model </w:t>
      </w:r>
      <w:r>
        <w:rPr>
          <w:rStyle w:val="ImportTok"/>
        </w:rPr>
        <w:t xml:space="preserve">import</w:t>
      </w:r>
      <w:r>
        <w:rPr>
          <w:rStyle w:val="NormalTok"/>
        </w:rPr>
        <w:t xml:space="preserve"> Ridge</w:t>
      </w:r>
      <w:r>
        <w:br/>
      </w:r>
      <w:r>
        <w:br/>
      </w:r>
      <w:r>
        <w:rPr>
          <w:rStyle w:val="NormalTok"/>
        </w:rPr>
        <w:t xml:space="preserve">pipeline </w:t>
      </w:r>
      <w:r>
        <w:rPr>
          <w:rStyle w:val="OperatorTok"/>
        </w:rPr>
        <w:t xml:space="preserve">=</w:t>
      </w:r>
      <w:r>
        <w:rPr>
          <w:rStyle w:val="NormalTok"/>
        </w:rPr>
        <w:t xml:space="preserve"> Pipeline([</w:t>
      </w:r>
      <w:r>
        <w:br/>
      </w:r>
      <w:r>
        <w:rPr>
          <w:rStyle w:val="NormalTok"/>
        </w:rPr>
        <w:t xml:space="preserve">    (</w:t>
      </w:r>
      <w:r>
        <w:rPr>
          <w:rStyle w:val="StringTok"/>
        </w:rPr>
        <w:t xml:space="preserve">"scale"</w:t>
      </w:r>
      <w:r>
        <w:rPr>
          <w:rStyle w:val="NormalTok"/>
        </w:rPr>
        <w:t xml:space="preserve">, StandardScaler()),</w:t>
      </w:r>
      <w:r>
        <w:br/>
      </w:r>
      <w:r>
        <w:rPr>
          <w:rStyle w:val="NormalTok"/>
        </w:rPr>
        <w:t xml:space="preserve">    (</w:t>
      </w:r>
      <w:r>
        <w:rPr>
          <w:rStyle w:val="StringTok"/>
        </w:rPr>
        <w:t xml:space="preserve">"model"</w:t>
      </w:r>
      <w:r>
        <w:rPr>
          <w:rStyle w:val="NormalTok"/>
        </w:rPr>
        <w:t xml:space="preserve">, Ridge(alpha</w:t>
      </w:r>
      <w:r>
        <w:rPr>
          <w:rStyle w:val="OperatorTok"/>
        </w:rPr>
        <w:t xml:space="preserve">=</w:t>
      </w:r>
      <w:r>
        <w:rPr>
          <w:rStyle w:val="FloatTok"/>
        </w:rPr>
        <w:t xml:space="preserve">1.0</w:t>
      </w:r>
      <w:r>
        <w:rPr>
          <w:rStyle w:val="NormalTok"/>
        </w:rPr>
        <w:t xml:space="preserve">)),</w:t>
      </w:r>
      <w:r>
        <w:br/>
      </w:r>
      <w:r>
        <w:rPr>
          <w:rStyle w:val="NormalTok"/>
        </w:rPr>
        <w:t xml:space="preserve">])</w:t>
      </w:r>
      <w:r>
        <w:br/>
      </w:r>
      <w:r>
        <w:rPr>
          <w:rStyle w:val="BuiltInTok"/>
        </w:rPr>
        <w:t xml:space="preserve">print</w:t>
      </w:r>
      <w:r>
        <w:rPr>
          <w:rStyle w:val="NormalTok"/>
        </w:rPr>
        <w:t xml:space="preserve">([name </w:t>
      </w:r>
      <w:r>
        <w:rPr>
          <w:rStyle w:val="ControlFlowTok"/>
        </w:rPr>
        <w:t xml:space="preserve">for</w:t>
      </w:r>
      <w:r>
        <w:rPr>
          <w:rStyle w:val="NormalTok"/>
        </w:rPr>
        <w:t xml:space="preserve"> name, _ </w:t>
      </w:r>
      <w:r>
        <w:rPr>
          <w:rStyle w:val="KeywordTok"/>
        </w:rPr>
        <w:t xml:space="preserve">in</w:t>
      </w:r>
      <w:r>
        <w:rPr>
          <w:rStyle w:val="NormalTok"/>
        </w:rPr>
        <w:t xml:space="preserve"> pipeline.steps])</w:t>
      </w:r>
    </w:p>
    <w:p>
      <w:pPr>
        <w:pStyle w:val="FirstParagraph"/>
      </w:pPr>
      <w:r>
        <w:rPr>
          <w:b/>
          <w:bCs/>
        </w:rPr>
        <w:t xml:space="preserve">Verified output</w:t>
      </w:r>
    </w:p>
    <w:p>
      <w:pPr>
        <w:pStyle w:val="SourceCode"/>
        <w:keepLines/>
        <w:shd w:fill="F6F8FA" w:val="clear"/>
      </w:pPr>
      <w:r>
        <w:rPr>
          <w:rStyle w:val="VerbatimChar"/>
        </w:rPr>
        <w:t xml:space="preserve">['scale', 'model']</w:t>
      </w:r>
    </w:p>
    <w:p>
      <w:pPr>
        <w:pStyle w:val="FirstParagraph"/>
      </w:pPr>
      <w:r>
        <w:rPr>
          <w:b/>
          <w:bCs/>
        </w:rPr>
        <w:t xml:space="preserve">Interpretation.</w:t>
      </w:r>
      <w:r>
        <w:t xml:space="preserve"> </w:t>
      </w:r>
      <w:r>
        <w:t xml:space="preserve">When the pipeline is fitted inside cross-validation, scaling parameters are learned only from each training fold.</w:t>
      </w:r>
    </w:p>
    <w:bookmarkEnd w:id="582"/>
    <w:bookmarkEnd w:id="583"/>
    <w:bookmarkStart w:id="590" w:name="visual-evidence-27"/>
    <w:p>
      <w:pPr>
        <w:pStyle w:val="Heading2"/>
        <w:keepNext/>
      </w:pPr>
      <w:r>
        <w:t>47.7</w:t>
        <w:tab/>
        <w:t>Visual evidence</w:t>
      </w:r>
    </w:p>
    <w:p>
      <w:pPr>
        <w:pStyle w:val="FirstParagraph"/>
      </w:pPr>
      <w:r>
        <w:drawing>
          <wp:inline>
            <wp:extent cx="4907280" cy="1928662"/>
            <wp:effectExtent b="0" l="0" r="0" t="0"/>
            <wp:docPr descr="Image: rId584.png" title="" id="585" name="Picture"/>
            <a:graphic>
              <a:graphicData uri="http://schemas.openxmlformats.org/drawingml/2006/picture">
                <pic:pic>
                  <pic:nvPicPr>
                    <pic:cNvPr descr="figures/fig_48_ml_workflow.png" id="586" name="Picture"/>
                    <pic:cNvPicPr>
                      <a:picLocks noChangeArrowheads="1" noChangeAspect="1"/>
                    </pic:cNvPicPr>
                  </pic:nvPicPr>
                  <pic:blipFill>
                    <a:blip r:embed="rId584"/>
                    <a:stretch>
                      <a:fillRect/>
                    </a:stretch>
                  </pic:blipFill>
                  <pic:spPr bwMode="auto">
                    <a:xfrm>
                      <a:off x="0" y="0"/>
                      <a:ext cx="4907280" cy="1928662"/>
                    </a:xfrm>
                    <a:prstGeom prst="rect">
                      <a:avLst/>
                    </a:prstGeom>
                    <a:noFill/>
                    <a:ln w="9525">
                      <a:noFill/>
                      <a:headEnd/>
                      <a:tailEnd/>
                    </a:ln>
                  </pic:spPr>
                </pic:pic>
              </a:graphicData>
            </a:graphic>
          </wp:inline>
        </w:drawing>
      </w:r>
    </w:p>
    <w:p>
      <w:pPr>
        <w:pStyle w:val="Caption"/>
        <w:keepNext w:val="0"/>
        <w:jc w:val="center"/>
      </w:pPr>
      <w:r>
        <w:rPr>
          <w:b/>
          <w:bCs/>
        </w:rPr>
        <w:t xml:space="preserve">Figure 48.</w:t>
      </w:r>
      <w:r>
        <w:t xml:space="preserve"> </w:t>
      </w:r>
      <w:r>
        <w:t xml:space="preserve">An honest predictive workflow isolates the final test set until model choices are complete.</w:t>
      </w:r>
    </w:p>
    <w:p>
      <w:pPr>
        <w:pStyle w:val="BodyText"/>
      </w:pPr>
      <w:r>
        <w:drawing>
          <wp:inline>
            <wp:extent cx="4907280" cy="2963666"/>
            <wp:effectExtent b="0" l="0" r="0" t="0"/>
            <wp:docPr descr="Image: rId587.png" title="" id="588" name="Picture"/>
            <a:graphic>
              <a:graphicData uri="http://schemas.openxmlformats.org/drawingml/2006/picture">
                <pic:pic>
                  <pic:nvPicPr>
                    <pic:cNvPr descr="figures/fig_49_gradient_descent.png" id="589" name="Picture"/>
                    <pic:cNvPicPr>
                      <a:picLocks noChangeArrowheads="1" noChangeAspect="1"/>
                    </pic:cNvPicPr>
                  </pic:nvPicPr>
                  <pic:blipFill>
                    <a:blip r:embed="rId587"/>
                    <a:stretch>
                      <a:fillRect/>
                    </a:stretch>
                  </pic:blipFill>
                  <pic:spPr bwMode="auto">
                    <a:xfrm>
                      <a:off x="0" y="0"/>
                      <a:ext cx="4907280" cy="2963666"/>
                    </a:xfrm>
                    <a:prstGeom prst="rect">
                      <a:avLst/>
                    </a:prstGeom>
                    <a:noFill/>
                    <a:ln w="9525">
                      <a:noFill/>
                      <a:headEnd/>
                      <a:tailEnd/>
                    </a:ln>
                  </pic:spPr>
                </pic:pic>
              </a:graphicData>
            </a:graphic>
          </wp:inline>
        </w:drawing>
      </w:r>
    </w:p>
    <w:p>
      <w:pPr>
        <w:pStyle w:val="Caption"/>
        <w:keepNext w:val="0"/>
        <w:jc w:val="center"/>
      </w:pPr>
      <w:r>
        <w:rPr>
          <w:b/>
          <w:bCs/>
        </w:rPr>
        <w:t xml:space="preserve">Figure 49.</w:t>
      </w:r>
      <w:r>
        <w:t xml:space="preserve"> </w:t>
      </w:r>
      <w:r>
        <w:t xml:space="preserve">Iterative parameter updates on a simple quadratic loss surface.</w:t>
      </w:r>
    </w:p>
    <w:bookmarkEnd w:id="590"/>
    <w:bookmarkStart w:id="591" w:name="reference-table-27"/>
    <w:p>
      <w:pPr>
        <w:pStyle w:val="Heading2"/>
        <w:keepNext/>
      </w:pPr>
      <w:r>
        <w:t>47.8</w:t>
        <w:tab/>
        <w:t>Reference table</w:t>
      </w:r>
    </w:p>
    <w:p>
      <w:pPr>
        <w:pStyle w:val="Caption"/>
        <w:keepNext/>
        <w:jc w:val="center"/>
      </w:pPr>
      <w:r>
        <w:rPr>
          <w:b/>
          <w:bCs/>
        </w:rPr>
        <w:t xml:space="preserve">Table 28. Chapter reference.</w:t>
      </w:r>
    </w:p>
    <w:tbl>
      <w:tblPr>
        <w:tblStyle w:val="Table"/>
        <w:tblW w:type="pct" w:w="5000"/>
        <w:jc w:val="center"/>
        <w:tblLayout w:type="autofit"/>
        <w:tblLook w:firstRow="1" w:lastRow="0" w:firstColumn="0" w:lastColumn="0" w:noHBand="0" w:noVBand="0" w:val="0020"/>
      </w:tblPr>
      <w:tblGrid>
        <w:gridCol w:w="2640"/>
        <w:gridCol w:w="2640"/>
        <w:gridCol w:w="2640"/>
      </w:tblGrid>
      <w:tr>
        <w:trPr>
          <w:tblHeader w:val="on"/>
          <w:tblHeader w:val="true"/>
          <w:cantSplit/>
        </w:trPr>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0A2342" w:val="clear"/>
          </w:tcPr>
          <w:p>
            <w:pPr>
              <w:pStyle w:val="Compact"/>
              <w:spacing w:before="30" w:after="30" w:line="240" w:lineRule="auto"/>
              <w:jc w:val="left"/>
            </w:pPr>
            <w:r>
              <w:rPr>
                <w:rFonts w:ascii="Noto Sans" w:hAnsi="Noto Sans" w:eastAsia="Noto Sans" w:cs="Noto Sans"/>
                <w:b/>
                <w:color w:val="FFFFFF"/>
                <w:sz w:val="16"/>
              </w:rPr>
              <w:t xml:space="preserve">Failure</w:t>
            </w:r>
          </w:p>
        </w:tc>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0A2342" w:val="clear"/>
          </w:tcPr>
          <w:p>
            <w:pPr>
              <w:pStyle w:val="Compact"/>
              <w:spacing w:before="30" w:after="30" w:line="240" w:lineRule="auto"/>
              <w:jc w:val="left"/>
            </w:pPr>
            <w:r>
              <w:rPr>
                <w:rFonts w:ascii="Noto Sans" w:hAnsi="Noto Sans" w:eastAsia="Noto Sans" w:cs="Noto Sans"/>
                <w:b/>
                <w:color w:val="FFFFFF"/>
                <w:sz w:val="16"/>
              </w:rPr>
              <w:t xml:space="preserve">How it appears</w:t>
            </w:r>
          </w:p>
        </w:tc>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0A2342" w:val="clear"/>
          </w:tcPr>
          <w:p>
            <w:pPr>
              <w:pStyle w:val="Compact"/>
              <w:spacing w:before="30" w:after="30" w:line="240" w:lineRule="auto"/>
              <w:jc w:val="left"/>
            </w:pPr>
            <w:r>
              <w:rPr>
                <w:rFonts w:ascii="Noto Sans" w:hAnsi="Noto Sans" w:eastAsia="Noto Sans" w:cs="Noto Sans"/>
                <w:b/>
                <w:color w:val="FFFFFF"/>
                <w:sz w:val="16"/>
              </w:rPr>
              <w:t xml:space="preserve">Prevention</w:t>
            </w:r>
          </w:p>
        </w:tc>
      </w:tr>
      <w:tr>
        <w:trPr>
          <w:cantSplit/>
        </w:trPr>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EEF4F8" w:val="clear"/>
          </w:tcPr>
          <w:p>
            <w:pPr>
              <w:pStyle w:val="Compact"/>
              <w:spacing w:before="30" w:after="30" w:line="240" w:lineRule="auto"/>
              <w:jc w:val="left"/>
            </w:pPr>
            <w:r>
              <w:rPr>
                <w:rFonts w:ascii="Noto Sans" w:hAnsi="Noto Sans" w:eastAsia="Noto Sans" w:cs="Noto Sans"/>
                <w:b w:val="0"/>
                <w:color w:val="18212B"/>
                <w:sz w:val="16"/>
              </w:rPr>
              <w:t xml:space="preserve">overfitting</w:t>
            </w:r>
          </w:p>
        </w:tc>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EEF4F8" w:val="clear"/>
          </w:tcPr>
          <w:p>
            <w:pPr>
              <w:pStyle w:val="Compact"/>
              <w:spacing w:before="30" w:after="30" w:line="240" w:lineRule="auto"/>
              <w:jc w:val="left"/>
            </w:pPr>
            <w:r>
              <w:rPr>
                <w:rFonts w:ascii="Noto Sans" w:hAnsi="Noto Sans" w:eastAsia="Noto Sans" w:cs="Noto Sans"/>
                <w:b w:val="0"/>
                <w:color w:val="18212B"/>
                <w:sz w:val="16"/>
              </w:rPr>
              <w:t xml:space="preserve">low train error, high validation error</w:t>
            </w:r>
          </w:p>
        </w:tc>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EEF4F8" w:val="clear"/>
          </w:tcPr>
          <w:p>
            <w:pPr>
              <w:pStyle w:val="Compact"/>
              <w:spacing w:before="30" w:after="30" w:line="240" w:lineRule="auto"/>
              <w:jc w:val="left"/>
            </w:pPr>
            <w:r>
              <w:rPr>
                <w:rFonts w:ascii="Noto Sans" w:hAnsi="Noto Sans" w:eastAsia="Noto Sans" w:cs="Noto Sans"/>
                <w:b w:val="0"/>
                <w:color w:val="18212B"/>
                <w:sz w:val="16"/>
              </w:rPr>
              <w:t xml:space="preserve">simplify, regularize, improve validation</w:t>
            </w:r>
          </w:p>
        </w:tc>
      </w:tr>
      <w:tr>
        <w:trPr>
          <w:cantSplit/>
        </w:trPr>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FFFFFF" w:val="clear"/>
          </w:tcPr>
          <w:p>
            <w:pPr>
              <w:pStyle w:val="Compact"/>
              <w:spacing w:before="30" w:after="30" w:line="240" w:lineRule="auto"/>
              <w:jc w:val="left"/>
            </w:pPr>
            <w:r>
              <w:rPr>
                <w:rFonts w:ascii="Noto Sans" w:hAnsi="Noto Sans" w:eastAsia="Noto Sans" w:cs="Noto Sans"/>
                <w:b w:val="0"/>
                <w:color w:val="18212B"/>
                <w:sz w:val="16"/>
              </w:rPr>
              <w:t xml:space="preserve">underfitting</w:t>
            </w:r>
          </w:p>
        </w:tc>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FFFFFF" w:val="clear"/>
          </w:tcPr>
          <w:p>
            <w:pPr>
              <w:pStyle w:val="Compact"/>
              <w:spacing w:before="30" w:after="30" w:line="240" w:lineRule="auto"/>
              <w:jc w:val="left"/>
            </w:pPr>
            <w:r>
              <w:rPr>
                <w:rFonts w:ascii="Noto Sans" w:hAnsi="Noto Sans" w:eastAsia="Noto Sans" w:cs="Noto Sans"/>
                <w:b w:val="0"/>
                <w:color w:val="18212B"/>
                <w:sz w:val="16"/>
              </w:rPr>
              <w:t xml:space="preserve">high error on both</w:t>
            </w:r>
          </w:p>
        </w:tc>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FFFFFF" w:val="clear"/>
          </w:tcPr>
          <w:p>
            <w:pPr>
              <w:pStyle w:val="Compact"/>
              <w:spacing w:before="30" w:after="30" w:line="240" w:lineRule="auto"/>
              <w:jc w:val="left"/>
            </w:pPr>
            <w:r>
              <w:rPr>
                <w:rFonts w:ascii="Noto Sans" w:hAnsi="Noto Sans" w:eastAsia="Noto Sans" w:cs="Noto Sans"/>
                <w:b w:val="0"/>
                <w:color w:val="18212B"/>
                <w:sz w:val="16"/>
              </w:rPr>
              <w:t xml:space="preserve">richer model or features</w:t>
            </w:r>
          </w:p>
        </w:tc>
      </w:tr>
      <w:tr>
        <w:trPr>
          <w:cantSplit/>
        </w:trPr>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EEF4F8" w:val="clear"/>
          </w:tcPr>
          <w:p>
            <w:pPr>
              <w:pStyle w:val="Compact"/>
              <w:spacing w:before="30" w:after="30" w:line="240" w:lineRule="auto"/>
              <w:jc w:val="left"/>
            </w:pPr>
            <w:r>
              <w:rPr>
                <w:rFonts w:ascii="Noto Sans" w:hAnsi="Noto Sans" w:eastAsia="Noto Sans" w:cs="Noto Sans"/>
                <w:b w:val="0"/>
                <w:color w:val="18212B"/>
                <w:sz w:val="16"/>
              </w:rPr>
              <w:t xml:space="preserve">target leakage</w:t>
            </w:r>
          </w:p>
        </w:tc>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EEF4F8" w:val="clear"/>
          </w:tcPr>
          <w:p>
            <w:pPr>
              <w:pStyle w:val="Compact"/>
              <w:spacing w:before="30" w:after="30" w:line="240" w:lineRule="auto"/>
              <w:jc w:val="left"/>
            </w:pPr>
            <w:r>
              <w:rPr>
                <w:rFonts w:ascii="Noto Sans" w:hAnsi="Noto Sans" w:eastAsia="Noto Sans" w:cs="Noto Sans"/>
                <w:b w:val="0"/>
                <w:color w:val="18212B"/>
                <w:sz w:val="16"/>
              </w:rPr>
              <w:t xml:space="preserve">implausibly strong validation</w:t>
            </w:r>
          </w:p>
        </w:tc>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EEF4F8" w:val="clear"/>
          </w:tcPr>
          <w:p>
            <w:pPr>
              <w:pStyle w:val="Compact"/>
              <w:spacing w:before="30" w:after="30" w:line="240" w:lineRule="auto"/>
              <w:jc w:val="left"/>
            </w:pPr>
            <w:r>
              <w:rPr>
                <w:rFonts w:ascii="Noto Sans" w:hAnsi="Noto Sans" w:eastAsia="Noto Sans" w:cs="Noto Sans"/>
                <w:b w:val="0"/>
                <w:color w:val="18212B"/>
                <w:sz w:val="16"/>
              </w:rPr>
              <w:t xml:space="preserve">construct features using only available information</w:t>
            </w:r>
          </w:p>
        </w:tc>
      </w:tr>
      <w:tr>
        <w:trPr>
          <w:cantSplit/>
        </w:trPr>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FFFFFF" w:val="clear"/>
          </w:tcPr>
          <w:p>
            <w:pPr>
              <w:pStyle w:val="Compact"/>
              <w:spacing w:before="30" w:after="30" w:line="240" w:lineRule="auto"/>
              <w:jc w:val="left"/>
            </w:pPr>
            <w:r>
              <w:rPr>
                <w:rFonts w:ascii="Noto Sans" w:hAnsi="Noto Sans" w:eastAsia="Noto Sans" w:cs="Noto Sans"/>
                <w:b w:val="0"/>
                <w:color w:val="18212B"/>
                <w:sz w:val="16"/>
              </w:rPr>
              <w:t xml:space="preserve">distribution shift</w:t>
            </w:r>
          </w:p>
        </w:tc>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FFFFFF" w:val="clear"/>
          </w:tcPr>
          <w:p>
            <w:pPr>
              <w:pStyle w:val="Compact"/>
              <w:spacing w:before="30" w:after="30" w:line="240" w:lineRule="auto"/>
              <w:jc w:val="left"/>
            </w:pPr>
            <w:r>
              <w:rPr>
                <w:rFonts w:ascii="Noto Sans" w:hAnsi="Noto Sans" w:eastAsia="Noto Sans" w:cs="Noto Sans"/>
                <w:b w:val="0"/>
                <w:color w:val="18212B"/>
                <w:sz w:val="16"/>
              </w:rPr>
              <w:t xml:space="preserve">performance decays in deployment</w:t>
            </w:r>
          </w:p>
        </w:tc>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FFFFFF" w:val="clear"/>
          </w:tcPr>
          <w:p>
            <w:pPr>
              <w:pStyle w:val="Compact"/>
              <w:spacing w:before="30" w:after="30" w:line="240" w:lineRule="auto"/>
              <w:jc w:val="left"/>
            </w:pPr>
            <w:r>
              <w:rPr>
                <w:rFonts w:ascii="Noto Sans" w:hAnsi="Noto Sans" w:eastAsia="Noto Sans" w:cs="Noto Sans"/>
                <w:b w:val="0"/>
                <w:color w:val="18212B"/>
                <w:sz w:val="16"/>
              </w:rPr>
              <w:t xml:space="preserve">representative data and monitoring</w:t>
            </w:r>
          </w:p>
        </w:tc>
      </w:tr>
      <w:tr>
        <w:trPr>
          <w:cantSplit/>
        </w:trPr>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EEF4F8" w:val="clear"/>
          </w:tcPr>
          <w:p>
            <w:pPr>
              <w:pStyle w:val="Compact"/>
              <w:spacing w:before="30" w:after="30" w:line="240" w:lineRule="auto"/>
              <w:jc w:val="left"/>
            </w:pPr>
            <w:r>
              <w:rPr>
                <w:rFonts w:ascii="Noto Sans" w:hAnsi="Noto Sans" w:eastAsia="Noto Sans" w:cs="Noto Sans"/>
                <w:b w:val="0"/>
                <w:color w:val="18212B"/>
                <w:sz w:val="16"/>
              </w:rPr>
              <w:t xml:space="preserve">test-set tuning</w:t>
            </w:r>
          </w:p>
        </w:tc>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EEF4F8" w:val="clear"/>
          </w:tcPr>
          <w:p>
            <w:pPr>
              <w:pStyle w:val="Compact"/>
              <w:spacing w:before="30" w:after="30" w:line="240" w:lineRule="auto"/>
              <w:jc w:val="left"/>
            </w:pPr>
            <w:r>
              <w:rPr>
                <w:rFonts w:ascii="Noto Sans" w:hAnsi="Noto Sans" w:eastAsia="Noto Sans" w:cs="Noto Sans"/>
                <w:b w:val="0"/>
                <w:color w:val="18212B"/>
                <w:sz w:val="16"/>
              </w:rPr>
              <w:t xml:space="preserve">test score improves after repeated choices</w:t>
            </w:r>
          </w:p>
        </w:tc>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EEF4F8" w:val="clear"/>
          </w:tcPr>
          <w:p>
            <w:pPr>
              <w:pStyle w:val="Compact"/>
              <w:spacing w:before="30" w:after="30" w:line="240" w:lineRule="auto"/>
              <w:jc w:val="left"/>
            </w:pPr>
            <w:r>
              <w:rPr>
                <w:rFonts w:ascii="Noto Sans" w:hAnsi="Noto Sans" w:eastAsia="Noto Sans" w:cs="Noto Sans"/>
                <w:b w:val="0"/>
                <w:color w:val="18212B"/>
                <w:sz w:val="16"/>
              </w:rPr>
              <w:t xml:space="preserve">lock test set until final workflow</w:t>
            </w:r>
          </w:p>
        </w:tc>
      </w:tr>
    </w:tbl>
    <w:p>
      <w:pPr>
        <w:pStyle w:val="BlockText"/>
        <w:shd w:fill="EAF7F5" w:val="clear"/>
        <w:pBdr>
          <w:left w:val="single" w:sz="18" w:space="8" w:color="008F87"/>
        </w:pBdr>
      </w:pPr>
      <w:r>
        <w:rPr>
          <w:b/>
          <w:bCs/>
        </w:rPr>
        <w:t xml:space="preserve">Why This Matters</w:t>
      </w:r>
    </w:p>
    <w:p>
      <w:pPr>
        <w:pStyle w:val="BlockText"/>
        <w:shd w:fill="EAF7F5" w:val="clear"/>
        <w:pBdr>
          <w:left w:val="single" w:sz="18" w:space="8" w:color="008F87"/>
        </w:pBdr>
      </w:pPr>
      <w:r>
        <w:t xml:space="preserve">The evaluation design is part of the model. A score without a credible split says little about real-world generalization.</w:t>
      </w:r>
    </w:p>
    <w:p>
      <w:pPr>
        <w:pStyle w:val="BlockText"/>
        <w:shd w:fill="EAF7F5" w:val="clear"/>
        <w:pBdr>
          <w:left w:val="single" w:sz="18" w:space="8" w:color="008F87"/>
        </w:pBdr>
      </w:pPr>
      <w:r>
        <w:rPr>
          <w:b/>
          <w:bCs/>
        </w:rPr>
        <w:t xml:space="preserve">Common Mistake</w:t>
      </w:r>
    </w:p>
    <w:p>
      <w:pPr>
        <w:pStyle w:val="BlockText"/>
        <w:shd w:fill="EAF7F5" w:val="clear"/>
        <w:pBdr>
          <w:left w:val="single" w:sz="18" w:space="8" w:color="008F87"/>
        </w:pBdr>
      </w:pPr>
      <w:r>
        <w:t xml:space="preserve">Scaling the full dataset before cross-validation. Information from validation folds then influences training transformations.</w:t>
      </w:r>
    </w:p>
    <w:p>
      <w:pPr>
        <w:pStyle w:val="BlockText"/>
        <w:shd w:fill="EAF7F5" w:val="clear"/>
        <w:pBdr>
          <w:left w:val="single" w:sz="18" w:space="8" w:color="008F87"/>
        </w:pBdr>
      </w:pPr>
      <w:r>
        <w:rPr>
          <w:b/>
          <w:bCs/>
        </w:rPr>
        <w:t xml:space="preserve">Ceteris LAB Tip</w:t>
      </w:r>
    </w:p>
    <w:p>
      <w:pPr>
        <w:pStyle w:val="BlockText"/>
        <w:shd w:fill="EAF7F5" w:val="clear"/>
        <w:pBdr>
          <w:left w:val="single" w:sz="18" w:space="8" w:color="008F87"/>
        </w:pBdr>
      </w:pPr>
      <w:r>
        <w:t xml:space="preserve">Place every learned preprocessing step inside a pipeline.</w:t>
      </w:r>
    </w:p>
    <w:p>
      <w:pPr>
        <w:pStyle w:val="BlockText"/>
        <w:shd w:fill="EAF7F5" w:val="clear"/>
        <w:pBdr>
          <w:left w:val="single" w:sz="18" w:space="8" w:color="008F87"/>
        </w:pBdr>
      </w:pPr>
      <w:r>
        <w:rPr>
          <w:b/>
          <w:bCs/>
        </w:rPr>
        <w:t xml:space="preserve">R-to-Python / Source Bridge</w:t>
      </w:r>
    </w:p>
    <w:p>
      <w:pPr>
        <w:pStyle w:val="BlockText"/>
        <w:shd w:fill="EAF7F5" w:val="clear"/>
        <w:pBdr>
          <w:left w:val="single" w:sz="18" w:space="8" w:color="008F87"/>
        </w:pBdr>
      </w:pPr>
      <w:r>
        <w:t xml:space="preserve">The chapter adapts IntroAI sessions on features, labels, memorization, data leakage, MAE/MSE, gradient descent, and learning rates while adding econometric time-order controls</w:t>
      </w:r>
      <w:r>
        <w:t xml:space="preserve"> </w:t>
      </w:r>
      <w:r>
        <w:t xml:space="preserve">(Sharifi-Zarchi and contributors 2026)</w:t>
      </w:r>
      <w:r>
        <w:t xml:space="preserve">.</w:t>
      </w:r>
    </w:p>
    <w:bookmarkEnd w:id="591"/>
    <w:bookmarkStart w:id="592" w:name="guided-practice-27"/>
    <w:p>
      <w:pPr>
        <w:pStyle w:val="Heading2"/>
        <w:keepNext/>
      </w:pPr>
      <w:r>
        <w:t>47.9</w:t>
        <w:tab/>
        <w:t>Guided practice</w:t>
      </w:r>
    </w:p>
    <w:p>
      <w:pPr>
        <w:pStyle w:val="Compact"/>
        <w:numPr>
          <w:ilvl w:val="0"/>
          <w:numId w:val="1112"/>
        </w:numPr>
      </w:pPr>
      <w:r>
        <w:t xml:space="preserve">Re-run Demonstration 28.1 and change one input while keeping the analytical question fixed.</w:t>
      </w:r>
    </w:p>
    <w:p>
      <w:pPr>
        <w:pStyle w:val="Compact"/>
        <w:numPr>
          <w:ilvl w:val="0"/>
          <w:numId w:val="1112"/>
        </w:numPr>
      </w:pPr>
      <w:r>
        <w:t xml:space="preserve">Explain in two sentences how the output supports, or fails to support, the chapter opening question.</w:t>
      </w:r>
    </w:p>
    <w:p>
      <w:pPr>
        <w:pStyle w:val="Compact"/>
        <w:numPr>
          <w:ilvl w:val="0"/>
          <w:numId w:val="1112"/>
        </w:numPr>
      </w:pPr>
      <w:r>
        <w:t xml:space="preserve">Add one validation check that would prevent a plausible error.</w:t>
      </w:r>
    </w:p>
    <w:bookmarkEnd w:id="592"/>
    <w:bookmarkStart w:id="593" w:name="exercises-27"/>
    <w:p>
      <w:pPr>
        <w:pStyle w:val="Heading2"/>
        <w:keepNext/>
      </w:pPr>
      <w:r>
        <w:t>47.10</w:t>
        <w:tab/>
        <w:t>Exercises</w:t>
      </w:r>
    </w:p>
    <w:p>
      <w:pPr>
        <w:pStyle w:val="Compact"/>
        <w:numPr>
          <w:ilvl w:val="0"/>
          <w:numId w:val="1113"/>
        </w:numPr>
      </w:pPr>
      <w:r>
        <w:t xml:space="preserve">Design train, validation, and test splits for a household dataset.</w:t>
      </w:r>
    </w:p>
    <w:p>
      <w:pPr>
        <w:pStyle w:val="Compact"/>
        <w:numPr>
          <w:ilvl w:val="0"/>
          <w:numId w:val="1113"/>
        </w:numPr>
      </w:pPr>
      <w:r>
        <w:t xml:space="preserve">Explain why random splitting is inappropriate for one-step-ahead forecasting.</w:t>
      </w:r>
    </w:p>
    <w:p>
      <w:pPr>
        <w:pStyle w:val="Compact"/>
        <w:numPr>
          <w:ilvl w:val="0"/>
          <w:numId w:val="1113"/>
        </w:numPr>
      </w:pPr>
      <w:r>
        <w:t xml:space="preserve">Experiment with three learning rates.</w:t>
      </w:r>
    </w:p>
    <w:p>
      <w:pPr>
        <w:pStyle w:val="Compact"/>
        <w:numPr>
          <w:ilvl w:val="0"/>
          <w:numId w:val="1113"/>
        </w:numPr>
      </w:pPr>
      <w:r>
        <w:t xml:space="preserve">Build a pipeline with imputation, scaling, and regression.</w:t>
      </w:r>
    </w:p>
    <w:bookmarkEnd w:id="593"/>
    <w:bookmarkStart w:id="594" w:name="chapter-summary-27"/>
    <w:p>
      <w:pPr>
        <w:pStyle w:val="Heading2"/>
        <w:keepNext/>
      </w:pPr>
      <w:r>
        <w:t>47.11</w:t>
        <w:tab/>
        <w:t>Chapter summary</w:t>
      </w:r>
    </w:p>
    <w:p>
      <w:pPr>
        <w:pStyle w:val="Compact"/>
        <w:numPr>
          <w:ilvl w:val="0"/>
          <w:numId w:val="1114"/>
        </w:numPr>
      </w:pPr>
      <w:r>
        <w:t xml:space="preserve">Generalization is measured on data not used for fitting or tuning.</w:t>
      </w:r>
    </w:p>
    <w:p>
      <w:pPr>
        <w:pStyle w:val="Compact"/>
        <w:numPr>
          <w:ilvl w:val="0"/>
          <w:numId w:val="1114"/>
        </w:numPr>
      </w:pPr>
      <w:r>
        <w:t xml:space="preserve">Leakage can make a weak model appear excellent.</w:t>
      </w:r>
    </w:p>
    <w:p>
      <w:pPr>
        <w:pStyle w:val="Compact"/>
        <w:numPr>
          <w:ilvl w:val="0"/>
          <w:numId w:val="1114"/>
        </w:numPr>
      </w:pPr>
      <w:r>
        <w:t xml:space="preserve">Gradient descent iteratively reduces a chosen loss.</w:t>
      </w:r>
    </w:p>
    <w:bookmarkEnd w:id="594"/>
    <w:bookmarkStart w:id="595" w:name="key-python-commands-27"/>
    <w:p>
      <w:pPr>
        <w:pStyle w:val="Heading2"/>
        <w:keepNext/>
      </w:pPr>
      <w:r>
        <w:t>47.12</w:t>
        <w:tab/>
        <w:t>Key Python commands</w:t>
      </w:r>
    </w:p>
    <w:p>
      <w:pPr>
        <w:pStyle w:val="SourceCode"/>
        <w:keepLines/>
        <w:shd w:fill="F6F8FA" w:val="clear"/>
      </w:pPr>
      <w:r>
        <w:rPr>
          <w:rStyle w:val="ImportTok"/>
        </w:rPr>
        <w:t xml:space="preserve">import</w:t>
      </w:r>
      <w:r>
        <w:rPr>
          <w:rStyle w:val="NormalTok"/>
        </w:rPr>
        <w:t xml:space="preserve"> numpy </w:t>
      </w:r>
      <w:r>
        <w:rPr>
          <w:rStyle w:val="ImportTok"/>
        </w:rPr>
        <w:t xml:space="preserve">as</w:t>
      </w:r>
      <w:r>
        <w:rPr>
          <w:rStyle w:val="NormalTok"/>
        </w:rPr>
        <w:t xml:space="preserve"> np</w:t>
      </w:r>
      <w:r>
        <w:br/>
      </w:r>
      <w:r>
        <w:rPr>
          <w:rStyle w:val="NormalTok"/>
        </w:rPr>
        <w:t xml:space="preserve">x </w:t>
      </w:r>
      <w:r>
        <w:rPr>
          <w:rStyle w:val="OperatorTok"/>
        </w:rPr>
        <w:t xml:space="preserve">=</w:t>
      </w:r>
      <w:r>
        <w:rPr>
          <w:rStyle w:val="NormalTok"/>
        </w:rPr>
        <w:t xml:space="preserve"> np.array([</w:t>
      </w:r>
      <w:r>
        <w:rPr>
          <w:rStyle w:val="FloatTok"/>
        </w:rPr>
        <w:t xml:space="preserve">1.</w:t>
      </w:r>
      <w:r>
        <w:rPr>
          <w:rStyle w:val="NormalTok"/>
        </w:rPr>
        <w:t xml:space="preserve">, </w:t>
      </w:r>
      <w:r>
        <w:rPr>
          <w:rStyle w:val="FloatTok"/>
        </w:rPr>
        <w:t xml:space="preserve">2.</w:t>
      </w:r>
      <w:r>
        <w:rPr>
          <w:rStyle w:val="NormalTok"/>
        </w:rPr>
        <w:t xml:space="preserve">, </w:t>
      </w:r>
      <w:r>
        <w:rPr>
          <w:rStyle w:val="FloatTok"/>
        </w:rPr>
        <w:t xml:space="preserve">3.</w:t>
      </w:r>
      <w:r>
        <w:rPr>
          <w:rStyle w:val="NormalTok"/>
        </w:rPr>
        <w:t xml:space="preserve">, </w:t>
      </w:r>
      <w:r>
        <w:rPr>
          <w:rStyle w:val="FloatTok"/>
        </w:rPr>
        <w:t xml:space="preserve">4.</w:t>
      </w:r>
      <w:r>
        <w:rPr>
          <w:rStyle w:val="NormalTok"/>
        </w:rPr>
        <w:t xml:space="preserve">])</w:t>
      </w:r>
      <w:r>
        <w:br/>
      </w:r>
      <w:r>
        <w:rPr>
          <w:rStyle w:val="NormalTok"/>
        </w:rPr>
        <w:t xml:space="preserve">gradient </w:t>
      </w:r>
      <w:r>
        <w:rPr>
          <w:rStyle w:val="OperatorTok"/>
        </w:rPr>
        <w:t xml:space="preserve">=</w:t>
      </w:r>
      <w:r>
        <w:rPr>
          <w:rStyle w:val="NormalTok"/>
        </w:rPr>
        <w:t xml:space="preserve"> </w:t>
      </w:r>
      <w:r>
        <w:rPr>
          <w:rStyle w:val="OperatorTok"/>
        </w:rPr>
        <w:t xml:space="preserve">-</w:t>
      </w:r>
      <w:r>
        <w:rPr>
          <w:rStyle w:val="DecValTok"/>
        </w:rPr>
        <w:t xml:space="preserve">2</w:t>
      </w:r>
      <w:r>
        <w:rPr>
          <w:rStyle w:val="NormalTok"/>
        </w:rPr>
        <w:t xml:space="preserve"> </w:t>
      </w:r>
      <w:r>
        <w:rPr>
          <w:rStyle w:val="OperatorTok"/>
        </w:rPr>
        <w:t xml:space="preserve">*</w:t>
      </w:r>
      <w:r>
        <w:rPr>
          <w:rStyle w:val="NormalTok"/>
        </w:rPr>
        <w:t xml:space="preserve"> np.mean(x </w:t>
      </w:r>
      <w:r>
        <w:rPr>
          <w:rStyle w:val="OperatorTok"/>
        </w:rPr>
        <w:t xml:space="preserve">*</w:t>
      </w:r>
      <w:r>
        <w:rPr>
          <w:rStyle w:val="NormalTok"/>
        </w:rPr>
        <w:t xml:space="preserve"> (y </w:t>
      </w:r>
      <w:r>
        <w:rPr>
          <w:rStyle w:val="OperatorTok"/>
        </w:rPr>
        <w:t xml:space="preserve">-</w:t>
      </w:r>
      <w:r>
        <w:rPr>
          <w:rStyle w:val="NormalTok"/>
        </w:rPr>
        <w:t xml:space="preserve"> slope</w:t>
      </w:r>
      <w:r>
        <w:rPr>
          <w:rStyle w:val="OperatorTok"/>
        </w:rPr>
        <w:t xml:space="preserve">*</w:t>
      </w:r>
      <w:r>
        <w:rPr>
          <w:rStyle w:val="NormalTok"/>
        </w:rPr>
        <w:t xml:space="preserve">x))</w:t>
      </w:r>
      <w:r>
        <w:br/>
      </w:r>
      <w:r>
        <w:rPr>
          <w:rStyle w:val="BuiltInTok"/>
        </w:rPr>
        <w:t xml:space="preserve">print</w:t>
      </w:r>
      <w:r>
        <w:rPr>
          <w:rStyle w:val="NormalTok"/>
        </w:rPr>
        <w:t xml:space="preserve">(</w:t>
      </w:r>
      <w:r>
        <w:rPr>
          <w:rStyle w:val="BuiltInTok"/>
        </w:rPr>
        <w:t xml:space="preserve">round</w:t>
      </w:r>
      <w:r>
        <w:rPr>
          <w:rStyle w:val="NormalTok"/>
        </w:rPr>
        <w:t xml:space="preserve">(slope, </w:t>
      </w:r>
      <w:r>
        <w:rPr>
          <w:rStyle w:val="DecValTok"/>
        </w:rPr>
        <w:t xml:space="preserve">4</w:t>
      </w:r>
      <w:r>
        <w:rPr>
          <w:rStyle w:val="NormalTok"/>
        </w:rPr>
        <w:t xml:space="preserve">))</w:t>
      </w:r>
      <w:r>
        <w:br/>
      </w:r>
      <w:r>
        <w:rPr>
          <w:rStyle w:val="ImportTok"/>
        </w:rPr>
        <w:t xml:space="preserve">from</w:t>
      </w:r>
      <w:r>
        <w:rPr>
          <w:rStyle w:val="NormalTok"/>
        </w:rPr>
        <w:t xml:space="preserve"> sklearn.pipeline </w:t>
      </w:r>
      <w:r>
        <w:rPr>
          <w:rStyle w:val="ImportTok"/>
        </w:rPr>
        <w:t xml:space="preserve">import</w:t>
      </w:r>
      <w:r>
        <w:rPr>
          <w:rStyle w:val="NormalTok"/>
        </w:rPr>
        <w:t xml:space="preserve"> Pipeline</w:t>
      </w:r>
      <w:r>
        <w:br/>
      </w:r>
      <w:r>
        <w:rPr>
          <w:rStyle w:val="ImportTok"/>
        </w:rPr>
        <w:t xml:space="preserve">from</w:t>
      </w:r>
      <w:r>
        <w:rPr>
          <w:rStyle w:val="NormalTok"/>
        </w:rPr>
        <w:t xml:space="preserve"> sklearn.preprocessing </w:t>
      </w:r>
      <w:r>
        <w:rPr>
          <w:rStyle w:val="ImportTok"/>
        </w:rPr>
        <w:t xml:space="preserve">import</w:t>
      </w:r>
      <w:r>
        <w:rPr>
          <w:rStyle w:val="NormalTok"/>
        </w:rPr>
        <w:t xml:space="preserve"> StandardScaler</w:t>
      </w:r>
    </w:p>
    <w:bookmarkEnd w:id="595"/>
    <w:bookmarkEnd w:id="596"/>
    <w:bookmarkStart w:id="629" w:name="X61223a7e121eb0e54bad753532f0bc5f1665a5a"/>
    <w:p>
      <w:pPr>
        <w:pStyle w:val="Heading1"/>
        <w:keepNext/>
        <w:pageBreakBefore/>
      </w:pPr>
      <w:r>
        <w:t>48</w:t>
        <w:tab/>
        <w:t>Applied Economic Prediction and Classification Projects</w:t>
      </w:r>
    </w:p>
    <w:p>
      <w:pPr>
        <w:pStyle w:val="FirstParagraph"/>
      </w:pPr>
      <w:r>
        <w:rPr>
          <w:i/>
          <w:iCs/>
        </w:rPr>
        <w:t xml:space="preserve">Opening question:</w:t>
      </w:r>
      <w:r>
        <w:t xml:space="preserve"> </w:t>
      </w:r>
      <w:r>
        <w:rPr>
          <w:b/>
          <w:bCs/>
        </w:rPr>
        <w:t xml:space="preserve">How can an end-to-end workflow turn housing and passenger data into models that are evaluated honestly and interpreted carefully?</w:t>
      </w:r>
    </w:p>
    <w:bookmarkStart w:id="597" w:name="learning-objectives-28"/>
    <w:p>
      <w:pPr>
        <w:pStyle w:val="Heading2"/>
        <w:keepNext/>
      </w:pPr>
      <w:r>
        <w:t>48.1</w:t>
        <w:tab/>
        <w:t>Learning objectives</w:t>
      </w:r>
    </w:p>
    <w:p>
      <w:pPr>
        <w:pStyle w:val="Compact"/>
        <w:numPr>
          <w:ilvl w:val="0"/>
          <w:numId w:val="1115"/>
        </w:numPr>
      </w:pPr>
      <w:r>
        <w:t xml:space="preserve">Build a regression workflow with the Tehran housing data.</w:t>
      </w:r>
    </w:p>
    <w:p>
      <w:pPr>
        <w:pStyle w:val="Compact"/>
        <w:numPr>
          <w:ilvl w:val="0"/>
          <w:numId w:val="1115"/>
        </w:numPr>
      </w:pPr>
      <w:r>
        <w:t xml:space="preserve">Build a classification workflow with Titanic data.</w:t>
      </w:r>
    </w:p>
    <w:p>
      <w:pPr>
        <w:pStyle w:val="Compact"/>
        <w:numPr>
          <w:ilvl w:val="0"/>
          <w:numId w:val="1115"/>
        </w:numPr>
      </w:pPr>
      <w:r>
        <w:t xml:space="preserve">Use pipelines, cross-validation, and multiple metrics.</w:t>
      </w:r>
    </w:p>
    <w:p>
      <w:pPr>
        <w:pStyle w:val="Compact"/>
        <w:numPr>
          <w:ilvl w:val="0"/>
          <w:numId w:val="1115"/>
        </w:numPr>
      </w:pPr>
      <w:r>
        <w:t xml:space="preserve">Analyze residuals, confusion matrices, and subgroup performance.</w:t>
      </w:r>
    </w:p>
    <w:p>
      <w:pPr>
        <w:pStyle w:val="FirstParagraph"/>
      </w:pPr>
      <w:r>
        <w:rPr>
          <w:b/>
          <w:bCs/>
        </w:rPr>
        <w:t xml:space="preserve">Prerequisites:</w:t>
      </w:r>
      <w:r>
        <w:t xml:space="preserve"> </w:t>
      </w:r>
      <w:r>
        <w:t xml:space="preserve">Chapters 10, 15, and 28.</w:t>
      </w:r>
    </w:p>
    <w:p>
      <w:pPr>
        <w:pStyle w:val="BodyText"/>
      </w:pPr>
      <w:r>
        <w:rPr>
          <w:b/>
          <w:bCs/>
        </w:rPr>
        <w:t xml:space="preserve">Key terms:</w:t>
      </w:r>
      <w:r>
        <w:t xml:space="preserve"> </w:t>
      </w:r>
      <w:r>
        <w:t xml:space="preserve">feature engineering, baseline, decision tree, confusion matrix, precision, recall.</w:t>
      </w:r>
    </w:p>
    <w:bookmarkEnd w:id="597"/>
    <w:bookmarkStart w:id="598" w:name="project-a-tehran-house-prices"/>
    <w:p>
      <w:pPr>
        <w:pStyle w:val="Heading2"/>
        <w:keepNext/>
      </w:pPr>
      <w:r>
        <w:t>48.2</w:t>
        <w:tab/>
        <w:t>Project A: Tehran house prices</w:t>
      </w:r>
    </w:p>
    <w:p>
      <w:pPr>
        <w:pStyle w:val="FirstParagraph"/>
      </w:pPr>
      <w:r>
        <w:t xml:space="preserve">The housing dataset from the IntroAI archive supports a beginner regression project. The target is price, while area, rooms, parking, warehouse, elevator, and location-related variables serve as features. The workflow begins with a data audit and a simple baseline, then compares linear and tree-based models. Price distributions and neighbourhood effects can be highly skewed, so residual plots and transformed targets deserve attention. The exercise is predictive and does not estimate a causal effect of area or amenities.</w:t>
      </w:r>
    </w:p>
    <w:bookmarkEnd w:id="598"/>
    <w:bookmarkStart w:id="599" w:name="project-b-titanic-classification"/>
    <w:p>
      <w:pPr>
        <w:pStyle w:val="Heading2"/>
        <w:keepNext/>
      </w:pPr>
      <w:r>
        <w:t>48.3</w:t>
        <w:tab/>
        <w:t>Project B: Titanic classification</w:t>
      </w:r>
    </w:p>
    <w:p>
      <w:pPr>
        <w:pStyle w:val="FirstParagraph"/>
      </w:pPr>
      <w:r>
        <w:t xml:space="preserve">The Titanic dataset illustrates categorical and numeric preprocessing, missing values, class probabilities, and threshold-dependent decisions. Accuracy can conceal failure on a minority class. Precision answers how often predicted positives are correct; recall answers how many actual positives were found; F1 balances the two harmonically. A confusion matrix grounds these metrics in counts. Historical social structures also mean that model patterns should not be treated as neutral prescriptions.</w:t>
      </w:r>
    </w:p>
    <w:bookmarkEnd w:id="599"/>
    <w:bookmarkStart w:id="600" w:name="baselines-make-improvement-meaningful"/>
    <w:p>
      <w:pPr>
        <w:pStyle w:val="Heading2"/>
        <w:keepNext/>
      </w:pPr>
      <w:r>
        <w:t>48.4</w:t>
        <w:tab/>
        <w:t>Baselines make improvement meaningful</w:t>
      </w:r>
    </w:p>
    <w:p>
      <w:pPr>
        <w:pStyle w:val="FirstParagraph"/>
      </w:pPr>
      <w:r>
        <w:t xml:space="preserve">A regression baseline may predict the training mean; a classification baseline may predict the majority class or observed prevalence. Complex models should outperform these baselines on held-out data and justify their additional complexity. Cross-validation estimates variability across splits, but the folds must respect groups or time when observations are related. Final analysis includes errors, not only averages: which houses are badly predicted and which passenger subgroups are misclassified?</w:t>
      </w:r>
    </w:p>
    <w:bookmarkEnd w:id="600"/>
    <w:bookmarkStart w:id="601" w:name="core-equations-15"/>
    <w:p>
      <w:pPr>
        <w:pStyle w:val="Heading2"/>
        <w:keepNext/>
      </w:pPr>
      <w:r>
        <w:t>48.5</w:t>
        <w:tab/>
        <w:t>Core equations</w:t>
      </w:r>
    </w:p>
    <w:p>
      <w:pPr>
        <w:pStyle w:val="FirstParagraph"/>
      </w:pPr>
      <w:r>
        <w:rPr>
          <w:b/>
          <w:bCs/>
        </w:rPr>
        <w:t xml:space="preserve">Precision</w:t>
      </w:r>
    </w:p>
    <w:p>
      <w:pPr>
        <w:pStyle w:val="BodyText"/>
      </w:pPr>
      <m:oMathPara>
        <m:oMathParaPr>
          <m:jc m:val="center"/>
        </m:oMathParaPr>
        <m:oMath>
          <m:r>
            <m:rPr>
              <m:sty m:val="p"/>
            </m:rPr>
            <m:t>P</m:t>
          </m:r>
          <m:r>
            <m:rPr>
              <m:sty m:val="p"/>
            </m:rPr>
            <m:t>r</m:t>
          </m:r>
          <m:r>
            <m:rPr>
              <m:sty m:val="p"/>
            </m:rPr>
            <m:t>e</m:t>
          </m:r>
          <m:r>
            <m:rPr>
              <m:sty m:val="p"/>
            </m:rPr>
            <m:t>c</m:t>
          </m:r>
          <m:r>
            <m:rPr>
              <m:sty m:val="p"/>
            </m:rPr>
            <m:t>i</m:t>
          </m:r>
          <m:r>
            <m:rPr>
              <m:sty m:val="p"/>
            </m:rPr>
            <m:t>s</m:t>
          </m:r>
          <m:r>
            <m:rPr>
              <m:sty m:val="p"/>
            </m:rPr>
            <m:t>i</m:t>
          </m:r>
          <m:r>
            <m:rPr>
              <m:sty m:val="p"/>
            </m:rPr>
            <m:t>o</m:t>
          </m:r>
          <m:r>
            <m:rPr>
              <m:sty m:val="p"/>
            </m:rPr>
            <m:t>n</m:t>
          </m:r>
          <m:r>
            <m:rPr>
              <m:sty m:val="p"/>
            </m:rPr>
            <m:t>=</m:t>
          </m:r>
          <m:f>
            <m:fPr>
              <m:type m:val="bar"/>
            </m:fPr>
            <m:num>
              <m:r>
                <m:t>T</m:t>
              </m:r>
              <m:r>
                <m:t>P</m:t>
              </m:r>
            </m:num>
            <m:den>
              <m:r>
                <m:t>T</m:t>
              </m:r>
              <m:r>
                <m:t>P</m:t>
              </m:r>
              <m:r>
                <m:rPr>
                  <m:sty m:val="p"/>
                </m:rPr>
                <m:t>+</m:t>
              </m:r>
              <m:r>
                <m:t>F</m:t>
              </m:r>
              <m:r>
                <m:t>P</m:t>
              </m:r>
            </m:den>
          </m:f>
        </m:oMath>
      </m:oMathPara>
    </w:p>
    <w:p>
      <w:pPr>
        <w:pStyle w:val="FirstParagraph"/>
      </w:pPr>
      <w:r>
        <w:t xml:space="preserve">Among predicted positives, the fraction that are true positives.</w:t>
      </w:r>
    </w:p>
    <w:p>
      <w:pPr>
        <w:pStyle w:val="BodyText"/>
      </w:pPr>
      <w:r>
        <w:rPr>
          <w:b/>
          <w:bCs/>
        </w:rPr>
        <w:t xml:space="preserve">Recall</w:t>
      </w:r>
    </w:p>
    <w:p>
      <w:pPr>
        <w:pStyle w:val="BodyText"/>
      </w:pPr>
      <m:oMathPara>
        <m:oMathParaPr>
          <m:jc m:val="center"/>
        </m:oMathParaPr>
        <m:oMath>
          <m:r>
            <m:rPr>
              <m:sty m:val="p"/>
            </m:rPr>
            <m:t>R</m:t>
          </m:r>
          <m:r>
            <m:rPr>
              <m:sty m:val="p"/>
            </m:rPr>
            <m:t>e</m:t>
          </m:r>
          <m:r>
            <m:rPr>
              <m:sty m:val="p"/>
            </m:rPr>
            <m:t>c</m:t>
          </m:r>
          <m:r>
            <m:rPr>
              <m:sty m:val="p"/>
            </m:rPr>
            <m:t>a</m:t>
          </m:r>
          <m:r>
            <m:rPr>
              <m:sty m:val="p"/>
            </m:rPr>
            <m:t>l</m:t>
          </m:r>
          <m:r>
            <m:rPr>
              <m:sty m:val="p"/>
            </m:rPr>
            <m:t>l</m:t>
          </m:r>
          <m:r>
            <m:rPr>
              <m:sty m:val="p"/>
            </m:rPr>
            <m:t>=</m:t>
          </m:r>
          <m:f>
            <m:fPr>
              <m:type m:val="bar"/>
            </m:fPr>
            <m:num>
              <m:r>
                <m:t>T</m:t>
              </m:r>
              <m:r>
                <m:t>P</m:t>
              </m:r>
            </m:num>
            <m:den>
              <m:r>
                <m:t>T</m:t>
              </m:r>
              <m:r>
                <m:t>P</m:t>
              </m:r>
              <m:r>
                <m:rPr>
                  <m:sty m:val="p"/>
                </m:rPr>
                <m:t>+</m:t>
              </m:r>
              <m:r>
                <m:t>F</m:t>
              </m:r>
              <m:r>
                <m:t>N</m:t>
              </m:r>
            </m:den>
          </m:f>
        </m:oMath>
      </m:oMathPara>
    </w:p>
    <w:p>
      <w:pPr>
        <w:pStyle w:val="FirstParagraph"/>
      </w:pPr>
      <w:r>
        <w:t xml:space="preserve">Among actual positives, the fraction that are found.</w:t>
      </w:r>
    </w:p>
    <w:bookmarkEnd w:id="601"/>
    <w:bookmarkStart w:id="604" w:name="python-demonstrations-28"/>
    <w:p>
      <w:pPr>
        <w:pStyle w:val="Heading2"/>
        <w:keepNext/>
      </w:pPr>
      <w:r>
        <w:t>48.6</w:t>
        <w:tab/>
        <w:t>Python demonstrations</w:t>
      </w:r>
    </w:p>
    <w:bookmarkStart w:id="602" w:name="Xe15b0ec74b0010fbf8ed0ae086bfd49cb12366d"/>
    <w:p>
      <w:pPr>
        <w:pStyle w:val="Heading3"/>
        <w:keepNext/>
      </w:pPr>
      <w:r>
        <w:t>48.6.1</w:t>
        <w:tab/>
        <w:t>Demonstration 29.1: Tehran housing regression</w:t>
      </w:r>
    </w:p>
    <w:p>
      <w:pPr>
        <w:pStyle w:val="SourceCode"/>
        <w:shd w:fill="F6F8FA" w:val="clear"/>
      </w:pPr>
      <w:r>
        <w:rPr>
          <w:rStyle w:val="ImportTok"/>
        </w:rPr>
        <w:t xml:space="preserve">import</w:t>
      </w:r>
      <w:r>
        <w:rPr>
          <w:rStyle w:val="NormalTok"/>
        </w:rPr>
        <w:t xml:space="preserve"> pandas </w:t>
      </w:r>
      <w:r>
        <w:rPr>
          <w:rStyle w:val="ImportTok"/>
        </w:rPr>
        <w:t xml:space="preserve">as</w:t>
      </w:r>
      <w:r>
        <w:rPr>
          <w:rStyle w:val="NormalTok"/>
        </w:rPr>
        <w:t xml:space="preserve"> pd</w:t>
      </w:r>
      <w:r>
        <w:br/>
      </w:r>
      <w:r>
        <w:rPr>
          <w:rStyle w:val="ImportTok"/>
        </w:rPr>
        <w:t xml:space="preserve">from</w:t>
      </w:r>
      <w:r>
        <w:rPr>
          <w:rStyle w:val="NormalTok"/>
        </w:rPr>
        <w:t xml:space="preserve"> sklearn.linear_model </w:t>
      </w:r>
      <w:r>
        <w:rPr>
          <w:rStyle w:val="ImportTok"/>
        </w:rPr>
        <w:t xml:space="preserve">import</w:t>
      </w:r>
      <w:r>
        <w:rPr>
          <w:rStyle w:val="NormalTok"/>
        </w:rPr>
        <w:t xml:space="preserve"> LinearRegression</w:t>
      </w:r>
      <w:r>
        <w:br/>
      </w:r>
      <w:r>
        <w:br/>
      </w:r>
      <w:r>
        <w:rPr>
          <w:rStyle w:val="NormalTok"/>
        </w:rPr>
        <w:t xml:space="preserve">houses </w:t>
      </w:r>
      <w:r>
        <w:rPr>
          <w:rStyle w:val="OperatorTok"/>
        </w:rPr>
        <w:t xml:space="preserve">=</w:t>
      </w:r>
      <w:r>
        <w:rPr>
          <w:rStyle w:val="NormalTok"/>
        </w:rPr>
        <w:t xml:space="preserve"> pd.read_csv(</w:t>
      </w:r>
      <w:r>
        <w:rPr>
          <w:rStyle w:val="StringTok"/>
        </w:rPr>
        <w:t xml:space="preserve">"data/frozen/tehran_house_prices.csv"</w:t>
      </w:r>
      <w:r>
        <w:rPr>
          <w:rStyle w:val="NormalTok"/>
        </w:rPr>
        <w:t xml:space="preserve">)</w:t>
      </w:r>
      <w:r>
        <w:br/>
      </w:r>
      <w:r>
        <w:rPr>
          <w:rStyle w:val="NormalTok"/>
        </w:rPr>
        <w:t xml:space="preserve">area_col </w:t>
      </w:r>
      <w:r>
        <w:rPr>
          <w:rStyle w:val="OperatorTok"/>
        </w:rPr>
        <w:t xml:space="preserve">=</w:t>
      </w:r>
      <w:r>
        <w:rPr>
          <w:rStyle w:val="NormalTok"/>
        </w:rPr>
        <w:t xml:space="preserve"> </w:t>
      </w:r>
      <w:r>
        <w:rPr>
          <w:rStyle w:val="BuiltInTok"/>
        </w:rPr>
        <w:t xml:space="preserve">next</w:t>
      </w:r>
      <w:r>
        <w:rPr>
          <w:rStyle w:val="NormalTok"/>
        </w:rPr>
        <w:t xml:space="preserve">(c </w:t>
      </w:r>
      <w:r>
        <w:rPr>
          <w:rStyle w:val="ControlFlowTok"/>
        </w:rPr>
        <w:t xml:space="preserve">for</w:t>
      </w:r>
      <w:r>
        <w:rPr>
          <w:rStyle w:val="NormalTok"/>
        </w:rPr>
        <w:t xml:space="preserve"> c </w:t>
      </w:r>
      <w:r>
        <w:rPr>
          <w:rStyle w:val="KeywordTok"/>
        </w:rPr>
        <w:t xml:space="preserve">in</w:t>
      </w:r>
      <w:r>
        <w:rPr>
          <w:rStyle w:val="NormalTok"/>
        </w:rPr>
        <w:t xml:space="preserve"> houses.columns </w:t>
      </w:r>
      <w:r>
        <w:rPr>
          <w:rStyle w:val="ControlFlowTok"/>
        </w:rPr>
        <w:t xml:space="preserve">if</w:t>
      </w:r>
      <w:r>
        <w:rPr>
          <w:rStyle w:val="NormalTok"/>
        </w:rPr>
        <w:t xml:space="preserve"> c.lower() </w:t>
      </w:r>
      <w:r>
        <w:rPr>
          <w:rStyle w:val="OperatorTok"/>
        </w:rPr>
        <w:t xml:space="preserve">==</w:t>
      </w:r>
      <w:r>
        <w:rPr>
          <w:rStyle w:val="NormalTok"/>
        </w:rPr>
        <w:t xml:space="preserve"> </w:t>
      </w:r>
      <w:r>
        <w:rPr>
          <w:rStyle w:val="StringTok"/>
        </w:rPr>
        <w:t xml:space="preserve">"area"</w:t>
      </w:r>
      <w:r>
        <w:rPr>
          <w:rStyle w:val="NormalTok"/>
        </w:rPr>
        <w:t xml:space="preserve">)</w:t>
      </w:r>
      <w:r>
        <w:br/>
      </w:r>
      <w:r>
        <w:rPr>
          <w:rStyle w:val="NormalTok"/>
        </w:rPr>
        <w:t xml:space="preserve">price_col </w:t>
      </w:r>
      <w:r>
        <w:rPr>
          <w:rStyle w:val="OperatorTok"/>
        </w:rPr>
        <w:t xml:space="preserve">=</w:t>
      </w:r>
      <w:r>
        <w:rPr>
          <w:rStyle w:val="NormalTok"/>
        </w:rPr>
        <w:t xml:space="preserve"> </w:t>
      </w:r>
      <w:r>
        <w:rPr>
          <w:rStyle w:val="BuiltInTok"/>
        </w:rPr>
        <w:t xml:space="preserve">next</w:t>
      </w:r>
      <w:r>
        <w:rPr>
          <w:rStyle w:val="NormalTok"/>
        </w:rPr>
        <w:t xml:space="preserve">(c </w:t>
      </w:r>
      <w:r>
        <w:rPr>
          <w:rStyle w:val="ControlFlowTok"/>
        </w:rPr>
        <w:t xml:space="preserve">for</w:t>
      </w:r>
      <w:r>
        <w:rPr>
          <w:rStyle w:val="NormalTok"/>
        </w:rPr>
        <w:t xml:space="preserve"> c </w:t>
      </w:r>
      <w:r>
        <w:rPr>
          <w:rStyle w:val="KeywordTok"/>
        </w:rPr>
        <w:t xml:space="preserve">in</w:t>
      </w:r>
      <w:r>
        <w:rPr>
          <w:rStyle w:val="NormalTok"/>
        </w:rPr>
        <w:t xml:space="preserve"> houses.columns </w:t>
      </w:r>
      <w:r>
        <w:rPr>
          <w:rStyle w:val="ControlFlowTok"/>
        </w:rPr>
        <w:t xml:space="preserve">if</w:t>
      </w:r>
      <w:r>
        <w:rPr>
          <w:rStyle w:val="NormalTok"/>
        </w:rPr>
        <w:t xml:space="preserve"> </w:t>
      </w:r>
      <w:r>
        <w:rPr>
          <w:rStyle w:val="StringTok"/>
        </w:rPr>
        <w:t xml:space="preserve">"price"</w:t>
      </w:r>
      <w:r>
        <w:rPr>
          <w:rStyle w:val="NormalTok"/>
        </w:rPr>
        <w:t xml:space="preserve"> </w:t>
      </w:r>
      <w:r>
        <w:rPr>
          <w:rStyle w:val="KeywordTok"/>
        </w:rPr>
        <w:t xml:space="preserve">in</w:t>
      </w:r>
      <w:r>
        <w:rPr>
          <w:rStyle w:val="NormalTok"/>
        </w:rPr>
        <w:t xml:space="preserve"> c.lower())</w:t>
      </w:r>
      <w:r>
        <w:br/>
      </w:r>
      <w:r>
        <w:rPr>
          <w:rStyle w:val="NormalTok"/>
        </w:rPr>
        <w:t xml:space="preserve">clean </w:t>
      </w:r>
      <w:r>
        <w:rPr>
          <w:rStyle w:val="OperatorTok"/>
        </w:rPr>
        <w:t xml:space="preserve">=</w:t>
      </w:r>
      <w:r>
        <w:rPr>
          <w:rStyle w:val="NormalTok"/>
        </w:rPr>
        <w:t xml:space="preserve"> houses[[area_col, price_col]].</w:t>
      </w:r>
      <w:r>
        <w:rPr>
          <w:rStyle w:val="BuiltInTok"/>
        </w:rPr>
        <w:t xml:space="preserve">apply</w:t>
      </w:r>
      <w:r>
        <w:rPr>
          <w:rStyle w:val="NormalTok"/>
        </w:rPr>
        <w:t xml:space="preserve">(pd.to_numeric, errors</w:t>
      </w:r>
      <w:r>
        <w:rPr>
          <w:rStyle w:val="OperatorTok"/>
        </w:rPr>
        <w:t xml:space="preserve">=</w:t>
      </w:r>
      <w:r>
        <w:rPr>
          <w:rStyle w:val="StringTok"/>
        </w:rPr>
        <w:t xml:space="preserve">"coerce"</w:t>
      </w:r>
      <w:r>
        <w:rPr>
          <w:rStyle w:val="NormalTok"/>
        </w:rPr>
        <w:t xml:space="preserve">).dropna()</w:t>
      </w:r>
      <w:r>
        <w:br/>
      </w:r>
      <w:r>
        <w:rPr>
          <w:rStyle w:val="NormalTok"/>
        </w:rPr>
        <w:t xml:space="preserve">model </w:t>
      </w:r>
      <w:r>
        <w:rPr>
          <w:rStyle w:val="OperatorTok"/>
        </w:rPr>
        <w:t xml:space="preserve">=</w:t>
      </w:r>
      <w:r>
        <w:rPr>
          <w:rStyle w:val="NormalTok"/>
        </w:rPr>
        <w:t xml:space="preserve"> LinearRegression().fit(clean[[area_col]], clean[price_col])</w:t>
      </w:r>
      <w:r>
        <w:br/>
      </w:r>
      <w:r>
        <w:rPr>
          <w:rStyle w:val="BuiltInTok"/>
        </w:rPr>
        <w:t xml:space="preserve">print</w:t>
      </w:r>
      <w:r>
        <w:rPr>
          <w:rStyle w:val="NormalTok"/>
        </w:rPr>
        <w:t xml:space="preserve">(</w:t>
      </w:r>
      <w:r>
        <w:rPr>
          <w:rStyle w:val="BuiltInTok"/>
        </w:rPr>
        <w:t xml:space="preserve">round</w:t>
      </w:r>
      <w:r>
        <w:rPr>
          <w:rStyle w:val="NormalTok"/>
        </w:rPr>
        <w:t xml:space="preserve">(</w:t>
      </w:r>
      <w:r>
        <w:rPr>
          <w:rStyle w:val="BuiltInTok"/>
        </w:rPr>
        <w:t xml:space="preserve">float</w:t>
      </w:r>
      <w:r>
        <w:rPr>
          <w:rStyle w:val="NormalTok"/>
        </w:rPr>
        <w:t xml:space="preserve">(model.coef_[</w:t>
      </w:r>
      <w:r>
        <w:rPr>
          <w:rStyle w:val="DecValTok"/>
        </w:rPr>
        <w:t xml:space="preserve">0</w:t>
      </w:r>
      <w:r>
        <w:rPr>
          <w:rStyle w:val="NormalTok"/>
        </w:rPr>
        <w:t xml:space="preserve">]), </w:t>
      </w:r>
      <w:r>
        <w:rPr>
          <w:rStyle w:val="DecValTok"/>
        </w:rPr>
        <w:t xml:space="preserve">4</w:t>
      </w:r>
      <w:r>
        <w:rPr>
          <w:rStyle w:val="NormalTok"/>
        </w:rPr>
        <w:t xml:space="preserve">), </w:t>
      </w:r>
      <w:r>
        <w:rPr>
          <w:rStyle w:val="BuiltInTok"/>
        </w:rPr>
        <w:t xml:space="preserve">len</w:t>
      </w:r>
      <w:r>
        <w:rPr>
          <w:rStyle w:val="NormalTok"/>
        </w:rPr>
        <w:t xml:space="preserve">(clean))</w:t>
      </w:r>
    </w:p>
    <w:p>
      <w:pPr>
        <w:pStyle w:val="FirstParagraph"/>
      </w:pPr>
      <w:r>
        <w:rPr>
          <w:b/>
          <w:bCs/>
        </w:rPr>
        <w:t xml:space="preserve">Verified output</w:t>
      </w:r>
    </w:p>
    <w:p>
      <w:pPr>
        <w:pStyle w:val="SourceCode"/>
        <w:keepLines/>
        <w:shd w:fill="F6F8FA" w:val="clear"/>
      </w:pPr>
      <w:r>
        <w:rPr>
          <w:rStyle w:val="VerbatimChar"/>
        </w:rPr>
        <w:t xml:space="preserve">84427668.1238 3473</w:t>
      </w:r>
    </w:p>
    <w:p>
      <w:pPr>
        <w:pStyle w:val="FirstParagraph"/>
      </w:pPr>
      <w:r>
        <w:rPr>
          <w:b/>
          <w:bCs/>
        </w:rPr>
        <w:t xml:space="preserve">Interpretation.</w:t>
      </w:r>
      <w:r>
        <w:t xml:space="preserve"> </w:t>
      </w:r>
      <w:r>
        <w:t xml:space="preserve">The slope is a predictive association in the dataset’s currency units per square metre, not a causal valuation rule.</w:t>
      </w:r>
    </w:p>
    <w:bookmarkEnd w:id="602"/>
    <w:bookmarkStart w:id="603" w:name="X64429aebf9c29780fc9a603068e4baa0b92580a"/>
    <w:p>
      <w:pPr>
        <w:pStyle w:val="Heading3"/>
        <w:keepNext/>
      </w:pPr>
      <w:r>
        <w:t>48.6.2</w:t>
        <w:tab/>
        <w:t>Demonstration 29.2: Titanic pipeline and metrics</w:t>
      </w:r>
    </w:p>
    <w:p>
      <w:pPr>
        <w:pStyle w:val="SourceCode"/>
        <w:shd w:fill="F6F8FA" w:val="clear"/>
      </w:pPr>
      <w:r>
        <w:rPr>
          <w:rStyle w:val="ImportTok"/>
        </w:rPr>
        <w:t xml:space="preserve">import</w:t>
      </w:r>
      <w:r>
        <w:rPr>
          <w:rStyle w:val="NormalTok"/>
        </w:rPr>
        <w:t xml:space="preserve"> pandas </w:t>
      </w:r>
      <w:r>
        <w:rPr>
          <w:rStyle w:val="ImportTok"/>
        </w:rPr>
        <w:t xml:space="preserve">as</w:t>
      </w:r>
      <w:r>
        <w:rPr>
          <w:rStyle w:val="NormalTok"/>
        </w:rPr>
        <w:t xml:space="preserve"> pd</w:t>
      </w:r>
      <w:r>
        <w:br/>
      </w:r>
      <w:r>
        <w:rPr>
          <w:rStyle w:val="ImportTok"/>
        </w:rPr>
        <w:t xml:space="preserve">from</w:t>
      </w:r>
      <w:r>
        <w:rPr>
          <w:rStyle w:val="NormalTok"/>
        </w:rPr>
        <w:t xml:space="preserve"> sklearn.compose </w:t>
      </w:r>
      <w:r>
        <w:rPr>
          <w:rStyle w:val="ImportTok"/>
        </w:rPr>
        <w:t xml:space="preserve">import</w:t>
      </w:r>
      <w:r>
        <w:rPr>
          <w:rStyle w:val="NormalTok"/>
        </w:rPr>
        <w:t xml:space="preserve"> ColumnTransformer</w:t>
      </w:r>
      <w:r>
        <w:br/>
      </w:r>
      <w:r>
        <w:rPr>
          <w:rStyle w:val="ImportTok"/>
        </w:rPr>
        <w:t xml:space="preserve">from</w:t>
      </w:r>
      <w:r>
        <w:rPr>
          <w:rStyle w:val="NormalTok"/>
        </w:rPr>
        <w:t xml:space="preserve"> sklearn.impute </w:t>
      </w:r>
      <w:r>
        <w:rPr>
          <w:rStyle w:val="ImportTok"/>
        </w:rPr>
        <w:t xml:space="preserve">import</w:t>
      </w:r>
      <w:r>
        <w:rPr>
          <w:rStyle w:val="NormalTok"/>
        </w:rPr>
        <w:t xml:space="preserve"> SimpleImputer</w:t>
      </w:r>
      <w:r>
        <w:br/>
      </w:r>
      <w:r>
        <w:rPr>
          <w:rStyle w:val="ImportTok"/>
        </w:rPr>
        <w:t xml:space="preserve">from</w:t>
      </w:r>
      <w:r>
        <w:rPr>
          <w:rStyle w:val="NormalTok"/>
        </w:rPr>
        <w:t xml:space="preserve"> sklearn.linear_model </w:t>
      </w:r>
      <w:r>
        <w:rPr>
          <w:rStyle w:val="ImportTok"/>
        </w:rPr>
        <w:t xml:space="preserve">import</w:t>
      </w:r>
      <w:r>
        <w:rPr>
          <w:rStyle w:val="NormalTok"/>
        </w:rPr>
        <w:t xml:space="preserve"> LogisticRegression</w:t>
      </w:r>
      <w:r>
        <w:br/>
      </w:r>
      <w:r>
        <w:rPr>
          <w:rStyle w:val="ImportTok"/>
        </w:rPr>
        <w:t xml:space="preserve">from</w:t>
      </w:r>
      <w:r>
        <w:rPr>
          <w:rStyle w:val="NormalTok"/>
        </w:rPr>
        <w:t xml:space="preserve"> sklearn.metrics </w:t>
      </w:r>
      <w:r>
        <w:rPr>
          <w:rStyle w:val="ImportTok"/>
        </w:rPr>
        <w:t xml:space="preserve">import</w:t>
      </w:r>
      <w:r>
        <w:rPr>
          <w:rStyle w:val="NormalTok"/>
        </w:rPr>
        <w:t xml:space="preserve"> accuracy_score, precision_score, recall_score</w:t>
      </w:r>
      <w:r>
        <w:br/>
      </w:r>
      <w:r>
        <w:rPr>
          <w:rStyle w:val="ImportTok"/>
        </w:rPr>
        <w:t xml:space="preserve">from</w:t>
      </w:r>
      <w:r>
        <w:rPr>
          <w:rStyle w:val="NormalTok"/>
        </w:rPr>
        <w:t xml:space="preserve"> sklearn.pipeline </w:t>
      </w:r>
      <w:r>
        <w:rPr>
          <w:rStyle w:val="ImportTok"/>
        </w:rPr>
        <w:t xml:space="preserve">import</w:t>
      </w:r>
      <w:r>
        <w:rPr>
          <w:rStyle w:val="NormalTok"/>
        </w:rPr>
        <w:t xml:space="preserve"> Pipeline</w:t>
      </w:r>
      <w:r>
        <w:br/>
      </w:r>
      <w:r>
        <w:rPr>
          <w:rStyle w:val="ImportTok"/>
        </w:rPr>
        <w:t xml:space="preserve">from</w:t>
      </w:r>
      <w:r>
        <w:rPr>
          <w:rStyle w:val="NormalTok"/>
        </w:rPr>
        <w:t xml:space="preserve"> sklearn.preprocessing </w:t>
      </w:r>
      <w:r>
        <w:rPr>
          <w:rStyle w:val="ImportTok"/>
        </w:rPr>
        <w:t xml:space="preserve">import</w:t>
      </w:r>
      <w:r>
        <w:rPr>
          <w:rStyle w:val="NormalTok"/>
        </w:rPr>
        <w:t xml:space="preserve"> OneHotEncoder</w:t>
      </w:r>
      <w:r>
        <w:br/>
      </w:r>
      <w:r>
        <w:rPr>
          <w:rStyle w:val="ImportTok"/>
        </w:rPr>
        <w:t xml:space="preserve">from</w:t>
      </w:r>
      <w:r>
        <w:rPr>
          <w:rStyle w:val="NormalTok"/>
        </w:rPr>
        <w:t xml:space="preserve"> sklearn.model_selection </w:t>
      </w:r>
      <w:r>
        <w:rPr>
          <w:rStyle w:val="ImportTok"/>
        </w:rPr>
        <w:t xml:space="preserve">import</w:t>
      </w:r>
      <w:r>
        <w:rPr>
          <w:rStyle w:val="NormalTok"/>
        </w:rPr>
        <w:t xml:space="preserve"> train_test_split</w:t>
      </w:r>
      <w:r>
        <w:br/>
      </w:r>
      <w:r>
        <w:br/>
      </w:r>
      <w:r>
        <w:rPr>
          <w:rStyle w:val="NormalTok"/>
        </w:rPr>
        <w:t xml:space="preserve">passengers </w:t>
      </w:r>
      <w:r>
        <w:rPr>
          <w:rStyle w:val="OperatorTok"/>
        </w:rPr>
        <w:t xml:space="preserve">=</w:t>
      </w:r>
      <w:r>
        <w:rPr>
          <w:rStyle w:val="NormalTok"/>
        </w:rPr>
        <w:t xml:space="preserve"> pd.read_csv(</w:t>
      </w:r>
      <w:r>
        <w:rPr>
          <w:rStyle w:val="StringTok"/>
        </w:rPr>
        <w:t xml:space="preserve">"data/frozen/titanic.csv"</w:t>
      </w:r>
      <w:r>
        <w:rPr>
          <w:rStyle w:val="NormalTok"/>
        </w:rPr>
        <w:t xml:space="preserve">)</w:t>
      </w:r>
      <w:r>
        <w:br/>
      </w:r>
      <w:r>
        <w:rPr>
          <w:rStyle w:val="NormalTok"/>
        </w:rPr>
        <w:t xml:space="preserve">target </w:t>
      </w:r>
      <w:r>
        <w:rPr>
          <w:rStyle w:val="OperatorTok"/>
        </w:rPr>
        <w:t xml:space="preserve">=</w:t>
      </w:r>
      <w:r>
        <w:rPr>
          <w:rStyle w:val="NormalTok"/>
        </w:rPr>
        <w:t xml:space="preserve"> </w:t>
      </w:r>
      <w:r>
        <w:rPr>
          <w:rStyle w:val="BuiltInTok"/>
        </w:rPr>
        <w:t xml:space="preserve">next</w:t>
      </w:r>
      <w:r>
        <w:rPr>
          <w:rStyle w:val="NormalTok"/>
        </w:rPr>
        <w:t xml:space="preserve">(c </w:t>
      </w:r>
      <w:r>
        <w:rPr>
          <w:rStyle w:val="ControlFlowTok"/>
        </w:rPr>
        <w:t xml:space="preserve">for</w:t>
      </w:r>
      <w:r>
        <w:rPr>
          <w:rStyle w:val="NormalTok"/>
        </w:rPr>
        <w:t xml:space="preserve"> c </w:t>
      </w:r>
      <w:r>
        <w:rPr>
          <w:rStyle w:val="KeywordTok"/>
        </w:rPr>
        <w:t xml:space="preserve">in</w:t>
      </w:r>
      <w:r>
        <w:rPr>
          <w:rStyle w:val="NormalTok"/>
        </w:rPr>
        <w:t xml:space="preserve"> passengers.columns </w:t>
      </w:r>
      <w:r>
        <w:rPr>
          <w:rStyle w:val="ControlFlowTok"/>
        </w:rPr>
        <w:t xml:space="preserve">if</w:t>
      </w:r>
      <w:r>
        <w:rPr>
          <w:rStyle w:val="NormalTok"/>
        </w:rPr>
        <w:t xml:space="preserve"> c.lower() </w:t>
      </w:r>
      <w:r>
        <w:rPr>
          <w:rStyle w:val="OperatorTok"/>
        </w:rPr>
        <w:t xml:space="preserve">==</w:t>
      </w:r>
      <w:r>
        <w:rPr>
          <w:rStyle w:val="NormalTok"/>
        </w:rPr>
        <w:t xml:space="preserve"> </w:t>
      </w:r>
      <w:r>
        <w:rPr>
          <w:rStyle w:val="StringTok"/>
        </w:rPr>
        <w:t xml:space="preserve">"survived"</w:t>
      </w:r>
      <w:r>
        <w:rPr>
          <w:rStyle w:val="NormalTok"/>
        </w:rPr>
        <w:t xml:space="preserve">)</w:t>
      </w:r>
      <w:r>
        <w:br/>
      </w:r>
      <w:r>
        <w:rPr>
          <w:rStyle w:val="NormalTok"/>
        </w:rPr>
        <w:t xml:space="preserve">features </w:t>
      </w:r>
      <w:r>
        <w:rPr>
          <w:rStyle w:val="OperatorTok"/>
        </w:rPr>
        <w:t xml:space="preserve">=</w:t>
      </w:r>
      <w:r>
        <w:rPr>
          <w:rStyle w:val="NormalTok"/>
        </w:rPr>
        <w:t xml:space="preserve"> [c </w:t>
      </w:r>
      <w:r>
        <w:rPr>
          <w:rStyle w:val="ControlFlowTok"/>
        </w:rPr>
        <w:t xml:space="preserve">for</w:t>
      </w:r>
      <w:r>
        <w:rPr>
          <w:rStyle w:val="NormalTok"/>
        </w:rPr>
        <w:t xml:space="preserve"> c </w:t>
      </w:r>
      <w:r>
        <w:rPr>
          <w:rStyle w:val="KeywordTok"/>
        </w:rPr>
        <w:t xml:space="preserve">in</w:t>
      </w:r>
      <w:r>
        <w:rPr>
          <w:rStyle w:val="NormalTok"/>
        </w:rPr>
        <w:t xml:space="preserve"> [</w:t>
      </w:r>
      <w:r>
        <w:rPr>
          <w:rStyle w:val="StringTok"/>
        </w:rPr>
        <w:t xml:space="preserve">"Pclass"</w:t>
      </w:r>
      <w:r>
        <w:rPr>
          <w:rStyle w:val="NormalTok"/>
        </w:rPr>
        <w:t xml:space="preserve">, </w:t>
      </w:r>
      <w:r>
        <w:rPr>
          <w:rStyle w:val="StringTok"/>
        </w:rPr>
        <w:t xml:space="preserve">"Sex"</w:t>
      </w:r>
      <w:r>
        <w:rPr>
          <w:rStyle w:val="NormalTok"/>
        </w:rPr>
        <w:t xml:space="preserve">, </w:t>
      </w:r>
      <w:r>
        <w:rPr>
          <w:rStyle w:val="StringTok"/>
        </w:rPr>
        <w:t xml:space="preserve">"Age"</w:t>
      </w:r>
      <w:r>
        <w:rPr>
          <w:rStyle w:val="NormalTok"/>
        </w:rPr>
        <w:t xml:space="preserve">, </w:t>
      </w:r>
      <w:r>
        <w:rPr>
          <w:rStyle w:val="StringTok"/>
        </w:rPr>
        <w:t xml:space="preserve">"Fare"</w:t>
      </w:r>
      <w:r>
        <w:rPr>
          <w:rStyle w:val="NormalTok"/>
        </w:rPr>
        <w:t xml:space="preserve">] </w:t>
      </w:r>
      <w:r>
        <w:rPr>
          <w:rStyle w:val="ControlFlowTok"/>
        </w:rPr>
        <w:t xml:space="preserve">if</w:t>
      </w:r>
      <w:r>
        <w:rPr>
          <w:rStyle w:val="NormalTok"/>
        </w:rPr>
        <w:t xml:space="preserve"> c </w:t>
      </w:r>
      <w:r>
        <w:rPr>
          <w:rStyle w:val="KeywordTok"/>
        </w:rPr>
        <w:t xml:space="preserve">in</w:t>
      </w:r>
      <w:r>
        <w:rPr>
          <w:rStyle w:val="NormalTok"/>
        </w:rPr>
        <w:t xml:space="preserve"> passengers.columns]</w:t>
      </w:r>
      <w:r>
        <w:br/>
      </w:r>
      <w:r>
        <w:rPr>
          <w:rStyle w:val="NormalTok"/>
        </w:rPr>
        <w:t xml:space="preserve">X_train, X_test, y_train, y_test </w:t>
      </w:r>
      <w:r>
        <w:rPr>
          <w:rStyle w:val="OperatorTok"/>
        </w:rPr>
        <w:t xml:space="preserve">=</w:t>
      </w:r>
      <w:r>
        <w:rPr>
          <w:rStyle w:val="NormalTok"/>
        </w:rPr>
        <w:t xml:space="preserve"> train_test_split(passengers[features], passengers[target], test_size</w:t>
      </w:r>
      <w:r>
        <w:rPr>
          <w:rStyle w:val="OperatorTok"/>
        </w:rPr>
        <w:t xml:space="preserve">=</w:t>
      </w:r>
      <w:r>
        <w:rPr>
          <w:rStyle w:val="FloatTok"/>
        </w:rPr>
        <w:t xml:space="preserve">.25</w:t>
      </w:r>
      <w:r>
        <w:rPr>
          <w:rStyle w:val="NormalTok"/>
        </w:rPr>
        <w:t xml:space="preserve">, random_state</w:t>
      </w:r>
      <w:r>
        <w:rPr>
          <w:rStyle w:val="OperatorTok"/>
        </w:rPr>
        <w:t xml:space="preserve">=</w:t>
      </w:r>
      <w:r>
        <w:rPr>
          <w:rStyle w:val="DecValTok"/>
        </w:rPr>
        <w:t xml:space="preserve">29</w:t>
      </w:r>
      <w:r>
        <w:rPr>
          <w:rStyle w:val="NormalTok"/>
        </w:rPr>
        <w:t xml:space="preserve">, stratify</w:t>
      </w:r>
      <w:r>
        <w:rPr>
          <w:rStyle w:val="OperatorTok"/>
        </w:rPr>
        <w:t xml:space="preserve">=</w:t>
      </w:r>
      <w:r>
        <w:rPr>
          <w:rStyle w:val="NormalTok"/>
        </w:rPr>
        <w:t xml:space="preserve">passengers[target])</w:t>
      </w:r>
      <w:r>
        <w:br/>
      </w:r>
      <w:r>
        <w:rPr>
          <w:rStyle w:val="NormalTok"/>
        </w:rPr>
        <w:t xml:space="preserve">num </w:t>
      </w:r>
      <w:r>
        <w:rPr>
          <w:rStyle w:val="OperatorTok"/>
        </w:rPr>
        <w:t xml:space="preserve">=</w:t>
      </w:r>
      <w:r>
        <w:rPr>
          <w:rStyle w:val="NormalTok"/>
        </w:rPr>
        <w:t xml:space="preserve"> [c </w:t>
      </w:r>
      <w:r>
        <w:rPr>
          <w:rStyle w:val="ControlFlowTok"/>
        </w:rPr>
        <w:t xml:space="preserve">for</w:t>
      </w:r>
      <w:r>
        <w:rPr>
          <w:rStyle w:val="NormalTok"/>
        </w:rPr>
        <w:t xml:space="preserve"> c </w:t>
      </w:r>
      <w:r>
        <w:rPr>
          <w:rStyle w:val="KeywordTok"/>
        </w:rPr>
        <w:t xml:space="preserve">in</w:t>
      </w:r>
      <w:r>
        <w:rPr>
          <w:rStyle w:val="NormalTok"/>
        </w:rPr>
        <w:t xml:space="preserve"> features </w:t>
      </w:r>
      <w:r>
        <w:rPr>
          <w:rStyle w:val="ControlFlowTok"/>
        </w:rPr>
        <w:t xml:space="preserve">if</w:t>
      </w:r>
      <w:r>
        <w:rPr>
          <w:rStyle w:val="NormalTok"/>
        </w:rPr>
        <w:t xml:space="preserve"> c </w:t>
      </w:r>
      <w:r>
        <w:rPr>
          <w:rStyle w:val="KeywordTok"/>
        </w:rPr>
        <w:t xml:space="preserve">not</w:t>
      </w:r>
      <w:r>
        <w:rPr>
          <w:rStyle w:val="NormalTok"/>
        </w:rPr>
        <w:t xml:space="preserve"> </w:t>
      </w:r>
      <w:r>
        <w:rPr>
          <w:rStyle w:val="KeywordTok"/>
        </w:rPr>
        <w:t xml:space="preserve">in</w:t>
      </w:r>
      <w:r>
        <w:rPr>
          <w:rStyle w:val="NormalTok"/>
        </w:rPr>
        <w:t xml:space="preserve"> [</w:t>
      </w:r>
      <w:r>
        <w:rPr>
          <w:rStyle w:val="StringTok"/>
        </w:rPr>
        <w:t xml:space="preserve">"Sex"</w:t>
      </w:r>
      <w:r>
        <w:rPr>
          <w:rStyle w:val="NormalTok"/>
        </w:rPr>
        <w:t xml:space="preserve">]]</w:t>
      </w:r>
      <w:r>
        <w:rPr>
          <w:rStyle w:val="OperatorTok"/>
        </w:rPr>
        <w:t xml:space="preserve">;</w:t>
      </w:r>
      <w:r>
        <w:rPr>
          <w:rStyle w:val="NormalTok"/>
        </w:rPr>
        <w:t xml:space="preserve"> cat </w:t>
      </w:r>
      <w:r>
        <w:rPr>
          <w:rStyle w:val="OperatorTok"/>
        </w:rPr>
        <w:t xml:space="preserve">=</w:t>
      </w:r>
      <w:r>
        <w:rPr>
          <w:rStyle w:val="NormalTok"/>
        </w:rPr>
        <w:t xml:space="preserve"> [c </w:t>
      </w:r>
      <w:r>
        <w:rPr>
          <w:rStyle w:val="ControlFlowTok"/>
        </w:rPr>
        <w:t xml:space="preserve">for</w:t>
      </w:r>
      <w:r>
        <w:rPr>
          <w:rStyle w:val="NormalTok"/>
        </w:rPr>
        <w:t xml:space="preserve"> c </w:t>
      </w:r>
      <w:r>
        <w:rPr>
          <w:rStyle w:val="KeywordTok"/>
        </w:rPr>
        <w:t xml:space="preserve">in</w:t>
      </w:r>
      <w:r>
        <w:rPr>
          <w:rStyle w:val="NormalTok"/>
        </w:rPr>
        <w:t xml:space="preserve"> features </w:t>
      </w:r>
      <w:r>
        <w:rPr>
          <w:rStyle w:val="ControlFlowTok"/>
        </w:rPr>
        <w:t xml:space="preserve">if</w:t>
      </w:r>
      <w:r>
        <w:rPr>
          <w:rStyle w:val="NormalTok"/>
        </w:rPr>
        <w:t xml:space="preserve"> c </w:t>
      </w:r>
      <w:r>
        <w:rPr>
          <w:rStyle w:val="KeywordTok"/>
        </w:rPr>
        <w:t xml:space="preserve">in</w:t>
      </w:r>
      <w:r>
        <w:rPr>
          <w:rStyle w:val="NormalTok"/>
        </w:rPr>
        <w:t xml:space="preserve"> [</w:t>
      </w:r>
      <w:r>
        <w:rPr>
          <w:rStyle w:val="StringTok"/>
        </w:rPr>
        <w:t xml:space="preserve">"Sex"</w:t>
      </w:r>
      <w:r>
        <w:rPr>
          <w:rStyle w:val="NormalTok"/>
        </w:rPr>
        <w:t xml:space="preserve">]]</w:t>
      </w:r>
      <w:r>
        <w:br/>
      </w:r>
      <w:r>
        <w:rPr>
          <w:rStyle w:val="NormalTok"/>
        </w:rPr>
        <w:t xml:space="preserve">prep </w:t>
      </w:r>
      <w:r>
        <w:rPr>
          <w:rStyle w:val="OperatorTok"/>
        </w:rPr>
        <w:t xml:space="preserve">=</w:t>
      </w:r>
      <w:r>
        <w:rPr>
          <w:rStyle w:val="NormalTok"/>
        </w:rPr>
        <w:t xml:space="preserve"> ColumnTransformer([(</w:t>
      </w:r>
      <w:r>
        <w:rPr>
          <w:rStyle w:val="StringTok"/>
        </w:rPr>
        <w:t xml:space="preserve">"num"</w:t>
      </w:r>
      <w:r>
        <w:rPr>
          <w:rStyle w:val="NormalTok"/>
        </w:rPr>
        <w:t xml:space="preserve">, SimpleImputer(strategy</w:t>
      </w:r>
      <w:r>
        <w:rPr>
          <w:rStyle w:val="OperatorTok"/>
        </w:rPr>
        <w:t xml:space="preserve">=</w:t>
      </w:r>
      <w:r>
        <w:rPr>
          <w:rStyle w:val="StringTok"/>
        </w:rPr>
        <w:t xml:space="preserve">"median"</w:t>
      </w:r>
      <w:r>
        <w:rPr>
          <w:rStyle w:val="NormalTok"/>
        </w:rPr>
        <w:t xml:space="preserve">), num), (</w:t>
      </w:r>
      <w:r>
        <w:rPr>
          <w:rStyle w:val="StringTok"/>
        </w:rPr>
        <w:t xml:space="preserve">"cat"</w:t>
      </w:r>
      <w:r>
        <w:rPr>
          <w:rStyle w:val="NormalTok"/>
        </w:rPr>
        <w:t xml:space="preserve">, Pipeline([(</w:t>
      </w:r>
      <w:r>
        <w:rPr>
          <w:rStyle w:val="StringTok"/>
        </w:rPr>
        <w:t xml:space="preserve">"imp"</w:t>
      </w:r>
      <w:r>
        <w:rPr>
          <w:rStyle w:val="NormalTok"/>
        </w:rPr>
        <w:t xml:space="preserve">, SimpleImputer(strategy</w:t>
      </w:r>
      <w:r>
        <w:rPr>
          <w:rStyle w:val="OperatorTok"/>
        </w:rPr>
        <w:t xml:space="preserve">=</w:t>
      </w:r>
      <w:r>
        <w:rPr>
          <w:rStyle w:val="StringTok"/>
        </w:rPr>
        <w:t xml:space="preserve">"most_frequent"</w:t>
      </w:r>
      <w:r>
        <w:rPr>
          <w:rStyle w:val="NormalTok"/>
        </w:rPr>
        <w:t xml:space="preserve">)), (</w:t>
      </w:r>
      <w:r>
        <w:rPr>
          <w:rStyle w:val="StringTok"/>
        </w:rPr>
        <w:t xml:space="preserve">"ohe"</w:t>
      </w:r>
      <w:r>
        <w:rPr>
          <w:rStyle w:val="NormalTok"/>
        </w:rPr>
        <w:t xml:space="preserve">, OneHotEncoder(handle_unknown</w:t>
      </w:r>
      <w:r>
        <w:rPr>
          <w:rStyle w:val="OperatorTok"/>
        </w:rPr>
        <w:t xml:space="preserve">=</w:t>
      </w:r>
      <w:r>
        <w:rPr>
          <w:rStyle w:val="StringTok"/>
        </w:rPr>
        <w:t xml:space="preserve">"ignore"</w:t>
      </w:r>
      <w:r>
        <w:rPr>
          <w:rStyle w:val="NormalTok"/>
        </w:rPr>
        <w:t xml:space="preserve">))]), cat)])</w:t>
      </w:r>
      <w:r>
        <w:br/>
      </w:r>
      <w:r>
        <w:rPr>
          <w:rStyle w:val="NormalTok"/>
        </w:rPr>
        <w:t xml:space="preserve">pipe </w:t>
      </w:r>
      <w:r>
        <w:rPr>
          <w:rStyle w:val="OperatorTok"/>
        </w:rPr>
        <w:t xml:space="preserve">=</w:t>
      </w:r>
      <w:r>
        <w:rPr>
          <w:rStyle w:val="NormalTok"/>
        </w:rPr>
        <w:t xml:space="preserve"> Pipeline([(</w:t>
      </w:r>
      <w:r>
        <w:rPr>
          <w:rStyle w:val="StringTok"/>
        </w:rPr>
        <w:t xml:space="preserve">"prep"</w:t>
      </w:r>
      <w:r>
        <w:rPr>
          <w:rStyle w:val="NormalTok"/>
        </w:rPr>
        <w:t xml:space="preserve">, prep), (</w:t>
      </w:r>
      <w:r>
        <w:rPr>
          <w:rStyle w:val="StringTok"/>
        </w:rPr>
        <w:t xml:space="preserve">"model"</w:t>
      </w:r>
      <w:r>
        <w:rPr>
          <w:rStyle w:val="NormalTok"/>
        </w:rPr>
        <w:t xml:space="preserve">, LogisticRegression(max_iter</w:t>
      </w:r>
      <w:r>
        <w:rPr>
          <w:rStyle w:val="OperatorTok"/>
        </w:rPr>
        <w:t xml:space="preserve">=</w:t>
      </w:r>
      <w:r>
        <w:rPr>
          <w:rStyle w:val="DecValTok"/>
        </w:rPr>
        <w:t xml:space="preserve">1000</w:t>
      </w:r>
      <w:r>
        <w:rPr>
          <w:rStyle w:val="NormalTok"/>
        </w:rPr>
        <w:t xml:space="preserve">))]).fit(X_train, y_train)</w:t>
      </w:r>
      <w:r>
        <w:br/>
      </w:r>
      <w:r>
        <w:rPr>
          <w:rStyle w:val="NormalTok"/>
        </w:rPr>
        <w:t xml:space="preserve">pred </w:t>
      </w:r>
      <w:r>
        <w:rPr>
          <w:rStyle w:val="OperatorTok"/>
        </w:rPr>
        <w:t xml:space="preserve">=</w:t>
      </w:r>
      <w:r>
        <w:rPr>
          <w:rStyle w:val="NormalTok"/>
        </w:rPr>
        <w:t xml:space="preserve"> pipe.predict(X_test)</w:t>
      </w:r>
      <w:r>
        <w:br/>
      </w:r>
      <w:r>
        <w:rPr>
          <w:rStyle w:val="BuiltInTok"/>
        </w:rPr>
        <w:t xml:space="preserve">print</w:t>
      </w:r>
      <w:r>
        <w:rPr>
          <w:rStyle w:val="NormalTok"/>
        </w:rPr>
        <w:t xml:space="preserve">(</w:t>
      </w:r>
      <w:r>
        <w:rPr>
          <w:rStyle w:val="BuiltInTok"/>
        </w:rPr>
        <w:t xml:space="preserve">round</w:t>
      </w:r>
      <w:r>
        <w:rPr>
          <w:rStyle w:val="NormalTok"/>
        </w:rPr>
        <w:t xml:space="preserve">(accuracy_score(y_test,pred),</w:t>
      </w:r>
      <w:r>
        <w:rPr>
          <w:rStyle w:val="DecValTok"/>
        </w:rPr>
        <w:t xml:space="preserve">3</w:t>
      </w:r>
      <w:r>
        <w:rPr>
          <w:rStyle w:val="NormalTok"/>
        </w:rPr>
        <w:t xml:space="preserve">), </w:t>
      </w:r>
      <w:r>
        <w:rPr>
          <w:rStyle w:val="BuiltInTok"/>
        </w:rPr>
        <w:t xml:space="preserve">round</w:t>
      </w:r>
      <w:r>
        <w:rPr>
          <w:rStyle w:val="NormalTok"/>
        </w:rPr>
        <w:t xml:space="preserve">(precision_score(y_test,pred),</w:t>
      </w:r>
      <w:r>
        <w:rPr>
          <w:rStyle w:val="DecValTok"/>
        </w:rPr>
        <w:t xml:space="preserve">3</w:t>
      </w:r>
      <w:r>
        <w:rPr>
          <w:rStyle w:val="NormalTok"/>
        </w:rPr>
        <w:t xml:space="preserve">), </w:t>
      </w:r>
      <w:r>
        <w:rPr>
          <w:rStyle w:val="BuiltInTok"/>
        </w:rPr>
        <w:t xml:space="preserve">round</w:t>
      </w:r>
      <w:r>
        <w:rPr>
          <w:rStyle w:val="NormalTok"/>
        </w:rPr>
        <w:t xml:space="preserve">(recall_score(y_test,pred),</w:t>
      </w:r>
      <w:r>
        <w:rPr>
          <w:rStyle w:val="DecValTok"/>
        </w:rPr>
        <w:t xml:space="preserve">3</w:t>
      </w:r>
      <w:r>
        <w:rPr>
          <w:rStyle w:val="NormalTok"/>
        </w:rPr>
        <w:t xml:space="preserve">))</w:t>
      </w:r>
    </w:p>
    <w:p>
      <w:pPr>
        <w:pStyle w:val="FirstParagraph"/>
      </w:pPr>
      <w:r>
        <w:rPr>
          <w:b/>
          <w:bCs/>
        </w:rPr>
        <w:t xml:space="preserve">Verified output</w:t>
      </w:r>
    </w:p>
    <w:p>
      <w:pPr>
        <w:pStyle w:val="SourceCode"/>
        <w:keepLines/>
        <w:shd w:fill="F6F8FA" w:val="clear"/>
      </w:pPr>
      <w:r>
        <w:rPr>
          <w:rStyle w:val="VerbatimChar"/>
        </w:rPr>
        <w:t xml:space="preserve">0.789 0.719 0.744</w:t>
      </w:r>
    </w:p>
    <w:p>
      <w:pPr>
        <w:pStyle w:val="FirstParagraph"/>
      </w:pPr>
      <w:r>
        <w:rPr>
          <w:b/>
          <w:bCs/>
        </w:rPr>
        <w:t xml:space="preserve">Interpretation.</w:t>
      </w:r>
      <w:r>
        <w:t xml:space="preserve"> </w:t>
      </w:r>
      <w:r>
        <w:t xml:space="preserve">The three metrics illuminate different error trade-offs. Exact values are tied to the documented split and preprocessing.</w:t>
      </w:r>
    </w:p>
    <w:bookmarkEnd w:id="603"/>
    <w:bookmarkEnd w:id="604"/>
    <w:bookmarkStart w:id="623" w:name="visual-evidence-28"/>
    <w:p>
      <w:pPr>
        <w:pStyle w:val="Heading2"/>
        <w:keepNext/>
      </w:pPr>
      <w:r>
        <w:t>48.7</w:t>
        <w:tab/>
        <w:t>Visual evidence</w:t>
      </w:r>
    </w:p>
    <w:p>
      <w:pPr>
        <w:pStyle w:val="FirstParagraph"/>
      </w:pPr>
      <w:r>
        <w:drawing>
          <wp:inline>
            <wp:extent cx="4907280" cy="2888155"/>
            <wp:effectExtent b="0" l="0" r="0" t="0"/>
            <wp:docPr descr="Image: rId605.png" title="" id="606" name="Picture"/>
            <a:graphic>
              <a:graphicData uri="http://schemas.openxmlformats.org/drawingml/2006/picture">
                <pic:pic>
                  <pic:nvPicPr>
                    <pic:cNvPr descr="figures/fig_50_tehran_regression.png" id="607" name="Picture"/>
                    <pic:cNvPicPr>
                      <a:picLocks noChangeArrowheads="1" noChangeAspect="1"/>
                    </pic:cNvPicPr>
                  </pic:nvPicPr>
                  <pic:blipFill>
                    <a:blip r:embed="rId605"/>
                    <a:stretch>
                      <a:fillRect/>
                    </a:stretch>
                  </pic:blipFill>
                  <pic:spPr bwMode="auto">
                    <a:xfrm>
                      <a:off x="0" y="0"/>
                      <a:ext cx="4907280" cy="2888155"/>
                    </a:xfrm>
                    <a:prstGeom prst="rect">
                      <a:avLst/>
                    </a:prstGeom>
                    <a:noFill/>
                    <a:ln w="9525">
                      <a:noFill/>
                      <a:headEnd/>
                      <a:tailEnd/>
                    </a:ln>
                  </pic:spPr>
                </pic:pic>
              </a:graphicData>
            </a:graphic>
          </wp:inline>
        </w:drawing>
      </w:r>
    </w:p>
    <w:p>
      <w:pPr>
        <w:pStyle w:val="Caption"/>
        <w:keepNext w:val="0"/>
        <w:jc w:val="center"/>
      </w:pPr>
      <w:r>
        <w:rPr>
          <w:b/>
          <w:bCs/>
        </w:rPr>
        <w:t xml:space="preserve">Figure 50.</w:t>
      </w:r>
      <w:r>
        <w:t xml:space="preserve"> </w:t>
      </w:r>
      <w:r>
        <w:t xml:space="preserve">Area and listed price in the Tehran housing dataset from the IntroAI course archive.</w:t>
      </w:r>
    </w:p>
    <w:p>
      <w:pPr>
        <w:pStyle w:val="BodyText"/>
      </w:pPr>
      <w:r>
        <w:drawing>
          <wp:inline>
            <wp:extent cx="4907280" cy="2039682"/>
            <wp:effectExtent b="0" l="0" r="0" t="0"/>
            <wp:docPr descr="Image: rId608.png" title="" id="609" name="Picture"/>
            <a:graphic>
              <a:graphicData uri="http://schemas.openxmlformats.org/drawingml/2006/picture">
                <pic:pic>
                  <pic:nvPicPr>
                    <pic:cNvPr descr="figures/fig_51_tehran_residuals.png" id="610" name="Picture"/>
                    <pic:cNvPicPr>
                      <a:picLocks noChangeArrowheads="1" noChangeAspect="1"/>
                    </pic:cNvPicPr>
                  </pic:nvPicPr>
                  <pic:blipFill>
                    <a:blip r:embed="rId608"/>
                    <a:stretch>
                      <a:fillRect/>
                    </a:stretch>
                  </pic:blipFill>
                  <pic:spPr bwMode="auto">
                    <a:xfrm>
                      <a:off x="0" y="0"/>
                      <a:ext cx="4907280" cy="2039682"/>
                    </a:xfrm>
                    <a:prstGeom prst="rect">
                      <a:avLst/>
                    </a:prstGeom>
                    <a:noFill/>
                    <a:ln w="9525">
                      <a:noFill/>
                      <a:headEnd/>
                      <a:tailEnd/>
                    </a:ln>
                  </pic:spPr>
                </pic:pic>
              </a:graphicData>
            </a:graphic>
          </wp:inline>
        </w:drawing>
      </w:r>
    </w:p>
    <w:p>
      <w:pPr>
        <w:pStyle w:val="Caption"/>
        <w:keepNext w:val="0"/>
        <w:jc w:val="center"/>
      </w:pPr>
      <w:r>
        <w:rPr>
          <w:b/>
          <w:bCs/>
        </w:rPr>
        <w:t xml:space="preserve">Figure 51.</w:t>
      </w:r>
      <w:r>
        <w:t xml:space="preserve"> </w:t>
      </w:r>
      <w:r>
        <w:t xml:space="preserve">The linear baseline leaves large, asymmetric errors, motivating feature engineering and robust evaluation.</w:t>
      </w:r>
    </w:p>
    <w:p>
      <w:pPr>
        <w:pStyle w:val="BodyText"/>
      </w:pPr>
      <w:r>
        <w:drawing>
          <wp:inline>
            <wp:extent cx="4907280" cy="2945052"/>
            <wp:effectExtent b="0" l="0" r="0" t="0"/>
            <wp:docPr descr="Image: rId611.png" title="" id="612" name="Picture"/>
            <a:graphic>
              <a:graphicData uri="http://schemas.openxmlformats.org/drawingml/2006/picture">
                <pic:pic>
                  <pic:nvPicPr>
                    <pic:cNvPr descr="figures/fig_52_titanic_groups.png" id="613" name="Picture"/>
                    <pic:cNvPicPr>
                      <a:picLocks noChangeArrowheads="1" noChangeAspect="1"/>
                    </pic:cNvPicPr>
                  </pic:nvPicPr>
                  <pic:blipFill>
                    <a:blip r:embed="rId611"/>
                    <a:stretch>
                      <a:fillRect/>
                    </a:stretch>
                  </pic:blipFill>
                  <pic:spPr bwMode="auto">
                    <a:xfrm>
                      <a:off x="0" y="0"/>
                      <a:ext cx="4907280" cy="2945052"/>
                    </a:xfrm>
                    <a:prstGeom prst="rect">
                      <a:avLst/>
                    </a:prstGeom>
                    <a:noFill/>
                    <a:ln w="9525">
                      <a:noFill/>
                      <a:headEnd/>
                      <a:tailEnd/>
                    </a:ln>
                  </pic:spPr>
                </pic:pic>
              </a:graphicData>
            </a:graphic>
          </wp:inline>
        </w:drawing>
      </w:r>
    </w:p>
    <w:p>
      <w:pPr>
        <w:pStyle w:val="Caption"/>
        <w:keepNext w:val="0"/>
        <w:jc w:val="center"/>
      </w:pPr>
      <w:r>
        <w:rPr>
          <w:b/>
          <w:bCs/>
        </w:rPr>
        <w:t xml:space="preserve">Figure 52.</w:t>
      </w:r>
      <w:r>
        <w:t xml:space="preserve"> </w:t>
      </w:r>
      <w:r>
        <w:t xml:space="preserve">Survival proportions by sex and passenger class in the IntroAI Titanic dataset.</w:t>
      </w:r>
    </w:p>
    <w:p>
      <w:pPr>
        <w:pStyle w:val="BodyText"/>
      </w:pPr>
      <w:r>
        <w:drawing>
          <wp:inline>
            <wp:extent cx="4907280" cy="2403134"/>
            <wp:effectExtent b="0" l="0" r="0" t="0"/>
            <wp:docPr descr="Image: rId614.png" title="" id="615" name="Picture"/>
            <a:graphic>
              <a:graphicData uri="http://schemas.openxmlformats.org/drawingml/2006/picture">
                <pic:pic>
                  <pic:nvPicPr>
                    <pic:cNvPr descr="figures/fig_53_decision_tree.png" id="616" name="Picture"/>
                    <pic:cNvPicPr>
                      <a:picLocks noChangeArrowheads="1" noChangeAspect="1"/>
                    </pic:cNvPicPr>
                  </pic:nvPicPr>
                  <pic:blipFill>
                    <a:blip r:embed="rId614"/>
                    <a:stretch>
                      <a:fillRect/>
                    </a:stretch>
                  </pic:blipFill>
                  <pic:spPr bwMode="auto">
                    <a:xfrm>
                      <a:off x="0" y="0"/>
                      <a:ext cx="4907280" cy="2403134"/>
                    </a:xfrm>
                    <a:prstGeom prst="rect">
                      <a:avLst/>
                    </a:prstGeom>
                    <a:noFill/>
                    <a:ln w="9525">
                      <a:noFill/>
                      <a:headEnd/>
                      <a:tailEnd/>
                    </a:ln>
                  </pic:spPr>
                </pic:pic>
              </a:graphicData>
            </a:graphic>
          </wp:inline>
        </w:drawing>
      </w:r>
    </w:p>
    <w:p>
      <w:pPr>
        <w:pStyle w:val="Caption"/>
        <w:keepNext w:val="0"/>
        <w:jc w:val="center"/>
      </w:pPr>
      <w:r>
        <w:rPr>
          <w:b/>
          <w:bCs/>
        </w:rPr>
        <w:t xml:space="preserve">Figure 53.</w:t>
      </w:r>
      <w:r>
        <w:t xml:space="preserve"> </w:t>
      </w:r>
      <w:r>
        <w:t xml:space="preserve">A depth-three decision tree for the Titanic classification problem.</w:t>
      </w:r>
    </w:p>
    <w:p>
      <w:pPr>
        <w:pStyle w:val="BodyText"/>
      </w:pPr>
      <w:r>
        <w:drawing>
          <wp:inline>
            <wp:extent cx="4592876" cy="3945698"/>
            <wp:effectExtent b="0" l="0" r="0" t="0"/>
            <wp:docPr descr="Image: rId617.png" title="" id="618" name="Picture"/>
            <a:graphic>
              <a:graphicData uri="http://schemas.openxmlformats.org/drawingml/2006/picture">
                <pic:pic>
                  <pic:nvPicPr>
                    <pic:cNvPr descr="figures/fig_54_confusion_matrix.png" id="619" name="Picture"/>
                    <pic:cNvPicPr>
                      <a:picLocks noChangeArrowheads="1" noChangeAspect="1"/>
                    </pic:cNvPicPr>
                  </pic:nvPicPr>
                  <pic:blipFill>
                    <a:blip r:embed="rId617"/>
                    <a:stretch>
                      <a:fillRect/>
                    </a:stretch>
                  </pic:blipFill>
                  <pic:spPr bwMode="auto">
                    <a:xfrm>
                      <a:off x="0" y="0"/>
                      <a:ext cx="4592876" cy="3945698"/>
                    </a:xfrm>
                    <a:prstGeom prst="rect">
                      <a:avLst/>
                    </a:prstGeom>
                    <a:noFill/>
                    <a:ln w="9525">
                      <a:noFill/>
                      <a:headEnd/>
                      <a:tailEnd/>
                    </a:ln>
                  </pic:spPr>
                </pic:pic>
              </a:graphicData>
            </a:graphic>
          </wp:inline>
        </w:drawing>
      </w:r>
    </w:p>
    <w:p>
      <w:pPr>
        <w:pStyle w:val="Caption"/>
        <w:keepNext w:val="0"/>
        <w:jc w:val="center"/>
      </w:pPr>
      <w:r>
        <w:rPr>
          <w:b/>
          <w:bCs/>
        </w:rPr>
        <w:t xml:space="preserve">Figure 54.</w:t>
      </w:r>
      <w:r>
        <w:t xml:space="preserve"> </w:t>
      </w:r>
      <w:r>
        <w:t xml:space="preserve">Out-of-sample confusion matrix for a logistic-regression pipeline.</w:t>
      </w:r>
    </w:p>
    <w:p>
      <w:pPr>
        <w:pStyle w:val="BodyText"/>
      </w:pPr>
      <w:r>
        <w:drawing>
          <wp:inline>
            <wp:extent cx="4907280" cy="3341457"/>
            <wp:effectExtent b="0" l="0" r="0" t="0"/>
            <wp:docPr descr="Image: rId620.png" title="" id="621" name="Picture"/>
            <a:graphic>
              <a:graphicData uri="http://schemas.openxmlformats.org/drawingml/2006/picture">
                <pic:pic>
                  <pic:nvPicPr>
                    <pic:cNvPr descr="figures/fig_55_precision_recall.png" id="622" name="Picture"/>
                    <pic:cNvPicPr>
                      <a:picLocks noChangeArrowheads="1" noChangeAspect="1"/>
                    </pic:cNvPicPr>
                  </pic:nvPicPr>
                  <pic:blipFill>
                    <a:blip r:embed="rId620"/>
                    <a:stretch>
                      <a:fillRect/>
                    </a:stretch>
                  </pic:blipFill>
                  <pic:spPr bwMode="auto">
                    <a:xfrm>
                      <a:off x="0" y="0"/>
                      <a:ext cx="4907280" cy="3341457"/>
                    </a:xfrm>
                    <a:prstGeom prst="rect">
                      <a:avLst/>
                    </a:prstGeom>
                    <a:noFill/>
                    <a:ln w="9525">
                      <a:noFill/>
                      <a:headEnd/>
                      <a:tailEnd/>
                    </a:ln>
                  </pic:spPr>
                </pic:pic>
              </a:graphicData>
            </a:graphic>
          </wp:inline>
        </w:drawing>
      </w:r>
    </w:p>
    <w:p>
      <w:pPr>
        <w:pStyle w:val="Caption"/>
        <w:keepNext w:val="0"/>
        <w:jc w:val="center"/>
      </w:pPr>
      <w:r>
        <w:rPr>
          <w:b/>
          <w:bCs/>
        </w:rPr>
        <w:t xml:space="preserve">Figure 55.</w:t>
      </w:r>
      <w:r>
        <w:t xml:space="preserve"> </w:t>
      </w:r>
      <w:r>
        <w:t xml:space="preserve">Precision-recall performance for the Titanic logistic-regression pipeline.</w:t>
      </w:r>
    </w:p>
    <w:bookmarkEnd w:id="623"/>
    <w:bookmarkStart w:id="624" w:name="reference-table-28"/>
    <w:p>
      <w:pPr>
        <w:pStyle w:val="Heading2"/>
        <w:keepNext/>
      </w:pPr>
      <w:r>
        <w:t>48.8</w:t>
        <w:tab/>
        <w:t>Reference table</w:t>
      </w:r>
    </w:p>
    <w:p>
      <w:pPr>
        <w:pStyle w:val="Caption"/>
        <w:keepNext/>
        <w:jc w:val="center"/>
      </w:pPr>
      <w:r>
        <w:rPr>
          <w:b/>
          <w:bCs/>
        </w:rPr>
        <w:t xml:space="preserve">Table 29. Chapter reference.</w:t>
      </w:r>
    </w:p>
    <w:tbl>
      <w:tblPr>
        <w:tblStyle w:val="Table"/>
        <w:tblW w:type="pct" w:w="5000"/>
        <w:jc w:val="center"/>
        <w:tblLayout w:type="autofit"/>
        <w:tblLook w:firstRow="1" w:lastRow="0" w:firstColumn="0" w:lastColumn="0" w:noHBand="0" w:noVBand="0" w:val="0020"/>
      </w:tblPr>
      <w:tblGrid>
        <w:gridCol w:w="2640"/>
        <w:gridCol w:w="2640"/>
        <w:gridCol w:w="2640"/>
      </w:tblGrid>
      <w:tr>
        <w:trPr>
          <w:tblHeader w:val="on"/>
          <w:tblHeader w:val="true"/>
          <w:cantSplit/>
        </w:trPr>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0A2342" w:val="clear"/>
          </w:tcPr>
          <w:p>
            <w:pPr>
              <w:pStyle w:val="Compact"/>
              <w:spacing w:before="30" w:after="30" w:line="240" w:lineRule="auto"/>
              <w:jc w:val="left"/>
            </w:pPr>
            <w:r>
              <w:rPr>
                <w:rFonts w:ascii="Noto Sans" w:hAnsi="Noto Sans" w:eastAsia="Noto Sans" w:cs="Noto Sans"/>
                <w:b/>
                <w:color w:val="FFFFFF"/>
                <w:sz w:val="16"/>
              </w:rPr>
              <w:t xml:space="preserve">Metric</w:t>
            </w:r>
          </w:p>
        </w:tc>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0A2342" w:val="clear"/>
          </w:tcPr>
          <w:p>
            <w:pPr>
              <w:pStyle w:val="Compact"/>
              <w:spacing w:before="30" w:after="30" w:line="240" w:lineRule="auto"/>
              <w:jc w:val="left"/>
            </w:pPr>
            <w:r>
              <w:rPr>
                <w:rFonts w:ascii="Noto Sans" w:hAnsi="Noto Sans" w:eastAsia="Noto Sans" w:cs="Noto Sans"/>
                <w:b/>
                <w:color w:val="FFFFFF"/>
                <w:sz w:val="16"/>
              </w:rPr>
              <w:t xml:space="preserve">Best interpreted as</w:t>
            </w:r>
          </w:p>
        </w:tc>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0A2342" w:val="clear"/>
          </w:tcPr>
          <w:p>
            <w:pPr>
              <w:pStyle w:val="Compact"/>
              <w:spacing w:before="30" w:after="30" w:line="240" w:lineRule="auto"/>
              <w:jc w:val="left"/>
            </w:pPr>
            <w:r>
              <w:rPr>
                <w:rFonts w:ascii="Noto Sans" w:hAnsi="Noto Sans" w:eastAsia="Noto Sans" w:cs="Noto Sans"/>
                <w:b/>
                <w:color w:val="FFFFFF"/>
                <w:sz w:val="16"/>
              </w:rPr>
              <w:t xml:space="preserve">Limitation</w:t>
            </w:r>
          </w:p>
        </w:tc>
      </w:tr>
      <w:tr>
        <w:trPr>
          <w:cantSplit/>
        </w:trPr>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EEF4F8" w:val="clear"/>
          </w:tcPr>
          <w:p>
            <w:pPr>
              <w:pStyle w:val="Compact"/>
              <w:spacing w:before="30" w:after="30" w:line="240" w:lineRule="auto"/>
              <w:jc w:val="left"/>
            </w:pPr>
            <w:r>
              <w:rPr>
                <w:rFonts w:ascii="Noto Sans" w:hAnsi="Noto Sans" w:eastAsia="Noto Sans" w:cs="Noto Sans"/>
                <w:b w:val="0"/>
                <w:color w:val="18212B"/>
                <w:sz w:val="16"/>
              </w:rPr>
              <w:t xml:space="preserve">MAE</w:t>
            </w:r>
          </w:p>
        </w:tc>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EEF4F8" w:val="clear"/>
          </w:tcPr>
          <w:p>
            <w:pPr>
              <w:pStyle w:val="Compact"/>
              <w:spacing w:before="30" w:after="30" w:line="240" w:lineRule="auto"/>
              <w:jc w:val="left"/>
            </w:pPr>
            <w:r>
              <w:rPr>
                <w:rFonts w:ascii="Noto Sans" w:hAnsi="Noto Sans" w:eastAsia="Noto Sans" w:cs="Noto Sans"/>
                <w:b w:val="0"/>
                <w:color w:val="18212B"/>
                <w:sz w:val="16"/>
              </w:rPr>
              <w:t xml:space="preserve">average absolute prediction error</w:t>
            </w:r>
          </w:p>
        </w:tc>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EEF4F8" w:val="clear"/>
          </w:tcPr>
          <w:p>
            <w:pPr>
              <w:pStyle w:val="Compact"/>
              <w:spacing w:before="30" w:after="30" w:line="240" w:lineRule="auto"/>
              <w:jc w:val="left"/>
            </w:pPr>
            <w:r>
              <w:rPr>
                <w:rFonts w:ascii="Noto Sans" w:hAnsi="Noto Sans" w:eastAsia="Noto Sans" w:cs="Noto Sans"/>
                <w:b w:val="0"/>
                <w:color w:val="18212B"/>
                <w:sz w:val="16"/>
              </w:rPr>
              <w:t xml:space="preserve">same scale but ignores direction</w:t>
            </w:r>
          </w:p>
        </w:tc>
      </w:tr>
      <w:tr>
        <w:trPr>
          <w:cantSplit/>
        </w:trPr>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FFFFFF" w:val="clear"/>
          </w:tcPr>
          <w:p>
            <w:pPr>
              <w:pStyle w:val="Compact"/>
              <w:spacing w:before="30" w:after="30" w:line="240" w:lineRule="auto"/>
              <w:jc w:val="left"/>
            </w:pPr>
            <w:r>
              <w:rPr>
                <w:rFonts w:ascii="Noto Sans" w:hAnsi="Noto Sans" w:eastAsia="Noto Sans" w:cs="Noto Sans"/>
                <w:b w:val="0"/>
                <w:color w:val="18212B"/>
                <w:sz w:val="16"/>
              </w:rPr>
              <w:t xml:space="preserve">RMSE</w:t>
            </w:r>
          </w:p>
        </w:tc>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FFFFFF" w:val="clear"/>
          </w:tcPr>
          <w:p>
            <w:pPr>
              <w:pStyle w:val="Compact"/>
              <w:spacing w:before="30" w:after="30" w:line="240" w:lineRule="auto"/>
              <w:jc w:val="left"/>
            </w:pPr>
            <w:r>
              <w:rPr>
                <w:rFonts w:ascii="Noto Sans" w:hAnsi="Noto Sans" w:eastAsia="Noto Sans" w:cs="Noto Sans"/>
                <w:b w:val="0"/>
                <w:color w:val="18212B"/>
                <w:sz w:val="16"/>
              </w:rPr>
              <w:t xml:space="preserve">square-error-sensitive error</w:t>
            </w:r>
          </w:p>
        </w:tc>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FFFFFF" w:val="clear"/>
          </w:tcPr>
          <w:p>
            <w:pPr>
              <w:pStyle w:val="Compact"/>
              <w:spacing w:before="30" w:after="30" w:line="240" w:lineRule="auto"/>
              <w:jc w:val="left"/>
            </w:pPr>
            <w:r>
              <w:rPr>
                <w:rFonts w:ascii="Noto Sans" w:hAnsi="Noto Sans" w:eastAsia="Noto Sans" w:cs="Noto Sans"/>
                <w:b w:val="0"/>
                <w:color w:val="18212B"/>
                <w:sz w:val="16"/>
              </w:rPr>
              <w:t xml:space="preserve">strongly weights extremes</w:t>
            </w:r>
          </w:p>
        </w:tc>
      </w:tr>
      <w:tr>
        <w:trPr>
          <w:cantSplit/>
        </w:trPr>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EEF4F8" w:val="clear"/>
          </w:tcPr>
          <w:p>
            <w:pPr>
              <w:pStyle w:val="Compact"/>
              <w:spacing w:before="30" w:after="30" w:line="240" w:lineRule="auto"/>
              <w:jc w:val="left"/>
            </w:pPr>
            <w:r>
              <w:rPr>
                <w:rFonts w:ascii="Noto Sans" w:hAnsi="Noto Sans" w:eastAsia="Noto Sans" w:cs="Noto Sans"/>
                <w:b w:val="0"/>
                <w:color w:val="18212B"/>
                <w:sz w:val="16"/>
              </w:rPr>
              <w:t xml:space="preserve">accuracy</w:t>
            </w:r>
          </w:p>
        </w:tc>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EEF4F8" w:val="clear"/>
          </w:tcPr>
          <w:p>
            <w:pPr>
              <w:pStyle w:val="Compact"/>
              <w:spacing w:before="30" w:after="30" w:line="240" w:lineRule="auto"/>
              <w:jc w:val="left"/>
            </w:pPr>
            <w:r>
              <w:rPr>
                <w:rFonts w:ascii="Noto Sans" w:hAnsi="Noto Sans" w:eastAsia="Noto Sans" w:cs="Noto Sans"/>
                <w:b w:val="0"/>
                <w:color w:val="18212B"/>
                <w:sz w:val="16"/>
              </w:rPr>
              <w:t xml:space="preserve">overall correct fraction</w:t>
            </w:r>
          </w:p>
        </w:tc>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EEF4F8" w:val="clear"/>
          </w:tcPr>
          <w:p>
            <w:pPr>
              <w:pStyle w:val="Compact"/>
              <w:spacing w:before="30" w:after="30" w:line="240" w:lineRule="auto"/>
              <w:jc w:val="left"/>
            </w:pPr>
            <w:r>
              <w:rPr>
                <w:rFonts w:ascii="Noto Sans" w:hAnsi="Noto Sans" w:eastAsia="Noto Sans" w:cs="Noto Sans"/>
                <w:b w:val="0"/>
                <w:color w:val="18212B"/>
                <w:sz w:val="16"/>
              </w:rPr>
              <w:t xml:space="preserve">misleading under imbalance</w:t>
            </w:r>
          </w:p>
        </w:tc>
      </w:tr>
      <w:tr>
        <w:trPr>
          <w:cantSplit/>
        </w:trPr>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FFFFFF" w:val="clear"/>
          </w:tcPr>
          <w:p>
            <w:pPr>
              <w:pStyle w:val="Compact"/>
              <w:spacing w:before="30" w:after="30" w:line="240" w:lineRule="auto"/>
              <w:jc w:val="left"/>
            </w:pPr>
            <w:r>
              <w:rPr>
                <w:rFonts w:ascii="Noto Sans" w:hAnsi="Noto Sans" w:eastAsia="Noto Sans" w:cs="Noto Sans"/>
                <w:b w:val="0"/>
                <w:color w:val="18212B"/>
                <w:sz w:val="16"/>
              </w:rPr>
              <w:t xml:space="preserve">precision</w:t>
            </w:r>
          </w:p>
        </w:tc>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FFFFFF" w:val="clear"/>
          </w:tcPr>
          <w:p>
            <w:pPr>
              <w:pStyle w:val="Compact"/>
              <w:spacing w:before="30" w:after="30" w:line="240" w:lineRule="auto"/>
              <w:jc w:val="left"/>
            </w:pPr>
            <w:r>
              <w:rPr>
                <w:rFonts w:ascii="Noto Sans" w:hAnsi="Noto Sans" w:eastAsia="Noto Sans" w:cs="Noto Sans"/>
                <w:b w:val="0"/>
                <w:color w:val="18212B"/>
                <w:sz w:val="16"/>
              </w:rPr>
              <w:t xml:space="preserve">reliability of positive predictions</w:t>
            </w:r>
          </w:p>
        </w:tc>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FFFFFF" w:val="clear"/>
          </w:tcPr>
          <w:p>
            <w:pPr>
              <w:pStyle w:val="Compact"/>
              <w:spacing w:before="30" w:after="30" w:line="240" w:lineRule="auto"/>
              <w:jc w:val="left"/>
            </w:pPr>
            <w:r>
              <w:rPr>
                <w:rFonts w:ascii="Noto Sans" w:hAnsi="Noto Sans" w:eastAsia="Noto Sans" w:cs="Noto Sans"/>
                <w:b w:val="0"/>
                <w:color w:val="18212B"/>
                <w:sz w:val="16"/>
              </w:rPr>
              <w:t xml:space="preserve">depends on threshold/prevalence</w:t>
            </w:r>
          </w:p>
        </w:tc>
      </w:tr>
      <w:tr>
        <w:trPr>
          <w:cantSplit/>
        </w:trPr>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EEF4F8" w:val="clear"/>
          </w:tcPr>
          <w:p>
            <w:pPr>
              <w:pStyle w:val="Compact"/>
              <w:spacing w:before="30" w:after="30" w:line="240" w:lineRule="auto"/>
              <w:jc w:val="left"/>
            </w:pPr>
            <w:r>
              <w:rPr>
                <w:rFonts w:ascii="Noto Sans" w:hAnsi="Noto Sans" w:eastAsia="Noto Sans" w:cs="Noto Sans"/>
                <w:b w:val="0"/>
                <w:color w:val="18212B"/>
                <w:sz w:val="16"/>
              </w:rPr>
              <w:t xml:space="preserve">recall</w:t>
            </w:r>
          </w:p>
        </w:tc>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EEF4F8" w:val="clear"/>
          </w:tcPr>
          <w:p>
            <w:pPr>
              <w:pStyle w:val="Compact"/>
              <w:spacing w:before="30" w:after="30" w:line="240" w:lineRule="auto"/>
              <w:jc w:val="left"/>
            </w:pPr>
            <w:r>
              <w:rPr>
                <w:rFonts w:ascii="Noto Sans" w:hAnsi="Noto Sans" w:eastAsia="Noto Sans" w:cs="Noto Sans"/>
                <w:b w:val="0"/>
                <w:color w:val="18212B"/>
                <w:sz w:val="16"/>
              </w:rPr>
              <w:t xml:space="preserve">coverage of actual positives</w:t>
            </w:r>
          </w:p>
        </w:tc>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EEF4F8" w:val="clear"/>
          </w:tcPr>
          <w:p>
            <w:pPr>
              <w:pStyle w:val="Compact"/>
              <w:spacing w:before="30" w:after="30" w:line="240" w:lineRule="auto"/>
              <w:jc w:val="left"/>
            </w:pPr>
            <w:r>
              <w:rPr>
                <w:rFonts w:ascii="Noto Sans" w:hAnsi="Noto Sans" w:eastAsia="Noto Sans" w:cs="Noto Sans"/>
                <w:b w:val="0"/>
                <w:color w:val="18212B"/>
                <w:sz w:val="16"/>
              </w:rPr>
              <w:t xml:space="preserve">can increase false positives</w:t>
            </w:r>
          </w:p>
        </w:tc>
      </w:tr>
      <w:tr>
        <w:trPr>
          <w:cantSplit/>
        </w:trPr>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FFFFFF" w:val="clear"/>
          </w:tcPr>
          <w:p>
            <w:pPr>
              <w:pStyle w:val="Compact"/>
              <w:spacing w:before="30" w:after="30" w:line="240" w:lineRule="auto"/>
              <w:jc w:val="left"/>
            </w:pPr>
            <w:r>
              <w:rPr>
                <w:rFonts w:ascii="Noto Sans" w:hAnsi="Noto Sans" w:eastAsia="Noto Sans" w:cs="Noto Sans"/>
                <w:b w:val="0"/>
                <w:color w:val="18212B"/>
                <w:sz w:val="16"/>
              </w:rPr>
              <w:t xml:space="preserve">ROC-AUC</w:t>
            </w:r>
          </w:p>
        </w:tc>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FFFFFF" w:val="clear"/>
          </w:tcPr>
          <w:p>
            <w:pPr>
              <w:pStyle w:val="Compact"/>
              <w:spacing w:before="30" w:after="30" w:line="240" w:lineRule="auto"/>
              <w:jc w:val="left"/>
            </w:pPr>
            <w:r>
              <w:rPr>
                <w:rFonts w:ascii="Noto Sans" w:hAnsi="Noto Sans" w:eastAsia="Noto Sans" w:cs="Noto Sans"/>
                <w:b w:val="0"/>
                <w:color w:val="18212B"/>
                <w:sz w:val="16"/>
              </w:rPr>
              <w:t xml:space="preserve">ranking across thresholds</w:t>
            </w:r>
          </w:p>
        </w:tc>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FFFFFF" w:val="clear"/>
          </w:tcPr>
          <w:p>
            <w:pPr>
              <w:pStyle w:val="Compact"/>
              <w:spacing w:before="30" w:after="30" w:line="240" w:lineRule="auto"/>
              <w:jc w:val="left"/>
            </w:pPr>
            <w:r>
              <w:rPr>
                <w:rFonts w:ascii="Noto Sans" w:hAnsi="Noto Sans" w:eastAsia="Noto Sans" w:cs="Noto Sans"/>
                <w:b w:val="0"/>
                <w:color w:val="18212B"/>
                <w:sz w:val="16"/>
              </w:rPr>
              <w:t xml:space="preserve">can obscure class imbalance</w:t>
            </w:r>
          </w:p>
        </w:tc>
      </w:tr>
    </w:tbl>
    <w:p>
      <w:pPr>
        <w:pStyle w:val="BlockText"/>
        <w:shd w:fill="EAF7F5" w:val="clear"/>
        <w:pBdr>
          <w:left w:val="single" w:sz="18" w:space="8" w:color="008F87"/>
        </w:pBdr>
      </w:pPr>
      <w:r>
        <w:rPr>
          <w:b/>
          <w:bCs/>
        </w:rPr>
        <w:t xml:space="preserve">Why This Matters</w:t>
      </w:r>
    </w:p>
    <w:p>
      <w:pPr>
        <w:pStyle w:val="BlockText"/>
        <w:shd w:fill="EAF7F5" w:val="clear"/>
        <w:pBdr>
          <w:left w:val="single" w:sz="18" w:space="8" w:color="008F87"/>
        </w:pBdr>
      </w:pPr>
      <w:r>
        <w:t xml:space="preserve">End-to-end projects teach that data preparation, baselines, evaluation design, and error analysis matter as much as the estimator.</w:t>
      </w:r>
    </w:p>
    <w:p>
      <w:pPr>
        <w:pStyle w:val="BlockText"/>
        <w:shd w:fill="EAF7F5" w:val="clear"/>
        <w:pBdr>
          <w:left w:val="single" w:sz="18" w:space="8" w:color="008F87"/>
        </w:pBdr>
      </w:pPr>
      <w:r>
        <w:rPr>
          <w:b/>
          <w:bCs/>
        </w:rPr>
        <w:t xml:space="preserve">Common Mistake</w:t>
      </w:r>
    </w:p>
    <w:p>
      <w:pPr>
        <w:pStyle w:val="BlockText"/>
        <w:shd w:fill="EAF7F5" w:val="clear"/>
        <w:pBdr>
          <w:left w:val="single" w:sz="18" w:space="8" w:color="008F87"/>
        </w:pBdr>
      </w:pPr>
      <w:r>
        <w:t xml:space="preserve">Reporting only the highest cross-validation score after trying many models and feature sets without preserving a final test set.</w:t>
      </w:r>
    </w:p>
    <w:p>
      <w:pPr>
        <w:pStyle w:val="BlockText"/>
        <w:shd w:fill="EAF7F5" w:val="clear"/>
        <w:pBdr>
          <w:left w:val="single" w:sz="18" w:space="8" w:color="008F87"/>
        </w:pBdr>
      </w:pPr>
      <w:r>
        <w:rPr>
          <w:b/>
          <w:bCs/>
        </w:rPr>
        <w:t xml:space="preserve">Ceteris LAB Tip</w:t>
      </w:r>
    </w:p>
    <w:p>
      <w:pPr>
        <w:pStyle w:val="BlockText"/>
        <w:shd w:fill="EAF7F5" w:val="clear"/>
        <w:pBdr>
          <w:left w:val="single" w:sz="18" w:space="8" w:color="008F87"/>
        </w:pBdr>
      </w:pPr>
      <w:r>
        <w:t xml:space="preserve">Keep a model comparison table that includes baseline, preprocessing, split, metric, and uncertainty.</w:t>
      </w:r>
    </w:p>
    <w:p>
      <w:pPr>
        <w:pStyle w:val="BlockText"/>
        <w:shd w:fill="EAF7F5" w:val="clear"/>
        <w:pBdr>
          <w:left w:val="single" w:sz="18" w:space="8" w:color="008F87"/>
        </w:pBdr>
      </w:pPr>
      <w:r>
        <w:rPr>
          <w:b/>
          <w:bCs/>
        </w:rPr>
        <w:t xml:space="preserve">R-to-Python / Source Bridge</w:t>
      </w:r>
    </w:p>
    <w:p>
      <w:pPr>
        <w:pStyle w:val="BlockText"/>
        <w:shd w:fill="EAF7F5" w:val="clear"/>
        <w:pBdr>
          <w:left w:val="single" w:sz="18" w:space="8" w:color="008F87"/>
        </w:pBdr>
      </w:pPr>
      <w:r>
        <w:t xml:space="preserve">These projects adapt the Tehran housing and Titanic notebooks from IntroAI sessions 4 to 6 under the archive’s CC BY licence, with new pipelines, leakage controls, and interpretation</w:t>
      </w:r>
      <w:r>
        <w:t xml:space="preserve"> </w:t>
      </w:r>
      <w:r>
        <w:t xml:space="preserve">(Sharifi-Zarchi and contributors 2026)</w:t>
      </w:r>
      <w:r>
        <w:t xml:space="preserve">.</w:t>
      </w:r>
    </w:p>
    <w:bookmarkEnd w:id="624"/>
    <w:bookmarkStart w:id="625" w:name="guided-practice-28"/>
    <w:p>
      <w:pPr>
        <w:pStyle w:val="Heading2"/>
        <w:keepNext/>
      </w:pPr>
      <w:r>
        <w:t>48.9</w:t>
        <w:tab/>
        <w:t>Guided practice</w:t>
      </w:r>
    </w:p>
    <w:p>
      <w:pPr>
        <w:pStyle w:val="Compact"/>
        <w:numPr>
          <w:ilvl w:val="0"/>
          <w:numId w:val="1116"/>
        </w:numPr>
      </w:pPr>
      <w:r>
        <w:t xml:space="preserve">Re-run Demonstration 29.1 and change one input while keeping the analytical question fixed.</w:t>
      </w:r>
    </w:p>
    <w:p>
      <w:pPr>
        <w:pStyle w:val="Compact"/>
        <w:numPr>
          <w:ilvl w:val="0"/>
          <w:numId w:val="1116"/>
        </w:numPr>
      </w:pPr>
      <w:r>
        <w:t xml:space="preserve">Explain in two sentences how the output supports, or fails to support, the chapter opening question.</w:t>
      </w:r>
    </w:p>
    <w:p>
      <w:pPr>
        <w:pStyle w:val="Compact"/>
        <w:numPr>
          <w:ilvl w:val="0"/>
          <w:numId w:val="1116"/>
        </w:numPr>
      </w:pPr>
      <w:r>
        <w:t xml:space="preserve">Add one validation check that would prevent a plausible error.</w:t>
      </w:r>
    </w:p>
    <w:bookmarkEnd w:id="625"/>
    <w:bookmarkStart w:id="626" w:name="exercises-28"/>
    <w:p>
      <w:pPr>
        <w:pStyle w:val="Heading2"/>
        <w:keepNext/>
      </w:pPr>
      <w:r>
        <w:t>48.10</w:t>
        <w:tab/>
        <w:t>Exercises</w:t>
      </w:r>
    </w:p>
    <w:p>
      <w:pPr>
        <w:pStyle w:val="Compact"/>
        <w:numPr>
          <w:ilvl w:val="0"/>
          <w:numId w:val="1117"/>
        </w:numPr>
      </w:pPr>
      <w:r>
        <w:t xml:space="preserve">Add categorical features to the housing model.</w:t>
      </w:r>
    </w:p>
    <w:p>
      <w:pPr>
        <w:pStyle w:val="Compact"/>
        <w:numPr>
          <w:ilvl w:val="0"/>
          <w:numId w:val="1117"/>
        </w:numPr>
      </w:pPr>
      <w:r>
        <w:t xml:space="preserve">Compare linear, tree, and random-forest regressors.</w:t>
      </w:r>
    </w:p>
    <w:p>
      <w:pPr>
        <w:pStyle w:val="Compact"/>
        <w:numPr>
          <w:ilvl w:val="0"/>
          <w:numId w:val="1117"/>
        </w:numPr>
      </w:pPr>
      <w:r>
        <w:t xml:space="preserve">Build a Titanic confusion matrix.</w:t>
      </w:r>
    </w:p>
    <w:p>
      <w:pPr>
        <w:pStyle w:val="Compact"/>
        <w:numPr>
          <w:ilvl w:val="0"/>
          <w:numId w:val="1117"/>
        </w:numPr>
      </w:pPr>
      <w:r>
        <w:t xml:space="preserve">Move the classification threshold and trace precision-recall trade-offs.</w:t>
      </w:r>
    </w:p>
    <w:bookmarkEnd w:id="626"/>
    <w:bookmarkStart w:id="627" w:name="chapter-summary-28"/>
    <w:p>
      <w:pPr>
        <w:pStyle w:val="Heading2"/>
        <w:keepNext/>
      </w:pPr>
      <w:r>
        <w:t>48.11</w:t>
        <w:tab/>
        <w:t>Chapter summary</w:t>
      </w:r>
    </w:p>
    <w:p>
      <w:pPr>
        <w:pStyle w:val="Compact"/>
        <w:numPr>
          <w:ilvl w:val="0"/>
          <w:numId w:val="1118"/>
        </w:numPr>
      </w:pPr>
      <w:r>
        <w:t xml:space="preserve">Housing regression demonstrates continuous prediction and residual analysis.</w:t>
      </w:r>
    </w:p>
    <w:p>
      <w:pPr>
        <w:pStyle w:val="Compact"/>
        <w:numPr>
          <w:ilvl w:val="0"/>
          <w:numId w:val="1118"/>
        </w:numPr>
      </w:pPr>
      <w:r>
        <w:t xml:space="preserve">Titanic demonstrates classification, imbalance, and threshold metrics.</w:t>
      </w:r>
    </w:p>
    <w:p>
      <w:pPr>
        <w:pStyle w:val="Compact"/>
        <w:numPr>
          <w:ilvl w:val="0"/>
          <w:numId w:val="1118"/>
        </w:numPr>
      </w:pPr>
      <w:r>
        <w:t xml:space="preserve">Baselines and held-out evaluation make improvement interpretable.</w:t>
      </w:r>
    </w:p>
    <w:bookmarkEnd w:id="627"/>
    <w:bookmarkStart w:id="628" w:name="key-python-commands-28"/>
    <w:p>
      <w:pPr>
        <w:pStyle w:val="Heading2"/>
        <w:keepNext/>
      </w:pPr>
      <w:r>
        <w:t>48.12</w:t>
        <w:tab/>
        <w:t>Key Python commands</w:t>
      </w:r>
    </w:p>
    <w:p>
      <w:pPr>
        <w:pStyle w:val="SourceCode"/>
        <w:shd w:fill="F6F8FA" w:val="clear"/>
      </w:pPr>
      <w:r>
        <w:rPr>
          <w:rStyle w:val="ImportTok"/>
        </w:rPr>
        <w:t xml:space="preserve">import</w:t>
      </w:r>
      <w:r>
        <w:rPr>
          <w:rStyle w:val="NormalTok"/>
        </w:rPr>
        <w:t xml:space="preserve"> pandas </w:t>
      </w:r>
      <w:r>
        <w:rPr>
          <w:rStyle w:val="ImportTok"/>
        </w:rPr>
        <w:t xml:space="preserve">as</w:t>
      </w:r>
      <w:r>
        <w:rPr>
          <w:rStyle w:val="NormalTok"/>
        </w:rPr>
        <w:t xml:space="preserve"> pd</w:t>
      </w:r>
      <w:r>
        <w:br/>
      </w:r>
      <w:r>
        <w:rPr>
          <w:rStyle w:val="ImportTok"/>
        </w:rPr>
        <w:t xml:space="preserve">from</w:t>
      </w:r>
      <w:r>
        <w:rPr>
          <w:rStyle w:val="NormalTok"/>
        </w:rPr>
        <w:t xml:space="preserve"> sklearn.linear_model </w:t>
      </w:r>
      <w:r>
        <w:rPr>
          <w:rStyle w:val="ImportTok"/>
        </w:rPr>
        <w:t xml:space="preserve">import</w:t>
      </w:r>
      <w:r>
        <w:rPr>
          <w:rStyle w:val="NormalTok"/>
        </w:rPr>
        <w:t xml:space="preserve"> LinearRegression</w:t>
      </w:r>
      <w:r>
        <w:br/>
      </w:r>
      <w:r>
        <w:rPr>
          <w:rStyle w:val="NormalTok"/>
        </w:rPr>
        <w:t xml:space="preserve">houses </w:t>
      </w:r>
      <w:r>
        <w:rPr>
          <w:rStyle w:val="OperatorTok"/>
        </w:rPr>
        <w:t xml:space="preserve">=</w:t>
      </w:r>
      <w:r>
        <w:rPr>
          <w:rStyle w:val="NormalTok"/>
        </w:rPr>
        <w:t xml:space="preserve"> pd.read_csv(</w:t>
      </w:r>
      <w:r>
        <w:rPr>
          <w:rStyle w:val="StringTok"/>
        </w:rPr>
        <w:t xml:space="preserve">"data/frozen/tehran_house_prices.csv"</w:t>
      </w:r>
      <w:r>
        <w:rPr>
          <w:rStyle w:val="NormalTok"/>
        </w:rPr>
        <w:t xml:space="preserve">)</w:t>
      </w:r>
      <w:r>
        <w:br/>
      </w:r>
      <w:r>
        <w:rPr>
          <w:rStyle w:val="NormalTok"/>
        </w:rPr>
        <w:t xml:space="preserve">area_col </w:t>
      </w:r>
      <w:r>
        <w:rPr>
          <w:rStyle w:val="OperatorTok"/>
        </w:rPr>
        <w:t xml:space="preserve">=</w:t>
      </w:r>
      <w:r>
        <w:rPr>
          <w:rStyle w:val="NormalTok"/>
        </w:rPr>
        <w:t xml:space="preserve"> </w:t>
      </w:r>
      <w:r>
        <w:rPr>
          <w:rStyle w:val="BuiltInTok"/>
        </w:rPr>
        <w:t xml:space="preserve">next</w:t>
      </w:r>
      <w:r>
        <w:rPr>
          <w:rStyle w:val="NormalTok"/>
        </w:rPr>
        <w:t xml:space="preserve">(c </w:t>
      </w:r>
      <w:r>
        <w:rPr>
          <w:rStyle w:val="ControlFlowTok"/>
        </w:rPr>
        <w:t xml:space="preserve">for</w:t>
      </w:r>
      <w:r>
        <w:rPr>
          <w:rStyle w:val="NormalTok"/>
        </w:rPr>
        <w:t xml:space="preserve"> c </w:t>
      </w:r>
      <w:r>
        <w:rPr>
          <w:rStyle w:val="KeywordTok"/>
        </w:rPr>
        <w:t xml:space="preserve">in</w:t>
      </w:r>
      <w:r>
        <w:rPr>
          <w:rStyle w:val="NormalTok"/>
        </w:rPr>
        <w:t xml:space="preserve"> houses.columns </w:t>
      </w:r>
      <w:r>
        <w:rPr>
          <w:rStyle w:val="ControlFlowTok"/>
        </w:rPr>
        <w:t xml:space="preserve">if</w:t>
      </w:r>
      <w:r>
        <w:rPr>
          <w:rStyle w:val="NormalTok"/>
        </w:rPr>
        <w:t xml:space="preserve"> c.lower() </w:t>
      </w:r>
      <w:r>
        <w:rPr>
          <w:rStyle w:val="OperatorTok"/>
        </w:rPr>
        <w:t xml:space="preserve">==</w:t>
      </w:r>
      <w:r>
        <w:rPr>
          <w:rStyle w:val="NormalTok"/>
        </w:rPr>
        <w:t xml:space="preserve"> </w:t>
      </w:r>
      <w:r>
        <w:rPr>
          <w:rStyle w:val="StringTok"/>
        </w:rPr>
        <w:t xml:space="preserve">"area"</w:t>
      </w:r>
      <w:r>
        <w:rPr>
          <w:rStyle w:val="NormalTok"/>
        </w:rPr>
        <w:t xml:space="preserve">)</w:t>
      </w:r>
      <w:r>
        <w:br/>
      </w:r>
      <w:r>
        <w:rPr>
          <w:rStyle w:val="NormalTok"/>
        </w:rPr>
        <w:t xml:space="preserve">price_col </w:t>
      </w:r>
      <w:r>
        <w:rPr>
          <w:rStyle w:val="OperatorTok"/>
        </w:rPr>
        <w:t xml:space="preserve">=</w:t>
      </w:r>
      <w:r>
        <w:rPr>
          <w:rStyle w:val="NormalTok"/>
        </w:rPr>
        <w:t xml:space="preserve"> </w:t>
      </w:r>
      <w:r>
        <w:rPr>
          <w:rStyle w:val="BuiltInTok"/>
        </w:rPr>
        <w:t xml:space="preserve">next</w:t>
      </w:r>
      <w:r>
        <w:rPr>
          <w:rStyle w:val="NormalTok"/>
        </w:rPr>
        <w:t xml:space="preserve">(c </w:t>
      </w:r>
      <w:r>
        <w:rPr>
          <w:rStyle w:val="ControlFlowTok"/>
        </w:rPr>
        <w:t xml:space="preserve">for</w:t>
      </w:r>
      <w:r>
        <w:rPr>
          <w:rStyle w:val="NormalTok"/>
        </w:rPr>
        <w:t xml:space="preserve"> c </w:t>
      </w:r>
      <w:r>
        <w:rPr>
          <w:rStyle w:val="KeywordTok"/>
        </w:rPr>
        <w:t xml:space="preserve">in</w:t>
      </w:r>
      <w:r>
        <w:rPr>
          <w:rStyle w:val="NormalTok"/>
        </w:rPr>
        <w:t xml:space="preserve"> houses.columns </w:t>
      </w:r>
      <w:r>
        <w:rPr>
          <w:rStyle w:val="ControlFlowTok"/>
        </w:rPr>
        <w:t xml:space="preserve">if</w:t>
      </w:r>
      <w:r>
        <w:rPr>
          <w:rStyle w:val="NormalTok"/>
        </w:rPr>
        <w:t xml:space="preserve"> </w:t>
      </w:r>
      <w:r>
        <w:rPr>
          <w:rStyle w:val="StringTok"/>
        </w:rPr>
        <w:t xml:space="preserve">"price"</w:t>
      </w:r>
      <w:r>
        <w:rPr>
          <w:rStyle w:val="NormalTok"/>
        </w:rPr>
        <w:t xml:space="preserve"> </w:t>
      </w:r>
      <w:r>
        <w:rPr>
          <w:rStyle w:val="KeywordTok"/>
        </w:rPr>
        <w:t xml:space="preserve">in</w:t>
      </w:r>
      <w:r>
        <w:rPr>
          <w:rStyle w:val="NormalTok"/>
        </w:rPr>
        <w:t xml:space="preserve"> c.lower())</w:t>
      </w:r>
      <w:r>
        <w:br/>
      </w:r>
      <w:r>
        <w:rPr>
          <w:rStyle w:val="NormalTok"/>
        </w:rPr>
        <w:t xml:space="preserve">clean </w:t>
      </w:r>
      <w:r>
        <w:rPr>
          <w:rStyle w:val="OperatorTok"/>
        </w:rPr>
        <w:t xml:space="preserve">=</w:t>
      </w:r>
      <w:r>
        <w:rPr>
          <w:rStyle w:val="NormalTok"/>
        </w:rPr>
        <w:t xml:space="preserve"> houses[[area_col, price_col]].</w:t>
      </w:r>
      <w:r>
        <w:rPr>
          <w:rStyle w:val="BuiltInTok"/>
        </w:rPr>
        <w:t xml:space="preserve">apply</w:t>
      </w:r>
      <w:r>
        <w:rPr>
          <w:rStyle w:val="NormalTok"/>
        </w:rPr>
        <w:t xml:space="preserve">(pd.to_numeric, errors</w:t>
      </w:r>
      <w:r>
        <w:rPr>
          <w:rStyle w:val="OperatorTok"/>
        </w:rPr>
        <w:t xml:space="preserve">=</w:t>
      </w:r>
      <w:r>
        <w:rPr>
          <w:rStyle w:val="StringTok"/>
        </w:rPr>
        <w:t xml:space="preserve">"coerce"</w:t>
      </w:r>
      <w:r>
        <w:rPr>
          <w:rStyle w:val="NormalTok"/>
        </w:rPr>
        <w:t xml:space="preserve">).dropna()</w:t>
      </w:r>
    </w:p>
    <w:bookmarkEnd w:id="628"/>
    <w:bookmarkEnd w:id="629"/>
    <w:bookmarkStart w:id="650" w:name="neural-networks-and-deep-learning"/>
    <w:p>
      <w:pPr>
        <w:pStyle w:val="Heading1"/>
        <w:keepNext/>
        <w:pageBreakBefore/>
      </w:pPr>
      <w:r>
        <w:t>49</w:t>
        <w:tab/>
        <w:t>Neural Networks and Deep Learning for Economic Data</w:t>
      </w:r>
    </w:p>
    <w:p>
      <w:pPr>
        <w:pStyle w:val="FirstParagraph"/>
      </w:pPr>
      <w:r>
        <w:rPr>
          <w:i/>
          <w:iCs/>
        </w:rPr>
        <w:t xml:space="preserve">Opening question:</w:t>
      </w:r>
      <w:r>
        <w:t xml:space="preserve"> </w:t>
      </w:r>
      <w:r>
        <w:rPr>
          <w:b/>
          <w:bCs/>
        </w:rPr>
        <w:t xml:space="preserve">How does a stack of simple differentiable units learn a nonlinear mapping, and how do we know it has not merely memorized the training sample?</w:t>
      </w:r>
    </w:p>
    <w:bookmarkStart w:id="630" w:name="learning-objectives-29"/>
    <w:p>
      <w:pPr>
        <w:pStyle w:val="Heading2"/>
        <w:keepNext/>
      </w:pPr>
      <w:r>
        <w:t>49.1</w:t>
        <w:tab/>
        <w:t>Learning objectives</w:t>
      </w:r>
    </w:p>
    <w:p>
      <w:pPr>
        <w:pStyle w:val="Compact"/>
        <w:numPr>
          <w:ilvl w:val="0"/>
          <w:numId w:val="1119"/>
        </w:numPr>
      </w:pPr>
      <w:r>
        <w:t xml:space="preserve">Explain neurons, activations, layers, and forward passes.</w:t>
      </w:r>
    </w:p>
    <w:p>
      <w:pPr>
        <w:pStyle w:val="Compact"/>
        <w:numPr>
          <w:ilvl w:val="0"/>
          <w:numId w:val="1119"/>
        </w:numPr>
      </w:pPr>
      <w:r>
        <w:t xml:space="preserve">Describe backpropagation and optimization.</w:t>
      </w:r>
    </w:p>
    <w:p>
      <w:pPr>
        <w:pStyle w:val="Compact"/>
        <w:numPr>
          <w:ilvl w:val="0"/>
          <w:numId w:val="1119"/>
        </w:numPr>
      </w:pPr>
      <w:r>
        <w:t xml:space="preserve">Train a small PyTorch network.</w:t>
      </w:r>
    </w:p>
    <w:p>
      <w:pPr>
        <w:pStyle w:val="Compact"/>
        <w:numPr>
          <w:ilvl w:val="0"/>
          <w:numId w:val="1119"/>
        </w:numPr>
      </w:pPr>
      <w:r>
        <w:t xml:space="preserve">Use learning curves, regularization, and validation.</w:t>
      </w:r>
    </w:p>
    <w:p>
      <w:pPr>
        <w:pStyle w:val="FirstParagraph"/>
      </w:pPr>
      <w:r>
        <w:rPr>
          <w:b/>
          <w:bCs/>
        </w:rPr>
        <w:t xml:space="preserve">Prerequisites:</w:t>
      </w:r>
      <w:r>
        <w:t xml:space="preserve"> </w:t>
      </w:r>
      <w:r>
        <w:t xml:space="preserve">Chapters 8, 14, and 28.</w:t>
      </w:r>
    </w:p>
    <w:p>
      <w:pPr>
        <w:pStyle w:val="BodyText"/>
      </w:pPr>
      <w:r>
        <w:rPr>
          <w:b/>
          <w:bCs/>
        </w:rPr>
        <w:t xml:space="preserve">Key terms:</w:t>
      </w:r>
      <w:r>
        <w:t xml:space="preserve"> </w:t>
      </w:r>
      <w:r>
        <w:t xml:space="preserve">neuron, activation, forward pass, backpropagation, epoch, regularization.</w:t>
      </w:r>
    </w:p>
    <w:bookmarkEnd w:id="630"/>
    <w:bookmarkStart w:id="631" w:name="X78e858f5ed65c361640c050e14bd4b4a990e4d2"/>
    <w:p>
      <w:pPr>
        <w:pStyle w:val="Heading2"/>
        <w:keepNext/>
      </w:pPr>
      <w:r>
        <w:t>49.2</w:t>
        <w:tab/>
        <w:t>A neural network composes transformations</w:t>
      </w:r>
    </w:p>
    <w:p>
      <w:pPr>
        <w:pStyle w:val="FirstParagraph"/>
      </w:pPr>
      <w:r>
        <w:t xml:space="preserve">A neuron forms a weighted sum of inputs, adds a bias, and applies an activation function. A layer transforms a vector into another representation; multiple layers compose these transformations into a flexible nonlinear function. Without nonlinear activations, stacked linear layers collapse into one linear mapping. ReLU is common because it is simple and supports gradient-based optimization, while output activations depend on the task.</w:t>
      </w:r>
    </w:p>
    <w:bookmarkEnd w:id="631"/>
    <w:bookmarkStart w:id="632" w:name="X35d274df7128365af85eb0a7978019146af6bf0"/>
    <w:p>
      <w:pPr>
        <w:pStyle w:val="Heading2"/>
        <w:keepNext/>
      </w:pPr>
      <w:r>
        <w:t>49.3</w:t>
        <w:tab/>
        <w:t>Backpropagation is organized chain-rule accounting</w:t>
      </w:r>
    </w:p>
    <w:p>
      <w:pPr>
        <w:pStyle w:val="FirstParagraph"/>
      </w:pPr>
      <w:r>
        <w:t xml:space="preserve">A forward pass computes predictions and loss. Backpropagation applies the chain rule from the loss back through each operation to calculate parameter gradients. An optimizer updates weights. Batches approximate the full-data gradient, and epochs count passes through the training data. Modern frameworks automate derivatives, but shape, scale, target coding, and loss selection remain human responsibilities</w:t>
      </w:r>
      <w:r>
        <w:t xml:space="preserve"> </w:t>
      </w:r>
      <w:r>
        <w:t xml:space="preserve">(PyTorch Contributors 2026; Goodfellow, Bengio, and Courville 2016)</w:t>
      </w:r>
      <w:r>
        <w:t xml:space="preserve">.</w:t>
      </w:r>
    </w:p>
    <w:bookmarkEnd w:id="632"/>
    <w:bookmarkStart w:id="633" w:name="Xcb812dbbaa2c5c1a229770ea68b6b2c18d90a67"/>
    <w:p>
      <w:pPr>
        <w:pStyle w:val="Heading2"/>
        <w:keepNext/>
      </w:pPr>
      <w:r>
        <w:t>49.4</w:t>
        <w:tab/>
        <w:t>Learning curves reveal optimization and generalization</w:t>
      </w:r>
    </w:p>
    <w:p>
      <w:pPr>
        <w:pStyle w:val="FirstParagraph"/>
      </w:pPr>
      <w:r>
        <w:t xml:space="preserve">Training loss should generally fall, but validation loss determines whether performance transfers. A widening gap can indicate overfitting. Dropout, weight decay, early stopping, data augmentation, and simpler architectures can help. Deep models are not automatically superior on small tabular economic data, where linear or tree-based models often provide stronger baselines and clearer diagnostics.</w:t>
      </w:r>
    </w:p>
    <w:bookmarkEnd w:id="633"/>
    <w:bookmarkStart w:id="634" w:name="core-equations-16"/>
    <w:p>
      <w:pPr>
        <w:pStyle w:val="Heading2"/>
        <w:keepNext/>
      </w:pPr>
      <w:r>
        <w:t>49.5</w:t>
        <w:tab/>
        <w:t>Core equations</w:t>
      </w:r>
    </w:p>
    <w:p>
      <w:pPr>
        <w:pStyle w:val="FirstParagraph"/>
      </w:pPr>
      <w:r>
        <w:rPr>
          <w:b/>
          <w:bCs/>
        </w:rPr>
        <w:t xml:space="preserve">Neuron</w:t>
      </w:r>
    </w:p>
    <w:p>
      <w:pPr>
        <w:pStyle w:val="BodyText"/>
      </w:pPr>
      <m:oMathPara>
        <m:oMathParaPr>
          <m:jc m:val="center"/>
        </m:oMathParaPr>
        <m:oMath>
          <m:r>
            <m:t>h</m:t>
          </m:r>
          <m:r>
            <m:rPr>
              <m:sty m:val="p"/>
            </m:rPr>
            <m:t>=</m:t>
          </m:r>
          <m:r>
            <m:t>ϕ</m:t>
          </m:r>
          <m:d>
            <m:dPr>
              <m:begChr m:val="("/>
              <m:endChr m:val=")"/>
              <m:sepChr m:val=""/>
              <m:grow/>
            </m:dPr>
            <m:e>
              <m:sSup>
                <m:e>
                  <m:r>
                    <m:rPr>
                      <m:sty m:val="b"/>
                    </m:rPr>
                    <m:t>w</m:t>
                  </m:r>
                </m:e>
                <m:sup>
                  <m:r>
                    <m:rPr>
                      <m:sty m:val="p"/>
                    </m:rPr>
                    <m:t>⊤</m:t>
                  </m:r>
                </m:sup>
              </m:sSup>
              <m:r>
                <m:rPr>
                  <m:sty m:val="b"/>
                </m:rPr>
                <m:t>x</m:t>
              </m:r>
              <m:r>
                <m:rPr>
                  <m:sty m:val="p"/>
                </m:rPr>
                <m:t>+</m:t>
              </m:r>
              <m:r>
                <m:t>b</m:t>
              </m:r>
            </m:e>
          </m:d>
        </m:oMath>
      </m:oMathPara>
    </w:p>
    <w:p>
      <w:pPr>
        <w:pStyle w:val="FirstParagraph"/>
      </w:pPr>
      <w:r>
        <w:t xml:space="preserve">The activation phi transforms a weighted input plus bias.</w:t>
      </w:r>
    </w:p>
    <w:p>
      <w:pPr>
        <w:pStyle w:val="BodyText"/>
      </w:pPr>
      <w:r>
        <w:rPr>
          <w:b/>
          <w:bCs/>
        </w:rPr>
        <w:t xml:space="preserve">Cross-entropy</w:t>
      </w:r>
    </w:p>
    <w:p>
      <w:pPr>
        <w:pStyle w:val="BodyText"/>
      </w:pPr>
      <m:oMathPara>
        <m:oMathParaPr>
          <m:jc m:val="center"/>
        </m:oMathParaPr>
        <m:oMath>
          <m:r>
            <m:rPr>
              <m:sty m:val="p"/>
              <m:scr m:val="script"/>
            </m:rPr>
            <m:t>L</m:t>
          </m:r>
          <m:r>
            <m:rPr>
              <m:sty m:val="p"/>
            </m:rPr>
            <m:t>=</m:t>
          </m:r>
          <m:r>
            <m:rPr>
              <m:sty m:val="p"/>
            </m:rPr>
            <m:t>−</m:t>
          </m:r>
          <m:nary>
            <m:naryPr>
              <m:chr m:val="∑"/>
              <m:limLoc m:val="undOvr"/>
              <m:subHide m:val="off"/>
              <m:supHide m:val="on"/>
            </m:naryPr>
            <m:sub>
              <m:r>
                <m:t>k</m:t>
              </m:r>
            </m:sub>
            <m:sup>
              <m:r>
                <m:t>​</m:t>
              </m:r>
            </m:sup>
            <m:e>
              <m:sSub>
                <m:e>
                  <m:r>
                    <m:t>y</m:t>
                  </m:r>
                </m:e>
                <m:sub>
                  <m:r>
                    <m:t>k</m:t>
                  </m:r>
                </m:sub>
              </m:sSub>
            </m:e>
          </m:nary>
          <m:r>
            <m:rPr>
              <m:sty m:val="p"/>
            </m:rPr>
            <m:t>log</m:t>
          </m:r>
          <m:d>
            <m:dPr>
              <m:begChr m:val="("/>
              <m:endChr m:val=")"/>
              <m:sepChr m:val=""/>
              <m:grow/>
            </m:dPr>
            <m:e>
              <m:sSub>
                <m:e>
                  <m:acc>
                    <m:accPr>
                      <m:chr m:val="̂"/>
                    </m:accPr>
                    <m:e>
                      <m:r>
                        <m:t>p</m:t>
                      </m:r>
                    </m:e>
                  </m:acc>
                </m:e>
                <m:sub>
                  <m:r>
                    <m:t>k</m:t>
                  </m:r>
                </m:sub>
              </m:sSub>
            </m:e>
          </m:d>
        </m:oMath>
      </m:oMathPara>
    </w:p>
    <w:p>
      <w:pPr>
        <w:pStyle w:val="FirstParagraph"/>
      </w:pPr>
      <w:r>
        <w:t xml:space="preserve">Classification loss penalizes low predicted probability for the observed class.</w:t>
      </w:r>
    </w:p>
    <w:bookmarkEnd w:id="634"/>
    <w:bookmarkStart w:id="637" w:name="python-demonstrations-29"/>
    <w:p>
      <w:pPr>
        <w:pStyle w:val="Heading2"/>
        <w:keepNext/>
      </w:pPr>
      <w:r>
        <w:t>49.6</w:t>
        <w:tab/>
        <w:t>Python demonstrations</w:t>
      </w:r>
    </w:p>
    <w:bookmarkStart w:id="635" w:name="X1428caa5e9a1bb196bac66bee731fa12a2193b1"/>
    <w:p>
      <w:pPr>
        <w:pStyle w:val="Heading3"/>
        <w:keepNext/>
      </w:pPr>
      <w:r>
        <w:t>49.6.1</w:t>
        <w:tab/>
        <w:t>Demonstration 30.1: A small PyTorch network</w:t>
      </w:r>
    </w:p>
    <w:p>
      <w:pPr>
        <w:pStyle w:val="SourceCode"/>
        <w:shd w:fill="F6F8FA" w:val="clear"/>
      </w:pPr>
      <w:r>
        <w:rPr>
          <w:rStyle w:val="ImportTok"/>
        </w:rPr>
        <w:t xml:space="preserve">import</w:t>
      </w:r>
      <w:r>
        <w:rPr>
          <w:rStyle w:val="NormalTok"/>
        </w:rPr>
        <w:t xml:space="preserve"> torch</w:t>
      </w:r>
      <w:r>
        <w:br/>
      </w:r>
      <w:r>
        <w:br/>
      </w:r>
      <w:r>
        <w:rPr>
          <w:rStyle w:val="NormalTok"/>
        </w:rPr>
        <w:t xml:space="preserve">torch.manual_seed(</w:t>
      </w:r>
      <w:r>
        <w:rPr>
          <w:rStyle w:val="DecValTok"/>
        </w:rPr>
        <w:t xml:space="preserve">30</w:t>
      </w:r>
      <w:r>
        <w:rPr>
          <w:rStyle w:val="NormalTok"/>
        </w:rPr>
        <w:t xml:space="preserve">)</w:t>
      </w:r>
      <w:r>
        <w:br/>
      </w:r>
      <w:r>
        <w:rPr>
          <w:rStyle w:val="NormalTok"/>
        </w:rPr>
        <w:t xml:space="preserve">X </w:t>
      </w:r>
      <w:r>
        <w:rPr>
          <w:rStyle w:val="OperatorTok"/>
        </w:rPr>
        <w:t xml:space="preserve">=</w:t>
      </w:r>
      <w:r>
        <w:rPr>
          <w:rStyle w:val="NormalTok"/>
        </w:rPr>
        <w:t xml:space="preserve"> torch.linspace(</w:t>
      </w:r>
      <w:r>
        <w:rPr>
          <w:rStyle w:val="OperatorTok"/>
        </w:rPr>
        <w:t xml:space="preserve">-</w:t>
      </w:r>
      <w:r>
        <w:rPr>
          <w:rStyle w:val="DecValTok"/>
        </w:rPr>
        <w:t xml:space="preserve">1</w:t>
      </w:r>
      <w:r>
        <w:rPr>
          <w:rStyle w:val="NormalTok"/>
        </w:rPr>
        <w:t xml:space="preserve">, </w:t>
      </w:r>
      <w:r>
        <w:rPr>
          <w:rStyle w:val="DecValTok"/>
        </w:rPr>
        <w:t xml:space="preserve">1</w:t>
      </w:r>
      <w:r>
        <w:rPr>
          <w:rStyle w:val="NormalTok"/>
        </w:rPr>
        <w:t xml:space="preserve">, </w:t>
      </w:r>
      <w:r>
        <w:rPr>
          <w:rStyle w:val="DecValTok"/>
        </w:rPr>
        <w:t xml:space="preserve">200</w:t>
      </w:r>
      <w:r>
        <w:rPr>
          <w:rStyle w:val="NormalTok"/>
        </w:rPr>
        <w:t xml:space="preserve">).reshape(</w:t>
      </w:r>
      <w:r>
        <w:rPr>
          <w:rStyle w:val="OperatorTok"/>
        </w:rPr>
        <w:t xml:space="preserve">-</w:t>
      </w:r>
      <w:r>
        <w:rPr>
          <w:rStyle w:val="DecValTok"/>
        </w:rPr>
        <w:t xml:space="preserve">1</w:t>
      </w:r>
      <w:r>
        <w:rPr>
          <w:rStyle w:val="NormalTok"/>
        </w:rPr>
        <w:t xml:space="preserve">, </w:t>
      </w:r>
      <w:r>
        <w:rPr>
          <w:rStyle w:val="DecValTok"/>
        </w:rPr>
        <w:t xml:space="preserve">1</w:t>
      </w:r>
      <w:r>
        <w:rPr>
          <w:rStyle w:val="NormalTok"/>
        </w:rPr>
        <w:t xml:space="preserve">)</w:t>
      </w:r>
      <w:r>
        <w:br/>
      </w:r>
      <w:r>
        <w:rPr>
          <w:rStyle w:val="NormalTok"/>
        </w:rPr>
        <w:t xml:space="preserve">y </w:t>
      </w:r>
      <w:r>
        <w:rPr>
          <w:rStyle w:val="OperatorTok"/>
        </w:rPr>
        <w:t xml:space="preserve">=</w:t>
      </w:r>
      <w:r>
        <w:rPr>
          <w:rStyle w:val="NormalTok"/>
        </w:rPr>
        <w:t xml:space="preserve"> </w:t>
      </w:r>
      <w:r>
        <w:rPr>
          <w:rStyle w:val="DecValTok"/>
        </w:rPr>
        <w:t xml:space="preserve">2</w:t>
      </w:r>
      <w:r>
        <w:rPr>
          <w:rStyle w:val="OperatorTok"/>
        </w:rPr>
        <w:t xml:space="preserve">*</w:t>
      </w:r>
      <w:r>
        <w:rPr>
          <w:rStyle w:val="NormalTok"/>
        </w:rPr>
        <w:t xml:space="preserve">X </w:t>
      </w:r>
      <w:r>
        <w:rPr>
          <w:rStyle w:val="OperatorTok"/>
        </w:rPr>
        <w:t xml:space="preserve">+</w:t>
      </w:r>
      <w:r>
        <w:rPr>
          <w:rStyle w:val="NormalTok"/>
        </w:rPr>
        <w:t xml:space="preserve"> </w:t>
      </w:r>
      <w:r>
        <w:rPr>
          <w:rStyle w:val="FloatTok"/>
        </w:rPr>
        <w:t xml:space="preserve">0.3</w:t>
      </w:r>
      <w:r>
        <w:rPr>
          <w:rStyle w:val="OperatorTok"/>
        </w:rPr>
        <w:t xml:space="preserve">*</w:t>
      </w:r>
      <w:r>
        <w:rPr>
          <w:rStyle w:val="NormalTok"/>
        </w:rPr>
        <w:t xml:space="preserve">torch.sin(</w:t>
      </w:r>
      <w:r>
        <w:rPr>
          <w:rStyle w:val="DecValTok"/>
        </w:rPr>
        <w:t xml:space="preserve">6</w:t>
      </w:r>
      <w:r>
        <w:rPr>
          <w:rStyle w:val="OperatorTok"/>
        </w:rPr>
        <w:t xml:space="preserve">*</w:t>
      </w:r>
      <w:r>
        <w:rPr>
          <w:rStyle w:val="NormalTok"/>
        </w:rPr>
        <w:t xml:space="preserve">X)</w:t>
      </w:r>
      <w:r>
        <w:br/>
      </w:r>
      <w:r>
        <w:rPr>
          <w:rStyle w:val="NormalTok"/>
        </w:rPr>
        <w:t xml:space="preserve">model </w:t>
      </w:r>
      <w:r>
        <w:rPr>
          <w:rStyle w:val="OperatorTok"/>
        </w:rPr>
        <w:t xml:space="preserve">=</w:t>
      </w:r>
      <w:r>
        <w:rPr>
          <w:rStyle w:val="NormalTok"/>
        </w:rPr>
        <w:t xml:space="preserve"> torch.nn.Sequential(torch.nn.Linear(</w:t>
      </w:r>
      <w:r>
        <w:rPr>
          <w:rStyle w:val="DecValTok"/>
        </w:rPr>
        <w:t xml:space="preserve">1</w:t>
      </w:r>
      <w:r>
        <w:rPr>
          <w:rStyle w:val="NormalTok"/>
        </w:rPr>
        <w:t xml:space="preserve">, </w:t>
      </w:r>
      <w:r>
        <w:rPr>
          <w:rStyle w:val="DecValTok"/>
        </w:rPr>
        <w:t xml:space="preserve">12</w:t>
      </w:r>
      <w:r>
        <w:rPr>
          <w:rStyle w:val="NormalTok"/>
        </w:rPr>
        <w:t xml:space="preserve">), torch.nn.ReLU(), torch.nn.Linear(</w:t>
      </w:r>
      <w:r>
        <w:rPr>
          <w:rStyle w:val="DecValTok"/>
        </w:rPr>
        <w:t xml:space="preserve">12</w:t>
      </w:r>
      <w:r>
        <w:rPr>
          <w:rStyle w:val="NormalTok"/>
        </w:rPr>
        <w:t xml:space="preserve">, </w:t>
      </w:r>
      <w:r>
        <w:rPr>
          <w:rStyle w:val="DecValTok"/>
        </w:rPr>
        <w:t xml:space="preserve">1</w:t>
      </w:r>
      <w:r>
        <w:rPr>
          <w:rStyle w:val="NormalTok"/>
        </w:rPr>
        <w:t xml:space="preserve">))</w:t>
      </w:r>
      <w:r>
        <w:br/>
      </w:r>
      <w:r>
        <w:rPr>
          <w:rStyle w:val="NormalTok"/>
        </w:rPr>
        <w:t xml:space="preserve">optimizer </w:t>
      </w:r>
      <w:r>
        <w:rPr>
          <w:rStyle w:val="OperatorTok"/>
        </w:rPr>
        <w:t xml:space="preserve">=</w:t>
      </w:r>
      <w:r>
        <w:rPr>
          <w:rStyle w:val="NormalTok"/>
        </w:rPr>
        <w:t xml:space="preserve"> torch.optim.Adam(model.parameters(), lr</w:t>
      </w:r>
      <w:r>
        <w:rPr>
          <w:rStyle w:val="OperatorTok"/>
        </w:rPr>
        <w:t xml:space="preserve">=</w:t>
      </w:r>
      <w:r>
        <w:rPr>
          <w:rStyle w:val="FloatTok"/>
        </w:rPr>
        <w:t xml:space="preserve">0.03</w:t>
      </w:r>
      <w:r>
        <w:rPr>
          <w:rStyle w:val="NormalTok"/>
        </w:rPr>
        <w:t xml:space="preserve">)</w:t>
      </w:r>
      <w:r>
        <w:br/>
      </w:r>
      <w:r>
        <w:rPr>
          <w:rStyle w:val="NormalTok"/>
        </w:rPr>
        <w:t xml:space="preserve">loss_fn </w:t>
      </w:r>
      <w:r>
        <w:rPr>
          <w:rStyle w:val="OperatorTok"/>
        </w:rPr>
        <w:t xml:space="preserve">=</w:t>
      </w:r>
      <w:r>
        <w:rPr>
          <w:rStyle w:val="NormalTok"/>
        </w:rPr>
        <w:t xml:space="preserve"> torch.nn.MSELoss()</w:t>
      </w:r>
      <w:r>
        <w:br/>
      </w:r>
      <w:r>
        <w:rPr>
          <w:rStyle w:val="ControlFlowTok"/>
        </w:rPr>
        <w:t xml:space="preserve">for</w:t>
      </w:r>
      <w:r>
        <w:rPr>
          <w:rStyle w:val="NormalTok"/>
        </w:rPr>
        <w:t xml:space="preserve"> _ </w:t>
      </w:r>
      <w:r>
        <w:rPr>
          <w:rStyle w:val="KeywordTok"/>
        </w:rPr>
        <w:t xml:space="preserve">in</w:t>
      </w:r>
      <w:r>
        <w:rPr>
          <w:rStyle w:val="NormalTok"/>
        </w:rPr>
        <w:t xml:space="preserve"> </w:t>
      </w:r>
      <w:r>
        <w:rPr>
          <w:rStyle w:val="BuiltInTok"/>
        </w:rPr>
        <w:t xml:space="preserve">range</w:t>
      </w:r>
      <w:r>
        <w:rPr>
          <w:rStyle w:val="NormalTok"/>
        </w:rPr>
        <w:t xml:space="preserve">(</w:t>
      </w:r>
      <w:r>
        <w:rPr>
          <w:rStyle w:val="DecValTok"/>
        </w:rPr>
        <w:t xml:space="preserve">300</w:t>
      </w:r>
      <w:r>
        <w:rPr>
          <w:rStyle w:val="NormalTok"/>
        </w:rPr>
        <w:t xml:space="preserve">):</w:t>
      </w:r>
      <w:r>
        <w:br/>
      </w:r>
      <w:r>
        <w:rPr>
          <w:rStyle w:val="NormalTok"/>
        </w:rPr>
        <w:t xml:space="preserve">    optimizer.zero_grad()</w:t>
      </w:r>
      <w:r>
        <w:rPr>
          <w:rStyle w:val="OperatorTok"/>
        </w:rPr>
        <w:t xml:space="preserve">;</w:t>
      </w:r>
      <w:r>
        <w:rPr>
          <w:rStyle w:val="NormalTok"/>
        </w:rPr>
        <w:t xml:space="preserve"> loss </w:t>
      </w:r>
      <w:r>
        <w:rPr>
          <w:rStyle w:val="OperatorTok"/>
        </w:rPr>
        <w:t xml:space="preserve">=</w:t>
      </w:r>
      <w:r>
        <w:rPr>
          <w:rStyle w:val="NormalTok"/>
        </w:rPr>
        <w:t xml:space="preserve"> loss_fn(model(X), y)</w:t>
      </w:r>
      <w:r>
        <w:rPr>
          <w:rStyle w:val="OperatorTok"/>
        </w:rPr>
        <w:t xml:space="preserve">;</w:t>
      </w:r>
      <w:r>
        <w:rPr>
          <w:rStyle w:val="NormalTok"/>
        </w:rPr>
        <w:t xml:space="preserve"> loss.backward()</w:t>
      </w:r>
      <w:r>
        <w:rPr>
          <w:rStyle w:val="OperatorTok"/>
        </w:rPr>
        <w:t xml:space="preserve">;</w:t>
      </w:r>
      <w:r>
        <w:rPr>
          <w:rStyle w:val="NormalTok"/>
        </w:rPr>
        <w:t xml:space="preserve"> optimizer.step()</w:t>
      </w:r>
      <w:r>
        <w:br/>
      </w:r>
      <w:r>
        <w:rPr>
          <w:rStyle w:val="BuiltInTok"/>
        </w:rPr>
        <w:t xml:space="preserve">print</w:t>
      </w:r>
      <w:r>
        <w:rPr>
          <w:rStyle w:val="NormalTok"/>
        </w:rPr>
        <w:t xml:space="preserve">(</w:t>
      </w:r>
      <w:r>
        <w:rPr>
          <w:rStyle w:val="BuiltInTok"/>
        </w:rPr>
        <w:t xml:space="preserve">round</w:t>
      </w:r>
      <w:r>
        <w:rPr>
          <w:rStyle w:val="NormalTok"/>
        </w:rPr>
        <w:t xml:space="preserve">(</w:t>
      </w:r>
      <w:r>
        <w:rPr>
          <w:rStyle w:val="BuiltInTok"/>
        </w:rPr>
        <w:t xml:space="preserve">float</w:t>
      </w:r>
      <w:r>
        <w:rPr>
          <w:rStyle w:val="NormalTok"/>
        </w:rPr>
        <w:t xml:space="preserve">(loss), </w:t>
      </w:r>
      <w:r>
        <w:rPr>
          <w:rStyle w:val="DecValTok"/>
        </w:rPr>
        <w:t xml:space="preserve">5</w:t>
      </w:r>
      <w:r>
        <w:rPr>
          <w:rStyle w:val="NormalTok"/>
        </w:rPr>
        <w:t xml:space="preserve">))</w:t>
      </w:r>
    </w:p>
    <w:p>
      <w:pPr>
        <w:pStyle w:val="FirstParagraph"/>
      </w:pPr>
      <w:r>
        <w:rPr>
          <w:b/>
          <w:bCs/>
        </w:rPr>
        <w:t xml:space="preserve">Verified output</w:t>
      </w:r>
    </w:p>
    <w:p>
      <w:pPr>
        <w:pStyle w:val="SourceCode"/>
        <w:keepLines/>
        <w:shd w:fill="F6F8FA" w:val="clear"/>
      </w:pPr>
      <w:r>
        <w:rPr>
          <w:rStyle w:val="VerbatimChar"/>
        </w:rPr>
        <w:t xml:space="preserve">0.01343</w:t>
      </w:r>
    </w:p>
    <w:p>
      <w:pPr>
        <w:pStyle w:val="FirstParagraph"/>
      </w:pPr>
      <w:r>
        <w:rPr>
          <w:b/>
          <w:bCs/>
        </w:rPr>
        <w:t xml:space="preserve">Interpretation.</w:t>
      </w:r>
      <w:r>
        <w:t xml:space="preserve"> </w:t>
      </w:r>
      <w:r>
        <w:t xml:space="preserve">The network learns a nonlinear approximation on a small CPU-friendly problem. The exact final loss may vary slightly by software and hardware.</w:t>
      </w:r>
    </w:p>
    <w:bookmarkEnd w:id="635"/>
    <w:bookmarkStart w:id="636" w:name="X4cbdfdaea4092bc14d900fbde8447f998802856"/>
    <w:p>
      <w:pPr>
        <w:pStyle w:val="Heading3"/>
        <w:keepNext/>
      </w:pPr>
      <w:r>
        <w:t>49.6.2</w:t>
        <w:tab/>
        <w:t>Demonstration 30.2: Separate training from evaluation</w:t>
      </w:r>
    </w:p>
    <w:p>
      <w:pPr>
        <w:pStyle w:val="SourceCode"/>
        <w:keepLines/>
        <w:shd w:fill="F6F8FA" w:val="clear"/>
      </w:pPr>
      <w:r>
        <w:rPr>
          <w:rStyle w:val="NormalTok"/>
        </w:rPr>
        <w:t xml:space="preserve">model.</w:t>
      </w:r>
      <w:r>
        <w:rPr>
          <w:rStyle w:val="BuiltInTok"/>
        </w:rPr>
        <w:t xml:space="preserve">eval</w:t>
      </w:r>
      <w:r>
        <w:rPr>
          <w:rStyle w:val="NormalTok"/>
        </w:rPr>
        <w:t xml:space="preserve">()</w:t>
      </w:r>
      <w:r>
        <w:br/>
      </w:r>
      <w:r>
        <w:rPr>
          <w:rStyle w:val="ControlFlowTok"/>
        </w:rPr>
        <w:t xml:space="preserve">with</w:t>
      </w:r>
      <w:r>
        <w:rPr>
          <w:rStyle w:val="NormalTok"/>
        </w:rPr>
        <w:t xml:space="preserve"> torch.no_grad():</w:t>
      </w:r>
      <w:r>
        <w:br/>
      </w:r>
      <w:r>
        <w:rPr>
          <w:rStyle w:val="NormalTok"/>
        </w:rPr>
        <w:t xml:space="preserve">    predictions </w:t>
      </w:r>
      <w:r>
        <w:rPr>
          <w:rStyle w:val="OperatorTok"/>
        </w:rPr>
        <w:t xml:space="preserve">=</w:t>
      </w:r>
      <w:r>
        <w:rPr>
          <w:rStyle w:val="NormalTok"/>
        </w:rPr>
        <w:t xml:space="preserve"> model(torch.tensor([[</w:t>
      </w:r>
      <w:r>
        <w:rPr>
          <w:rStyle w:val="OperatorTok"/>
        </w:rPr>
        <w:t xml:space="preserve">-</w:t>
      </w:r>
      <w:r>
        <w:rPr>
          <w:rStyle w:val="FloatTok"/>
        </w:rPr>
        <w:t xml:space="preserve">0.5</w:t>
      </w:r>
      <w:r>
        <w:rPr>
          <w:rStyle w:val="NormalTok"/>
        </w:rPr>
        <w:t xml:space="preserve">], [</w:t>
      </w:r>
      <w:r>
        <w:rPr>
          <w:rStyle w:val="FloatTok"/>
        </w:rPr>
        <w:t xml:space="preserve">0.0</w:t>
      </w:r>
      <w:r>
        <w:rPr>
          <w:rStyle w:val="NormalTok"/>
        </w:rPr>
        <w:t xml:space="preserve">], [</w:t>
      </w:r>
      <w:r>
        <w:rPr>
          <w:rStyle w:val="FloatTok"/>
        </w:rPr>
        <w:t xml:space="preserve">0.5</w:t>
      </w:r>
      <w:r>
        <w:rPr>
          <w:rStyle w:val="NormalTok"/>
        </w:rPr>
        <w:t xml:space="preserve">]]))</w:t>
      </w:r>
      <w:r>
        <w:br/>
      </w:r>
      <w:r>
        <w:rPr>
          <w:rStyle w:val="BuiltInTok"/>
        </w:rPr>
        <w:t xml:space="preserve">print</w:t>
      </w:r>
      <w:r>
        <w:rPr>
          <w:rStyle w:val="NormalTok"/>
        </w:rPr>
        <w:t xml:space="preserve">(predictions.flatten().</w:t>
      </w:r>
      <w:r>
        <w:rPr>
          <w:rStyle w:val="BuiltInTok"/>
        </w:rPr>
        <w:t xml:space="preserve">round</w:t>
      </w:r>
      <w:r>
        <w:rPr>
          <w:rStyle w:val="NormalTok"/>
        </w:rPr>
        <w:t xml:space="preserve">(decimals</w:t>
      </w:r>
      <w:r>
        <w:rPr>
          <w:rStyle w:val="OperatorTok"/>
        </w:rPr>
        <w:t xml:space="preserve">=</w:t>
      </w:r>
      <w:r>
        <w:rPr>
          <w:rStyle w:val="DecValTok"/>
        </w:rPr>
        <w:t xml:space="preserve">3</w:t>
      </w:r>
      <w:r>
        <w:rPr>
          <w:rStyle w:val="NormalTok"/>
        </w:rPr>
        <w:t xml:space="preserve">).tolist())</w:t>
      </w:r>
    </w:p>
    <w:p>
      <w:pPr>
        <w:pStyle w:val="FirstParagraph"/>
      </w:pPr>
      <w:r>
        <w:rPr>
          <w:b/>
          <w:bCs/>
        </w:rPr>
        <w:t xml:space="preserve">Verified output</w:t>
      </w:r>
    </w:p>
    <w:p>
      <w:pPr>
        <w:pStyle w:val="SourceCode"/>
        <w:keepLines/>
        <w:shd w:fill="F6F8FA" w:val="clear"/>
      </w:pPr>
      <w:r>
        <w:rPr>
          <w:rStyle w:val="VerbatimChar"/>
        </w:rPr>
        <w:t xml:space="preserve">[-1.024999976158142, 0.0, 1.0119999647140503]</w:t>
      </w:r>
    </w:p>
    <w:p>
      <w:pPr>
        <w:pStyle w:val="FirstParagraph"/>
      </w:pPr>
      <w:r>
        <w:rPr>
          <w:b/>
          <w:bCs/>
        </w:rPr>
        <w:t xml:space="preserve">Interpretation.</w:t>
      </w:r>
      <w:r>
        <w:t xml:space="preserve"> </w:t>
      </w:r>
      <w:r>
        <w:t xml:space="preserve">Evaluation mode and</w:t>
      </w:r>
      <w:r>
        <w:t xml:space="preserve"> </w:t>
      </w:r>
      <w:r>
        <w:rPr>
          <w:rStyle w:val="VerbatimChar"/>
        </w:rPr>
        <w:t xml:space="preserve">no_grad</w:t>
      </w:r>
      <w:r>
        <w:t xml:space="preserve"> </w:t>
      </w:r>
      <w:r>
        <w:t xml:space="preserve">disable training-specific behaviour and gradient storage during prediction.</w:t>
      </w:r>
    </w:p>
    <w:bookmarkEnd w:id="636"/>
    <w:bookmarkEnd w:id="637"/>
    <w:bookmarkStart w:id="644" w:name="visual-evidence-29"/>
    <w:p>
      <w:pPr>
        <w:pStyle w:val="Heading2"/>
        <w:keepNext/>
      </w:pPr>
      <w:r>
        <w:t>49.7</w:t>
        <w:tab/>
        <w:t>Visual evidence</w:t>
      </w:r>
    </w:p>
    <w:p>
      <w:pPr>
        <w:pStyle w:val="FirstParagraph"/>
      </w:pPr>
      <w:r>
        <w:drawing>
          <wp:inline>
            <wp:extent cx="4907280" cy="2811135"/>
            <wp:effectExtent b="0" l="0" r="0" t="0"/>
            <wp:docPr descr="Image: rId638.png" title="" id="639" name="Picture"/>
            <a:graphic>
              <a:graphicData uri="http://schemas.openxmlformats.org/drawingml/2006/picture">
                <pic:pic>
                  <pic:nvPicPr>
                    <pic:cNvPr descr="figures/fig_56_neural_network.png" id="640" name="Picture"/>
                    <pic:cNvPicPr>
                      <a:picLocks noChangeArrowheads="1" noChangeAspect="1"/>
                    </pic:cNvPicPr>
                  </pic:nvPicPr>
                  <pic:blipFill>
                    <a:blip r:embed="rId638"/>
                    <a:stretch>
                      <a:fillRect/>
                    </a:stretch>
                  </pic:blipFill>
                  <pic:spPr bwMode="auto">
                    <a:xfrm>
                      <a:off x="0" y="0"/>
                      <a:ext cx="4907280" cy="2811135"/>
                    </a:xfrm>
                    <a:prstGeom prst="rect">
                      <a:avLst/>
                    </a:prstGeom>
                    <a:noFill/>
                    <a:ln w="9525">
                      <a:noFill/>
                      <a:headEnd/>
                      <a:tailEnd/>
                    </a:ln>
                  </pic:spPr>
                </pic:pic>
              </a:graphicData>
            </a:graphic>
          </wp:inline>
        </w:drawing>
      </w:r>
    </w:p>
    <w:p>
      <w:pPr>
        <w:pStyle w:val="Caption"/>
        <w:keepNext w:val="0"/>
        <w:jc w:val="center"/>
      </w:pPr>
      <w:r>
        <w:rPr>
          <w:b/>
          <w:bCs/>
        </w:rPr>
        <w:t xml:space="preserve">Figure 56.</w:t>
      </w:r>
      <w:r>
        <w:t xml:space="preserve"> </w:t>
      </w:r>
      <w:r>
        <w:t xml:space="preserve">A feed-forward neural network transforms inputs through learned weighted connections.</w:t>
      </w:r>
    </w:p>
    <w:p>
      <w:pPr>
        <w:pStyle w:val="BodyText"/>
      </w:pPr>
      <w:r>
        <w:drawing>
          <wp:inline>
            <wp:extent cx="4907280" cy="3130757"/>
            <wp:effectExtent b="0" l="0" r="0" t="0"/>
            <wp:docPr descr="Image: rId641.png" title="" id="642" name="Picture"/>
            <a:graphic>
              <a:graphicData uri="http://schemas.openxmlformats.org/drawingml/2006/picture">
                <pic:pic>
                  <pic:nvPicPr>
                    <pic:cNvPr descr="figures/fig_57_learning_curve.png" id="643" name="Picture"/>
                    <pic:cNvPicPr>
                      <a:picLocks noChangeArrowheads="1" noChangeAspect="1"/>
                    </pic:cNvPicPr>
                  </pic:nvPicPr>
                  <pic:blipFill>
                    <a:blip r:embed="rId641"/>
                    <a:stretch>
                      <a:fillRect/>
                    </a:stretch>
                  </pic:blipFill>
                  <pic:spPr bwMode="auto">
                    <a:xfrm>
                      <a:off x="0" y="0"/>
                      <a:ext cx="4907280" cy="3130757"/>
                    </a:xfrm>
                    <a:prstGeom prst="rect">
                      <a:avLst/>
                    </a:prstGeom>
                    <a:noFill/>
                    <a:ln w="9525">
                      <a:noFill/>
                      <a:headEnd/>
                      <a:tailEnd/>
                    </a:ln>
                  </pic:spPr>
                </pic:pic>
              </a:graphicData>
            </a:graphic>
          </wp:inline>
        </w:drawing>
      </w:r>
    </w:p>
    <w:p>
      <w:pPr>
        <w:pStyle w:val="Caption"/>
        <w:keepNext w:val="0"/>
        <w:jc w:val="center"/>
      </w:pPr>
      <w:r>
        <w:rPr>
          <w:b/>
          <w:bCs/>
        </w:rPr>
        <w:t xml:space="preserve">Figure 57.</w:t>
      </w:r>
      <w:r>
        <w:t xml:space="preserve"> </w:t>
      </w:r>
      <w:r>
        <w:t xml:space="preserve">Training and cross-validation learning curves for a small neural classifier.</w:t>
      </w:r>
    </w:p>
    <w:bookmarkEnd w:id="644"/>
    <w:bookmarkStart w:id="645" w:name="reference-table-29"/>
    <w:p>
      <w:pPr>
        <w:pStyle w:val="Heading2"/>
        <w:keepNext/>
      </w:pPr>
      <w:r>
        <w:t>49.8</w:t>
        <w:tab/>
        <w:t>Reference table</w:t>
      </w:r>
    </w:p>
    <w:p>
      <w:pPr>
        <w:pStyle w:val="Caption"/>
        <w:keepNext/>
        <w:jc w:val="center"/>
      </w:pPr>
      <w:r>
        <w:rPr>
          <w:b/>
          <w:bCs/>
        </w:rPr>
        <w:t xml:space="preserve">Table 30. Chapter reference.</w:t>
      </w:r>
    </w:p>
    <w:tbl>
      <w:tblPr>
        <w:tblStyle w:val="Table"/>
        <w:tblW w:type="pct" w:w="5000"/>
        <w:jc w:val="center"/>
        <w:tblLayout w:type="autofit"/>
        <w:tblLook w:firstRow="1" w:lastRow="0" w:firstColumn="0" w:lastColumn="0" w:noHBand="0" w:noVBand="0" w:val="0020"/>
      </w:tblPr>
      <w:tblGrid>
        <w:gridCol w:w="2640"/>
        <w:gridCol w:w="2640"/>
        <w:gridCol w:w="2640"/>
      </w:tblGrid>
      <w:tr>
        <w:trPr>
          <w:tblHeader w:val="on"/>
          <w:tblHeader w:val="true"/>
          <w:cantSplit/>
        </w:trPr>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0A2342" w:val="clear"/>
          </w:tcPr>
          <w:p>
            <w:pPr>
              <w:pStyle w:val="Compact"/>
              <w:spacing w:before="30" w:after="30" w:line="240" w:lineRule="auto"/>
              <w:jc w:val="left"/>
            </w:pPr>
            <w:r>
              <w:rPr>
                <w:rFonts w:ascii="Noto Sans" w:hAnsi="Noto Sans" w:eastAsia="Noto Sans" w:cs="Noto Sans"/>
                <w:b/>
                <w:color w:val="FFFFFF"/>
                <w:sz w:val="16"/>
              </w:rPr>
              <w:t xml:space="preserve">Component</w:t>
            </w:r>
          </w:p>
        </w:tc>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0A2342" w:val="clear"/>
          </w:tcPr>
          <w:p>
            <w:pPr>
              <w:pStyle w:val="Compact"/>
              <w:spacing w:before="30" w:after="30" w:line="240" w:lineRule="auto"/>
              <w:jc w:val="left"/>
            </w:pPr>
            <w:r>
              <w:rPr>
                <w:rFonts w:ascii="Noto Sans" w:hAnsi="Noto Sans" w:eastAsia="Noto Sans" w:cs="Noto Sans"/>
                <w:b/>
                <w:color w:val="FFFFFF"/>
                <w:sz w:val="16"/>
              </w:rPr>
              <w:t xml:space="preserve">Purpose</w:t>
            </w:r>
          </w:p>
        </w:tc>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0A2342" w:val="clear"/>
          </w:tcPr>
          <w:p>
            <w:pPr>
              <w:pStyle w:val="Compact"/>
              <w:spacing w:before="30" w:after="30" w:line="240" w:lineRule="auto"/>
              <w:jc w:val="left"/>
            </w:pPr>
            <w:r>
              <w:rPr>
                <w:rFonts w:ascii="Noto Sans" w:hAnsi="Noto Sans" w:eastAsia="Noto Sans" w:cs="Noto Sans"/>
                <w:b/>
                <w:color w:val="FFFFFF"/>
                <w:sz w:val="16"/>
              </w:rPr>
              <w:t xml:space="preserve">Typical choice</w:t>
            </w:r>
          </w:p>
        </w:tc>
      </w:tr>
      <w:tr>
        <w:trPr>
          <w:cantSplit/>
        </w:trPr>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EEF4F8" w:val="clear"/>
          </w:tcPr>
          <w:p>
            <w:pPr>
              <w:pStyle w:val="Compact"/>
              <w:spacing w:before="30" w:after="30" w:line="240" w:lineRule="auto"/>
              <w:jc w:val="left"/>
            </w:pPr>
            <w:r>
              <w:rPr>
                <w:rFonts w:ascii="Noto Sans" w:hAnsi="Noto Sans" w:eastAsia="Noto Sans" w:cs="Noto Sans"/>
                <w:b w:val="0"/>
                <w:color w:val="18212B"/>
                <w:sz w:val="16"/>
              </w:rPr>
              <w:t xml:space="preserve">hidden activation</w:t>
            </w:r>
          </w:p>
        </w:tc>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EEF4F8" w:val="clear"/>
          </w:tcPr>
          <w:p>
            <w:pPr>
              <w:pStyle w:val="Compact"/>
              <w:spacing w:before="30" w:after="30" w:line="240" w:lineRule="auto"/>
              <w:jc w:val="left"/>
            </w:pPr>
            <w:r>
              <w:rPr>
                <w:rFonts w:ascii="Noto Sans" w:hAnsi="Noto Sans" w:eastAsia="Noto Sans" w:cs="Noto Sans"/>
                <w:b w:val="0"/>
                <w:color w:val="18212B"/>
                <w:sz w:val="16"/>
              </w:rPr>
              <w:t xml:space="preserve">nonlinearity</w:t>
            </w:r>
          </w:p>
        </w:tc>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EEF4F8" w:val="clear"/>
          </w:tcPr>
          <w:p>
            <w:pPr>
              <w:pStyle w:val="Compact"/>
              <w:spacing w:before="30" w:after="30" w:line="240" w:lineRule="auto"/>
              <w:jc w:val="left"/>
            </w:pPr>
            <w:r>
              <w:rPr>
                <w:rFonts w:ascii="Noto Sans" w:hAnsi="Noto Sans" w:eastAsia="Noto Sans" w:cs="Noto Sans"/>
                <w:b w:val="0"/>
                <w:color w:val="18212B"/>
                <w:sz w:val="16"/>
              </w:rPr>
              <w:t xml:space="preserve">ReLU</w:t>
            </w:r>
          </w:p>
        </w:tc>
      </w:tr>
      <w:tr>
        <w:trPr>
          <w:cantSplit/>
        </w:trPr>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FFFFFF" w:val="clear"/>
          </w:tcPr>
          <w:p>
            <w:pPr>
              <w:pStyle w:val="Compact"/>
              <w:spacing w:before="30" w:after="30" w:line="240" w:lineRule="auto"/>
              <w:jc w:val="left"/>
            </w:pPr>
            <w:r>
              <w:rPr>
                <w:rFonts w:ascii="Noto Sans" w:hAnsi="Noto Sans" w:eastAsia="Noto Sans" w:cs="Noto Sans"/>
                <w:b w:val="0"/>
                <w:color w:val="18212B"/>
                <w:sz w:val="16"/>
              </w:rPr>
              <w:t xml:space="preserve">output activation</w:t>
            </w:r>
          </w:p>
        </w:tc>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FFFFFF" w:val="clear"/>
          </w:tcPr>
          <w:p>
            <w:pPr>
              <w:pStyle w:val="Compact"/>
              <w:spacing w:before="30" w:after="30" w:line="240" w:lineRule="auto"/>
              <w:jc w:val="left"/>
            </w:pPr>
            <w:r>
              <w:rPr>
                <w:rFonts w:ascii="Noto Sans" w:hAnsi="Noto Sans" w:eastAsia="Noto Sans" w:cs="Noto Sans"/>
                <w:b w:val="0"/>
                <w:color w:val="18212B"/>
                <w:sz w:val="16"/>
              </w:rPr>
              <w:t xml:space="preserve">match target support</w:t>
            </w:r>
          </w:p>
        </w:tc>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FFFFFF" w:val="clear"/>
          </w:tcPr>
          <w:p>
            <w:pPr>
              <w:pStyle w:val="Compact"/>
              <w:spacing w:before="30" w:after="30" w:line="240" w:lineRule="auto"/>
              <w:jc w:val="left"/>
            </w:pPr>
            <w:r>
              <w:rPr>
                <w:rFonts w:ascii="Noto Sans" w:hAnsi="Noto Sans" w:eastAsia="Noto Sans" w:cs="Noto Sans"/>
                <w:b w:val="0"/>
                <w:color w:val="18212B"/>
                <w:sz w:val="16"/>
              </w:rPr>
              <w:t xml:space="preserve">identity, sigmoid, softmax</w:t>
            </w:r>
          </w:p>
        </w:tc>
      </w:tr>
      <w:tr>
        <w:trPr>
          <w:cantSplit/>
        </w:trPr>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EEF4F8" w:val="clear"/>
          </w:tcPr>
          <w:p>
            <w:pPr>
              <w:pStyle w:val="Compact"/>
              <w:spacing w:before="30" w:after="30" w:line="240" w:lineRule="auto"/>
              <w:jc w:val="left"/>
            </w:pPr>
            <w:r>
              <w:rPr>
                <w:rFonts w:ascii="Noto Sans" w:hAnsi="Noto Sans" w:eastAsia="Noto Sans" w:cs="Noto Sans"/>
                <w:b w:val="0"/>
                <w:color w:val="18212B"/>
                <w:sz w:val="16"/>
              </w:rPr>
              <w:t xml:space="preserve">loss</w:t>
            </w:r>
          </w:p>
        </w:tc>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EEF4F8" w:val="clear"/>
          </w:tcPr>
          <w:p>
            <w:pPr>
              <w:pStyle w:val="Compact"/>
              <w:spacing w:before="30" w:after="30" w:line="240" w:lineRule="auto"/>
              <w:jc w:val="left"/>
            </w:pPr>
            <w:r>
              <w:rPr>
                <w:rFonts w:ascii="Noto Sans" w:hAnsi="Noto Sans" w:eastAsia="Noto Sans" w:cs="Noto Sans"/>
                <w:b w:val="0"/>
                <w:color w:val="18212B"/>
                <w:sz w:val="16"/>
              </w:rPr>
              <w:t xml:space="preserve">training objective</w:t>
            </w:r>
          </w:p>
        </w:tc>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EEF4F8" w:val="clear"/>
          </w:tcPr>
          <w:p>
            <w:pPr>
              <w:pStyle w:val="Compact"/>
              <w:spacing w:before="30" w:after="30" w:line="240" w:lineRule="auto"/>
              <w:jc w:val="left"/>
            </w:pPr>
            <w:r>
              <w:rPr>
                <w:rFonts w:ascii="Noto Sans" w:hAnsi="Noto Sans" w:eastAsia="Noto Sans" w:cs="Noto Sans"/>
                <w:b w:val="0"/>
                <w:color w:val="18212B"/>
                <w:sz w:val="16"/>
              </w:rPr>
              <w:t xml:space="preserve">MSE or cross-entropy</w:t>
            </w:r>
          </w:p>
        </w:tc>
      </w:tr>
      <w:tr>
        <w:trPr>
          <w:cantSplit/>
        </w:trPr>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FFFFFF" w:val="clear"/>
          </w:tcPr>
          <w:p>
            <w:pPr>
              <w:pStyle w:val="Compact"/>
              <w:spacing w:before="30" w:after="30" w:line="240" w:lineRule="auto"/>
              <w:jc w:val="left"/>
            </w:pPr>
            <w:r>
              <w:rPr>
                <w:rFonts w:ascii="Noto Sans" w:hAnsi="Noto Sans" w:eastAsia="Noto Sans" w:cs="Noto Sans"/>
                <w:b w:val="0"/>
                <w:color w:val="18212B"/>
                <w:sz w:val="16"/>
              </w:rPr>
              <w:t xml:space="preserve">optimizer</w:t>
            </w:r>
          </w:p>
        </w:tc>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FFFFFF" w:val="clear"/>
          </w:tcPr>
          <w:p>
            <w:pPr>
              <w:pStyle w:val="Compact"/>
              <w:spacing w:before="30" w:after="30" w:line="240" w:lineRule="auto"/>
              <w:jc w:val="left"/>
            </w:pPr>
            <w:r>
              <w:rPr>
                <w:rFonts w:ascii="Noto Sans" w:hAnsi="Noto Sans" w:eastAsia="Noto Sans" w:cs="Noto Sans"/>
                <w:b w:val="0"/>
                <w:color w:val="18212B"/>
                <w:sz w:val="16"/>
              </w:rPr>
              <w:t xml:space="preserve">parameter update</w:t>
            </w:r>
          </w:p>
        </w:tc>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FFFFFF" w:val="clear"/>
          </w:tcPr>
          <w:p>
            <w:pPr>
              <w:pStyle w:val="Compact"/>
              <w:spacing w:before="30" w:after="30" w:line="240" w:lineRule="auto"/>
              <w:jc w:val="left"/>
            </w:pPr>
            <w:r>
              <w:rPr>
                <w:rFonts w:ascii="Noto Sans" w:hAnsi="Noto Sans" w:eastAsia="Noto Sans" w:cs="Noto Sans"/>
                <w:b w:val="0"/>
                <w:color w:val="18212B"/>
                <w:sz w:val="16"/>
              </w:rPr>
              <w:t xml:space="preserve">SGD or Adam</w:t>
            </w:r>
          </w:p>
        </w:tc>
      </w:tr>
      <w:tr>
        <w:trPr>
          <w:cantSplit/>
        </w:trPr>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EEF4F8" w:val="clear"/>
          </w:tcPr>
          <w:p>
            <w:pPr>
              <w:pStyle w:val="Compact"/>
              <w:spacing w:before="30" w:after="30" w:line="240" w:lineRule="auto"/>
              <w:jc w:val="left"/>
            </w:pPr>
            <w:r>
              <w:rPr>
                <w:rFonts w:ascii="Noto Sans" w:hAnsi="Noto Sans" w:eastAsia="Noto Sans" w:cs="Noto Sans"/>
                <w:b w:val="0"/>
                <w:color w:val="18212B"/>
                <w:sz w:val="16"/>
              </w:rPr>
              <w:t xml:space="preserve">regularization</w:t>
            </w:r>
          </w:p>
        </w:tc>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EEF4F8" w:val="clear"/>
          </w:tcPr>
          <w:p>
            <w:pPr>
              <w:pStyle w:val="Compact"/>
              <w:spacing w:before="30" w:after="30" w:line="240" w:lineRule="auto"/>
              <w:jc w:val="left"/>
            </w:pPr>
            <w:r>
              <w:rPr>
                <w:rFonts w:ascii="Noto Sans" w:hAnsi="Noto Sans" w:eastAsia="Noto Sans" w:cs="Noto Sans"/>
                <w:b w:val="0"/>
                <w:color w:val="18212B"/>
                <w:sz w:val="16"/>
              </w:rPr>
              <w:t xml:space="preserve">reduce overfitting</w:t>
            </w:r>
          </w:p>
        </w:tc>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EEF4F8" w:val="clear"/>
          </w:tcPr>
          <w:p>
            <w:pPr>
              <w:pStyle w:val="Compact"/>
              <w:spacing w:before="30" w:after="30" w:line="240" w:lineRule="auto"/>
              <w:jc w:val="left"/>
            </w:pPr>
            <w:r>
              <w:rPr>
                <w:rFonts w:ascii="Noto Sans" w:hAnsi="Noto Sans" w:eastAsia="Noto Sans" w:cs="Noto Sans"/>
                <w:b w:val="0"/>
                <w:color w:val="18212B"/>
                <w:sz w:val="16"/>
              </w:rPr>
              <w:t xml:space="preserve">weight decay/dropout</w:t>
            </w:r>
          </w:p>
        </w:tc>
      </w:tr>
      <w:tr>
        <w:trPr>
          <w:cantSplit/>
        </w:trPr>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FFFFFF" w:val="clear"/>
          </w:tcPr>
          <w:p>
            <w:pPr>
              <w:pStyle w:val="Compact"/>
              <w:spacing w:before="30" w:after="30" w:line="240" w:lineRule="auto"/>
              <w:jc w:val="left"/>
            </w:pPr>
            <w:r>
              <w:rPr>
                <w:rFonts w:ascii="Noto Sans" w:hAnsi="Noto Sans" w:eastAsia="Noto Sans" w:cs="Noto Sans"/>
                <w:b w:val="0"/>
                <w:color w:val="18212B"/>
                <w:sz w:val="16"/>
              </w:rPr>
              <w:t xml:space="preserve">validation</w:t>
            </w:r>
          </w:p>
        </w:tc>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FFFFFF" w:val="clear"/>
          </w:tcPr>
          <w:p>
            <w:pPr>
              <w:pStyle w:val="Compact"/>
              <w:spacing w:before="30" w:after="30" w:line="240" w:lineRule="auto"/>
              <w:jc w:val="left"/>
            </w:pPr>
            <w:r>
              <w:rPr>
                <w:rFonts w:ascii="Noto Sans" w:hAnsi="Noto Sans" w:eastAsia="Noto Sans" w:cs="Noto Sans"/>
                <w:b w:val="0"/>
                <w:color w:val="18212B"/>
                <w:sz w:val="16"/>
              </w:rPr>
              <w:t xml:space="preserve">generalization signal</w:t>
            </w:r>
          </w:p>
        </w:tc>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FFFFFF" w:val="clear"/>
          </w:tcPr>
          <w:p>
            <w:pPr>
              <w:pStyle w:val="Compact"/>
              <w:spacing w:before="30" w:after="30" w:line="240" w:lineRule="auto"/>
              <w:jc w:val="left"/>
            </w:pPr>
            <w:r>
              <w:rPr>
                <w:rFonts w:ascii="Noto Sans" w:hAnsi="Noto Sans" w:eastAsia="Noto Sans" w:cs="Noto Sans"/>
                <w:b w:val="0"/>
                <w:color w:val="18212B"/>
                <w:sz w:val="16"/>
              </w:rPr>
              <w:t xml:space="preserve">held-out loss/metric</w:t>
            </w:r>
          </w:p>
        </w:tc>
      </w:tr>
    </w:tbl>
    <w:p>
      <w:pPr>
        <w:pStyle w:val="BlockText"/>
        <w:shd w:fill="EAF7F5" w:val="clear"/>
        <w:pBdr>
          <w:left w:val="single" w:sz="18" w:space="8" w:color="008F87"/>
        </w:pBdr>
      </w:pPr>
      <w:r>
        <w:rPr>
          <w:b/>
          <w:bCs/>
        </w:rPr>
        <w:t xml:space="preserve">Why This Matters</w:t>
      </w:r>
    </w:p>
    <w:p>
      <w:pPr>
        <w:pStyle w:val="BlockText"/>
        <w:shd w:fill="EAF7F5" w:val="clear"/>
        <w:pBdr>
          <w:left w:val="single" w:sz="18" w:space="8" w:color="008F87"/>
        </w:pBdr>
      </w:pPr>
      <w:r>
        <w:t xml:space="preserve">Neural networks are flexible function approximators whose usefulness depends on data, validation, computation, and governance.</w:t>
      </w:r>
    </w:p>
    <w:p>
      <w:pPr>
        <w:pStyle w:val="BlockText"/>
        <w:shd w:fill="EAF7F5" w:val="clear"/>
        <w:pBdr>
          <w:left w:val="single" w:sz="18" w:space="8" w:color="008F87"/>
        </w:pBdr>
      </w:pPr>
      <w:r>
        <w:rPr>
          <w:b/>
          <w:bCs/>
        </w:rPr>
        <w:t xml:space="preserve">Common Mistake</w:t>
      </w:r>
    </w:p>
    <w:p>
      <w:pPr>
        <w:pStyle w:val="BlockText"/>
        <w:shd w:fill="EAF7F5" w:val="clear"/>
        <w:pBdr>
          <w:left w:val="single" w:sz="18" w:space="8" w:color="008F87"/>
        </w:pBdr>
      </w:pPr>
      <w:r>
        <w:t xml:space="preserve">Choosing a large network before establishing a linear or tree-based baseline.</w:t>
      </w:r>
    </w:p>
    <w:p>
      <w:pPr>
        <w:pStyle w:val="BlockText"/>
        <w:shd w:fill="EAF7F5" w:val="clear"/>
        <w:pBdr>
          <w:left w:val="single" w:sz="18" w:space="8" w:color="008F87"/>
        </w:pBdr>
      </w:pPr>
      <w:r>
        <w:rPr>
          <w:b/>
          <w:bCs/>
        </w:rPr>
        <w:t xml:space="preserve">Ceteris LAB Tip</w:t>
      </w:r>
    </w:p>
    <w:p>
      <w:pPr>
        <w:pStyle w:val="BlockText"/>
        <w:shd w:fill="EAF7F5" w:val="clear"/>
        <w:pBdr>
          <w:left w:val="single" w:sz="18" w:space="8" w:color="008F87"/>
        </w:pBdr>
      </w:pPr>
      <w:r>
        <w:t xml:space="preserve">Log training and validation metrics every epoch, but select the checkpoint using validation performance rather than training loss.</w:t>
      </w:r>
    </w:p>
    <w:p>
      <w:pPr>
        <w:pStyle w:val="BlockText"/>
        <w:shd w:fill="EAF7F5" w:val="clear"/>
        <w:pBdr>
          <w:left w:val="single" w:sz="18" w:space="8" w:color="008F87"/>
        </w:pBdr>
      </w:pPr>
      <w:r>
        <w:rPr>
          <w:b/>
          <w:bCs/>
        </w:rPr>
        <w:t xml:space="preserve">R-to-Python / Source Bridge</w:t>
      </w:r>
    </w:p>
    <w:p>
      <w:pPr>
        <w:pStyle w:val="BlockText"/>
        <w:shd w:fill="EAF7F5" w:val="clear"/>
        <w:pBdr>
          <w:left w:val="single" w:sz="18" w:space="8" w:color="008F87"/>
        </w:pBdr>
      </w:pPr>
      <w:r>
        <w:t xml:space="preserve">The chapter adapts IntroAI session 7, including neurons, activations, cross-entropy, backpropagation, and PyTorch, while keeping required examples small enough for CPU execution</w:t>
      </w:r>
      <w:r>
        <w:t xml:space="preserve"> </w:t>
      </w:r>
      <w:r>
        <w:t xml:space="preserve">(Sharifi-Zarchi and contributors 2026)</w:t>
      </w:r>
      <w:r>
        <w:t xml:space="preserve">.</w:t>
      </w:r>
    </w:p>
    <w:bookmarkEnd w:id="645"/>
    <w:bookmarkStart w:id="646" w:name="guided-practice-29"/>
    <w:p>
      <w:pPr>
        <w:pStyle w:val="Heading2"/>
        <w:keepNext/>
      </w:pPr>
      <w:r>
        <w:t>49.9</w:t>
        <w:tab/>
        <w:t>Guided practice</w:t>
      </w:r>
    </w:p>
    <w:p>
      <w:pPr>
        <w:pStyle w:val="Compact"/>
        <w:numPr>
          <w:ilvl w:val="0"/>
          <w:numId w:val="1120"/>
        </w:numPr>
      </w:pPr>
      <w:r>
        <w:t xml:space="preserve">Re-run Demonstration 30.1 and change one input while keeping the analytical question fixed.</w:t>
      </w:r>
    </w:p>
    <w:p>
      <w:pPr>
        <w:pStyle w:val="Compact"/>
        <w:numPr>
          <w:ilvl w:val="0"/>
          <w:numId w:val="1120"/>
        </w:numPr>
      </w:pPr>
      <w:r>
        <w:t xml:space="preserve">Explain in two sentences how the output supports, or fails to support, the chapter opening question.</w:t>
      </w:r>
    </w:p>
    <w:p>
      <w:pPr>
        <w:pStyle w:val="Compact"/>
        <w:numPr>
          <w:ilvl w:val="0"/>
          <w:numId w:val="1120"/>
        </w:numPr>
      </w:pPr>
      <w:r>
        <w:t xml:space="preserve">Add one validation check that would prevent a plausible error.</w:t>
      </w:r>
    </w:p>
    <w:bookmarkEnd w:id="646"/>
    <w:bookmarkStart w:id="647" w:name="exercises-29"/>
    <w:p>
      <w:pPr>
        <w:pStyle w:val="Heading2"/>
        <w:keepNext/>
      </w:pPr>
      <w:r>
        <w:t>49.10</w:t>
        <w:tab/>
        <w:t>Exercises</w:t>
      </w:r>
    </w:p>
    <w:p>
      <w:pPr>
        <w:pStyle w:val="Compact"/>
        <w:numPr>
          <w:ilvl w:val="0"/>
          <w:numId w:val="1121"/>
        </w:numPr>
      </w:pPr>
      <w:r>
        <w:t xml:space="preserve">Build a one-hidden-layer regression network.</w:t>
      </w:r>
    </w:p>
    <w:p>
      <w:pPr>
        <w:pStyle w:val="Compact"/>
        <w:numPr>
          <w:ilvl w:val="0"/>
          <w:numId w:val="1121"/>
        </w:numPr>
      </w:pPr>
      <w:r>
        <w:t xml:space="preserve">Compare ReLU and tanh activations.</w:t>
      </w:r>
    </w:p>
    <w:p>
      <w:pPr>
        <w:pStyle w:val="Compact"/>
        <w:numPr>
          <w:ilvl w:val="0"/>
          <w:numId w:val="1121"/>
        </w:numPr>
      </w:pPr>
      <w:r>
        <w:t xml:space="preserve">Plot training and validation loss.</w:t>
      </w:r>
    </w:p>
    <w:p>
      <w:pPr>
        <w:pStyle w:val="Compact"/>
        <w:numPr>
          <w:ilvl w:val="0"/>
          <w:numId w:val="1121"/>
        </w:numPr>
      </w:pPr>
      <w:r>
        <w:t xml:space="preserve">Add weight decay and discuss the change.</w:t>
      </w:r>
    </w:p>
    <w:bookmarkEnd w:id="647"/>
    <w:bookmarkStart w:id="648" w:name="chapter-summary-29"/>
    <w:p>
      <w:pPr>
        <w:pStyle w:val="Heading2"/>
        <w:keepNext/>
      </w:pPr>
      <w:r>
        <w:t>49.11</w:t>
        <w:tab/>
        <w:t>Chapter summary</w:t>
      </w:r>
    </w:p>
    <w:p>
      <w:pPr>
        <w:pStyle w:val="Compact"/>
        <w:numPr>
          <w:ilvl w:val="0"/>
          <w:numId w:val="1122"/>
        </w:numPr>
      </w:pPr>
      <w:r>
        <w:t xml:space="preserve">Neural networks compose linear transformations and nonlinear activations.</w:t>
      </w:r>
    </w:p>
    <w:p>
      <w:pPr>
        <w:pStyle w:val="Compact"/>
        <w:numPr>
          <w:ilvl w:val="0"/>
          <w:numId w:val="1122"/>
        </w:numPr>
      </w:pPr>
      <w:r>
        <w:t xml:space="preserve">Backpropagation computes gradients through the computation graph.</w:t>
      </w:r>
    </w:p>
    <w:p>
      <w:pPr>
        <w:pStyle w:val="Compact"/>
        <w:numPr>
          <w:ilvl w:val="0"/>
          <w:numId w:val="1122"/>
        </w:numPr>
      </w:pPr>
      <w:r>
        <w:t xml:space="preserve">Validation and regularization are essential for generalization.</w:t>
      </w:r>
    </w:p>
    <w:bookmarkEnd w:id="648"/>
    <w:bookmarkStart w:id="649" w:name="key-python-commands-29"/>
    <w:p>
      <w:pPr>
        <w:pStyle w:val="Heading2"/>
        <w:keepNext/>
      </w:pPr>
      <w:r>
        <w:t>49.12</w:t>
        <w:tab/>
        <w:t>Key Python commands</w:t>
      </w:r>
    </w:p>
    <w:p>
      <w:pPr>
        <w:pStyle w:val="SourceCode"/>
        <w:shd w:fill="F6F8FA" w:val="clear"/>
      </w:pPr>
      <w:r>
        <w:rPr>
          <w:rStyle w:val="ImportTok"/>
        </w:rPr>
        <w:t xml:space="preserve">import</w:t>
      </w:r>
      <w:r>
        <w:rPr>
          <w:rStyle w:val="NormalTok"/>
        </w:rPr>
        <w:t xml:space="preserve"> torch</w:t>
      </w:r>
      <w:r>
        <w:br/>
      </w:r>
      <w:r>
        <w:rPr>
          <w:rStyle w:val="NormalTok"/>
        </w:rPr>
        <w:t xml:space="preserve">torch.manual_seed(</w:t>
      </w:r>
      <w:r>
        <w:rPr>
          <w:rStyle w:val="DecValTok"/>
        </w:rPr>
        <w:t xml:space="preserve">30</w:t>
      </w:r>
      <w:r>
        <w:rPr>
          <w:rStyle w:val="NormalTok"/>
        </w:rPr>
        <w:t xml:space="preserve">)</w:t>
      </w:r>
      <w:r>
        <w:br/>
      </w:r>
      <w:r>
        <w:rPr>
          <w:rStyle w:val="NormalTok"/>
        </w:rPr>
        <w:t xml:space="preserve">X </w:t>
      </w:r>
      <w:r>
        <w:rPr>
          <w:rStyle w:val="OperatorTok"/>
        </w:rPr>
        <w:t xml:space="preserve">=</w:t>
      </w:r>
      <w:r>
        <w:rPr>
          <w:rStyle w:val="NormalTok"/>
        </w:rPr>
        <w:t xml:space="preserve"> torch.linspace(</w:t>
      </w:r>
      <w:r>
        <w:rPr>
          <w:rStyle w:val="OperatorTok"/>
        </w:rPr>
        <w:t xml:space="preserve">-</w:t>
      </w:r>
      <w:r>
        <w:rPr>
          <w:rStyle w:val="DecValTok"/>
        </w:rPr>
        <w:t xml:space="preserve">1</w:t>
      </w:r>
      <w:r>
        <w:rPr>
          <w:rStyle w:val="NormalTok"/>
        </w:rPr>
        <w:t xml:space="preserve">, </w:t>
      </w:r>
      <w:r>
        <w:rPr>
          <w:rStyle w:val="DecValTok"/>
        </w:rPr>
        <w:t xml:space="preserve">1</w:t>
      </w:r>
      <w:r>
        <w:rPr>
          <w:rStyle w:val="NormalTok"/>
        </w:rPr>
        <w:t xml:space="preserve">, </w:t>
      </w:r>
      <w:r>
        <w:rPr>
          <w:rStyle w:val="DecValTok"/>
        </w:rPr>
        <w:t xml:space="preserve">200</w:t>
      </w:r>
      <w:r>
        <w:rPr>
          <w:rStyle w:val="NormalTok"/>
        </w:rPr>
        <w:t xml:space="preserve">).reshape(</w:t>
      </w:r>
      <w:r>
        <w:rPr>
          <w:rStyle w:val="OperatorTok"/>
        </w:rPr>
        <w:t xml:space="preserve">-</w:t>
      </w:r>
      <w:r>
        <w:rPr>
          <w:rStyle w:val="DecValTok"/>
        </w:rPr>
        <w:t xml:space="preserve">1</w:t>
      </w:r>
      <w:r>
        <w:rPr>
          <w:rStyle w:val="NormalTok"/>
        </w:rPr>
        <w:t xml:space="preserve">, </w:t>
      </w:r>
      <w:r>
        <w:rPr>
          <w:rStyle w:val="DecValTok"/>
        </w:rPr>
        <w:t xml:space="preserve">1</w:t>
      </w:r>
      <w:r>
        <w:rPr>
          <w:rStyle w:val="NormalTok"/>
        </w:rPr>
        <w:t xml:space="preserve">)</w:t>
      </w:r>
      <w:r>
        <w:br/>
      </w:r>
      <w:r>
        <w:rPr>
          <w:rStyle w:val="NormalTok"/>
        </w:rPr>
        <w:t xml:space="preserve">y </w:t>
      </w:r>
      <w:r>
        <w:rPr>
          <w:rStyle w:val="OperatorTok"/>
        </w:rPr>
        <w:t xml:space="preserve">=</w:t>
      </w:r>
      <w:r>
        <w:rPr>
          <w:rStyle w:val="NormalTok"/>
        </w:rPr>
        <w:t xml:space="preserve"> </w:t>
      </w:r>
      <w:r>
        <w:rPr>
          <w:rStyle w:val="DecValTok"/>
        </w:rPr>
        <w:t xml:space="preserve">2</w:t>
      </w:r>
      <w:r>
        <w:rPr>
          <w:rStyle w:val="OperatorTok"/>
        </w:rPr>
        <w:t xml:space="preserve">*</w:t>
      </w:r>
      <w:r>
        <w:rPr>
          <w:rStyle w:val="NormalTok"/>
        </w:rPr>
        <w:t xml:space="preserve">X </w:t>
      </w:r>
      <w:r>
        <w:rPr>
          <w:rStyle w:val="OperatorTok"/>
        </w:rPr>
        <w:t xml:space="preserve">+</w:t>
      </w:r>
      <w:r>
        <w:rPr>
          <w:rStyle w:val="NormalTok"/>
        </w:rPr>
        <w:t xml:space="preserve"> </w:t>
      </w:r>
      <w:r>
        <w:rPr>
          <w:rStyle w:val="FloatTok"/>
        </w:rPr>
        <w:t xml:space="preserve">0.3</w:t>
      </w:r>
      <w:r>
        <w:rPr>
          <w:rStyle w:val="OperatorTok"/>
        </w:rPr>
        <w:t xml:space="preserve">*</w:t>
      </w:r>
      <w:r>
        <w:rPr>
          <w:rStyle w:val="NormalTok"/>
        </w:rPr>
        <w:t xml:space="preserve">torch.sin(</w:t>
      </w:r>
      <w:r>
        <w:rPr>
          <w:rStyle w:val="DecValTok"/>
        </w:rPr>
        <w:t xml:space="preserve">6</w:t>
      </w:r>
      <w:r>
        <w:rPr>
          <w:rStyle w:val="OperatorTok"/>
        </w:rPr>
        <w:t xml:space="preserve">*</w:t>
      </w:r>
      <w:r>
        <w:rPr>
          <w:rStyle w:val="NormalTok"/>
        </w:rPr>
        <w:t xml:space="preserve">X)</w:t>
      </w:r>
      <w:r>
        <w:br/>
      </w:r>
      <w:r>
        <w:rPr>
          <w:rStyle w:val="NormalTok"/>
        </w:rPr>
        <w:t xml:space="preserve">model </w:t>
      </w:r>
      <w:r>
        <w:rPr>
          <w:rStyle w:val="OperatorTok"/>
        </w:rPr>
        <w:t xml:space="preserve">=</w:t>
      </w:r>
      <w:r>
        <w:rPr>
          <w:rStyle w:val="NormalTok"/>
        </w:rPr>
        <w:t xml:space="preserve"> torch.nn.Sequential(torch.nn.Linear(</w:t>
      </w:r>
      <w:r>
        <w:rPr>
          <w:rStyle w:val="DecValTok"/>
        </w:rPr>
        <w:t xml:space="preserve">1</w:t>
      </w:r>
      <w:r>
        <w:rPr>
          <w:rStyle w:val="NormalTok"/>
        </w:rPr>
        <w:t xml:space="preserve">, </w:t>
      </w:r>
      <w:r>
        <w:rPr>
          <w:rStyle w:val="DecValTok"/>
        </w:rPr>
        <w:t xml:space="preserve">12</w:t>
      </w:r>
      <w:r>
        <w:rPr>
          <w:rStyle w:val="NormalTok"/>
        </w:rPr>
        <w:t xml:space="preserve">), torch.nn.ReLU(), torch.nn.Linear(</w:t>
      </w:r>
      <w:r>
        <w:rPr>
          <w:rStyle w:val="DecValTok"/>
        </w:rPr>
        <w:t xml:space="preserve">12</w:t>
      </w:r>
      <w:r>
        <w:rPr>
          <w:rStyle w:val="NormalTok"/>
        </w:rPr>
        <w:t xml:space="preserve">, </w:t>
      </w:r>
      <w:r>
        <w:rPr>
          <w:rStyle w:val="DecValTok"/>
        </w:rPr>
        <w:t xml:space="preserve">1</w:t>
      </w:r>
      <w:r>
        <w:rPr>
          <w:rStyle w:val="NormalTok"/>
        </w:rPr>
        <w:t xml:space="preserve">))</w:t>
      </w:r>
      <w:r>
        <w:br/>
      </w:r>
      <w:r>
        <w:rPr>
          <w:rStyle w:val="NormalTok"/>
        </w:rPr>
        <w:t xml:space="preserve">optimizer </w:t>
      </w:r>
      <w:r>
        <w:rPr>
          <w:rStyle w:val="OperatorTok"/>
        </w:rPr>
        <w:t xml:space="preserve">=</w:t>
      </w:r>
      <w:r>
        <w:rPr>
          <w:rStyle w:val="NormalTok"/>
        </w:rPr>
        <w:t xml:space="preserve"> torch.optim.Adam(model.parameters(), lr</w:t>
      </w:r>
      <w:r>
        <w:rPr>
          <w:rStyle w:val="OperatorTok"/>
        </w:rPr>
        <w:t xml:space="preserve">=</w:t>
      </w:r>
      <w:r>
        <w:rPr>
          <w:rStyle w:val="FloatTok"/>
        </w:rPr>
        <w:t xml:space="preserve">0.03</w:t>
      </w:r>
      <w:r>
        <w:rPr>
          <w:rStyle w:val="NormalTok"/>
        </w:rPr>
        <w:t xml:space="preserve">)</w:t>
      </w:r>
    </w:p>
    <w:bookmarkEnd w:id="649"/>
    <w:bookmarkEnd w:id="650"/>
    <w:bookmarkStart w:id="671" w:name="computer-vision"/>
    <w:p>
      <w:pPr>
        <w:pStyle w:val="Heading1"/>
        <w:keepNext/>
        <w:pageBreakBefore/>
      </w:pPr>
      <w:r>
        <w:t>50</w:t>
        <w:tab/>
        <w:t>Computer Vision and Spatial Economic Measurement</w:t>
      </w:r>
    </w:p>
    <w:p>
      <w:pPr>
        <w:pStyle w:val="FirstParagraph"/>
      </w:pPr>
      <w:r>
        <w:rPr>
          <w:i/>
          <w:iCs/>
        </w:rPr>
        <w:t xml:space="preserve">Opening question:</w:t>
      </w:r>
      <w:r>
        <w:t xml:space="preserve"> </w:t>
      </w:r>
      <w:r>
        <w:rPr>
          <w:b/>
          <w:bCs/>
        </w:rPr>
        <w:t xml:space="preserve">How does a model transform pixels into useful local patterns without being told the exact edge or texture to search for?</w:t>
      </w:r>
    </w:p>
    <w:bookmarkStart w:id="651" w:name="learning-objectives-30"/>
    <w:p>
      <w:pPr>
        <w:pStyle w:val="Heading2"/>
        <w:keepNext/>
      </w:pPr>
      <w:r>
        <w:t>50.1</w:t>
        <w:tab/>
        <w:t>Learning objectives</w:t>
      </w:r>
    </w:p>
    <w:p>
      <w:pPr>
        <w:pStyle w:val="Compact"/>
        <w:numPr>
          <w:ilvl w:val="0"/>
          <w:numId w:val="1123"/>
        </w:numPr>
      </w:pPr>
      <w:r>
        <w:t xml:space="preserve">Represent images as arrays.</w:t>
      </w:r>
    </w:p>
    <w:p>
      <w:pPr>
        <w:pStyle w:val="Compact"/>
        <w:numPr>
          <w:ilvl w:val="0"/>
          <w:numId w:val="1123"/>
        </w:numPr>
      </w:pPr>
      <w:r>
        <w:t xml:space="preserve">Explain convolution, stride, padding, and channels.</w:t>
      </w:r>
    </w:p>
    <w:p>
      <w:pPr>
        <w:pStyle w:val="Compact"/>
        <w:numPr>
          <w:ilvl w:val="0"/>
          <w:numId w:val="1123"/>
        </w:numPr>
      </w:pPr>
      <w:r>
        <w:t xml:space="preserve">Describe CNNs, augmentation, and transfer learning.</w:t>
      </w:r>
    </w:p>
    <w:p>
      <w:pPr>
        <w:pStyle w:val="Compact"/>
        <w:numPr>
          <w:ilvl w:val="0"/>
          <w:numId w:val="1123"/>
        </w:numPr>
      </w:pPr>
      <w:r>
        <w:t xml:space="preserve">Evaluate errors, bias, and privacy.</w:t>
      </w:r>
    </w:p>
    <w:p>
      <w:pPr>
        <w:pStyle w:val="FirstParagraph"/>
      </w:pPr>
      <w:r>
        <w:rPr>
          <w:b/>
          <w:bCs/>
        </w:rPr>
        <w:t xml:space="preserve">Prerequisites:</w:t>
      </w:r>
      <w:r>
        <w:t xml:space="preserve"> </w:t>
      </w:r>
      <w:r>
        <w:t xml:space="preserve">Chapters 8 and 30.</w:t>
      </w:r>
    </w:p>
    <w:p>
      <w:pPr>
        <w:pStyle w:val="BodyText"/>
      </w:pPr>
      <w:r>
        <w:rPr>
          <w:b/>
          <w:bCs/>
        </w:rPr>
        <w:t xml:space="preserve">Key terms:</w:t>
      </w:r>
      <w:r>
        <w:t xml:space="preserve"> </w:t>
      </w:r>
      <w:r>
        <w:t xml:space="preserve">pixel, channel, convolution, kernel, padding, transfer learning.</w:t>
      </w:r>
    </w:p>
    <w:bookmarkEnd w:id="651"/>
    <w:bookmarkStart w:id="652" w:name="images-are-structured-tensors"/>
    <w:p>
      <w:pPr>
        <w:pStyle w:val="Heading2"/>
        <w:keepNext/>
      </w:pPr>
      <w:r>
        <w:t>50.2</w:t>
        <w:tab/>
        <w:t>Images are structured tensors</w:t>
      </w:r>
    </w:p>
    <w:p>
      <w:pPr>
        <w:pStyle w:val="FirstParagraph"/>
      </w:pPr>
      <w:r>
        <w:t xml:space="preserve">A grayscale image is a two-dimensional array; a colour image commonly adds a channel axis. Pixel scale, channel order, and spatial dimensions must be documented. Resizing changes information, and normalization affects optimization. Plotting a few images and labels is a basic data audit that can reveal corrupted files, wrong orientation, or class leakage.</w:t>
      </w:r>
    </w:p>
    <w:bookmarkEnd w:id="652"/>
    <w:bookmarkStart w:id="653" w:name="X4082afe806a8734721dbbaa3c588f239e81ca29"/>
    <w:p>
      <w:pPr>
        <w:pStyle w:val="Heading2"/>
        <w:keepNext/>
      </w:pPr>
      <w:r>
        <w:t>50.3</w:t>
        <w:tab/>
        <w:t>Convolution searches locally with shared weights</w:t>
      </w:r>
    </w:p>
    <w:p>
      <w:pPr>
        <w:pStyle w:val="FirstParagraph"/>
      </w:pPr>
      <w:r>
        <w:t xml:space="preserve">A convolution slides a small kernel across the image and computes local weighted sums. Weight sharing lets one pattern detector operate in many positions, reducing parameters relative to a fully connected layer. Stride controls movement; padding controls border treatment; multiple filters produce feature maps. Deeper layers combine edges and textures into task-specific representations.</w:t>
      </w:r>
    </w:p>
    <w:bookmarkEnd w:id="653"/>
    <w:bookmarkStart w:id="654" w:name="Xb6e8d618beda3b3453fa05ea03b580705a88aa4"/>
    <w:p>
      <w:pPr>
        <w:pStyle w:val="Heading2"/>
        <w:keepNext/>
      </w:pPr>
      <w:r>
        <w:t>50.4</w:t>
        <w:tab/>
        <w:t>Transfer learning is borrowed representation, not borrowed truth</w:t>
      </w:r>
    </w:p>
    <w:p>
      <w:pPr>
        <w:pStyle w:val="FirstParagraph"/>
      </w:pPr>
      <w:r>
        <w:t xml:space="preserve">A pretrained network can supply useful visual features when the new dataset is small. Fine-tuning adapts some or all weights. Performance depends on similarity between source and target images, class balance, image quality, and deployment conditions. Augmentation should represent plausible variation rather than alter the label. Vision systems can encode demographic bias and expose sensitive images, so privacy and subgroup evaluation are essential.</w:t>
      </w:r>
    </w:p>
    <w:bookmarkEnd w:id="654"/>
    <w:bookmarkStart w:id="655" w:name="core-equations-17"/>
    <w:p>
      <w:pPr>
        <w:pStyle w:val="Heading2"/>
        <w:keepNext/>
      </w:pPr>
      <w:r>
        <w:t>50.5</w:t>
        <w:tab/>
        <w:t>Core equations</w:t>
      </w:r>
    </w:p>
    <w:p>
      <w:pPr>
        <w:pStyle w:val="FirstParagraph"/>
      </w:pPr>
      <w:r>
        <w:rPr>
          <w:b/>
          <w:bCs/>
        </w:rPr>
        <w:t xml:space="preserve">Discrete convolution</w:t>
      </w:r>
    </w:p>
    <w:p>
      <w:pPr>
        <w:pStyle w:val="BodyText"/>
      </w:pPr>
      <m:oMathPara>
        <m:oMathParaPr>
          <m:jc m:val="center"/>
        </m:oMathParaPr>
        <m:oMath>
          <m:sSub>
            <m:e>
              <m:r>
                <m:t>Y</m:t>
              </m:r>
            </m:e>
            <m:sub>
              <m:r>
                <m:t>i</m:t>
              </m:r>
              <m:r>
                <m:rPr>
                  <m:sty m:val="p"/>
                </m:rPr>
                <m:t>,</m:t>
              </m:r>
              <m:r>
                <m:t>j</m:t>
              </m:r>
            </m:sub>
          </m:sSub>
          <m:r>
            <m:rPr>
              <m:sty m:val="p"/>
            </m:rPr>
            <m:t>=</m:t>
          </m:r>
          <m:nary>
            <m:naryPr>
              <m:chr m:val="∑"/>
              <m:limLoc m:val="undOvr"/>
              <m:subHide m:val="off"/>
              <m:supHide m:val="on"/>
            </m:naryPr>
            <m:sub>
              <m:r>
                <m:t>u</m:t>
              </m:r>
            </m:sub>
            <m:sup>
              <m:r>
                <m:t>​</m:t>
              </m:r>
            </m:sup>
            <m:e>
              <m:nary>
                <m:naryPr>
                  <m:chr m:val="∑"/>
                  <m:limLoc m:val="undOvr"/>
                  <m:subHide m:val="off"/>
                  <m:supHide m:val="on"/>
                </m:naryPr>
                <m:sub>
                  <m:r>
                    <m:t>v</m:t>
                  </m:r>
                </m:sub>
                <m:sup>
                  <m:r>
                    <m:t>​</m:t>
                  </m:r>
                </m:sup>
                <m:e>
                  <m:sSub>
                    <m:e>
                      <m:r>
                        <m:t>K</m:t>
                      </m:r>
                    </m:e>
                    <m:sub>
                      <m:r>
                        <m:t>u</m:t>
                      </m:r>
                      <m:r>
                        <m:rPr>
                          <m:sty m:val="p"/>
                        </m:rPr>
                        <m:t>,</m:t>
                      </m:r>
                      <m:r>
                        <m:t>v</m:t>
                      </m:r>
                    </m:sub>
                  </m:sSub>
                </m:e>
              </m:nary>
            </m:e>
          </m:nary>
          <m:sSub>
            <m:e>
              <m:r>
                <m:t>X</m:t>
              </m:r>
            </m:e>
            <m:sub>
              <m:r>
                <m:t>i</m:t>
              </m:r>
              <m:r>
                <m:rPr>
                  <m:sty m:val="p"/>
                </m:rPr>
                <m:t>+</m:t>
              </m:r>
              <m:r>
                <m:t>u</m:t>
              </m:r>
              <m:r>
                <m:rPr>
                  <m:sty m:val="p"/>
                </m:rPr>
                <m:t>,</m:t>
              </m:r>
              <m:r>
                <m:t>j</m:t>
              </m:r>
              <m:r>
                <m:rPr>
                  <m:sty m:val="p"/>
                </m:rPr>
                <m:t>+</m:t>
              </m:r>
              <m:r>
                <m:t>v</m:t>
              </m:r>
            </m:sub>
          </m:sSub>
        </m:oMath>
      </m:oMathPara>
    </w:p>
    <w:p>
      <w:pPr>
        <w:pStyle w:val="FirstParagraph"/>
      </w:pPr>
      <w:r>
        <w:t xml:space="preserve">A kernel K aggregates a local neighbourhood of image X into an output feature Y.</w:t>
      </w:r>
    </w:p>
    <w:bookmarkEnd w:id="655"/>
    <w:bookmarkStart w:id="658" w:name="python-demonstrations-30"/>
    <w:p>
      <w:pPr>
        <w:pStyle w:val="Heading2"/>
        <w:keepNext/>
      </w:pPr>
      <w:r>
        <w:t>50.6</w:t>
        <w:tab/>
        <w:t>Python demonstrations</w:t>
      </w:r>
    </w:p>
    <w:bookmarkStart w:id="656" w:name="X7ed5d0b57c3b7bddaaef48a17b12087d19cfe72"/>
    <w:p>
      <w:pPr>
        <w:pStyle w:val="Heading3"/>
        <w:keepNext/>
      </w:pPr>
      <w:r>
        <w:t>50.6.1</w:t>
        <w:tab/>
        <w:t>Demonstration 31.1: Apply a simple edge kernel</w:t>
      </w:r>
    </w:p>
    <w:p>
      <w:pPr>
        <w:pStyle w:val="SourceCode"/>
        <w:shd w:fill="F6F8FA" w:val="clear"/>
      </w:pPr>
      <w:r>
        <w:rPr>
          <w:rStyle w:val="ImportTok"/>
        </w:rPr>
        <w:t xml:space="preserve">import</w:t>
      </w:r>
      <w:r>
        <w:rPr>
          <w:rStyle w:val="NormalTok"/>
        </w:rPr>
        <w:t xml:space="preserve"> numpy </w:t>
      </w:r>
      <w:r>
        <w:rPr>
          <w:rStyle w:val="ImportTok"/>
        </w:rPr>
        <w:t xml:space="preserve">as</w:t>
      </w:r>
      <w:r>
        <w:rPr>
          <w:rStyle w:val="NormalTok"/>
        </w:rPr>
        <w:t xml:space="preserve"> np</w:t>
      </w:r>
      <w:r>
        <w:br/>
      </w:r>
      <w:r>
        <w:rPr>
          <w:rStyle w:val="ImportTok"/>
        </w:rPr>
        <w:t xml:space="preserve">from</w:t>
      </w:r>
      <w:r>
        <w:rPr>
          <w:rStyle w:val="NormalTok"/>
        </w:rPr>
        <w:t xml:space="preserve"> scipy.signal </w:t>
      </w:r>
      <w:r>
        <w:rPr>
          <w:rStyle w:val="ImportTok"/>
        </w:rPr>
        <w:t xml:space="preserve">import</w:t>
      </w:r>
      <w:r>
        <w:rPr>
          <w:rStyle w:val="NormalTok"/>
        </w:rPr>
        <w:t xml:space="preserve"> convolve2d</w:t>
      </w:r>
      <w:r>
        <w:br/>
      </w:r>
      <w:r>
        <w:br/>
      </w:r>
      <w:r>
        <w:rPr>
          <w:rStyle w:val="NormalTok"/>
        </w:rPr>
        <w:t xml:space="preserve">image </w:t>
      </w:r>
      <w:r>
        <w:rPr>
          <w:rStyle w:val="OperatorTok"/>
        </w:rPr>
        <w:t xml:space="preserve">=</w:t>
      </w:r>
      <w:r>
        <w:rPr>
          <w:rStyle w:val="NormalTok"/>
        </w:rPr>
        <w:t xml:space="preserve"> np.zeros((</w:t>
      </w:r>
      <w:r>
        <w:rPr>
          <w:rStyle w:val="DecValTok"/>
        </w:rPr>
        <w:t xml:space="preserve">8</w:t>
      </w:r>
      <w:r>
        <w:rPr>
          <w:rStyle w:val="NormalTok"/>
        </w:rPr>
        <w:t xml:space="preserve">, </w:t>
      </w:r>
      <w:r>
        <w:rPr>
          <w:rStyle w:val="DecValTok"/>
        </w:rPr>
        <w:t xml:space="preserve">8</w:t>
      </w:r>
      <w:r>
        <w:rPr>
          <w:rStyle w:val="NormalTok"/>
        </w:rPr>
        <w:t xml:space="preserve">))</w:t>
      </w:r>
      <w:r>
        <w:rPr>
          <w:rStyle w:val="OperatorTok"/>
        </w:rPr>
        <w:t xml:space="preserve">;</w:t>
      </w:r>
      <w:r>
        <w:rPr>
          <w:rStyle w:val="NormalTok"/>
        </w:rPr>
        <w:t xml:space="preserve"> image[:, </w:t>
      </w:r>
      <w:r>
        <w:rPr>
          <w:rStyle w:val="DecValTok"/>
        </w:rPr>
        <w:t xml:space="preserve">4</w:t>
      </w:r>
      <w:r>
        <w:rPr>
          <w:rStyle w:val="NormalTok"/>
        </w:rPr>
        <w:t xml:space="preserve">:] </w:t>
      </w:r>
      <w:r>
        <w:rPr>
          <w:rStyle w:val="OperatorTok"/>
        </w:rPr>
        <w:t xml:space="preserve">=</w:t>
      </w:r>
      <w:r>
        <w:rPr>
          <w:rStyle w:val="NormalTok"/>
        </w:rPr>
        <w:t xml:space="preserve"> </w:t>
      </w:r>
      <w:r>
        <w:rPr>
          <w:rStyle w:val="DecValTok"/>
        </w:rPr>
        <w:t xml:space="preserve">1</w:t>
      </w:r>
      <w:r>
        <w:br/>
      </w:r>
      <w:r>
        <w:rPr>
          <w:rStyle w:val="NormalTok"/>
        </w:rPr>
        <w:t xml:space="preserve">kernel </w:t>
      </w:r>
      <w:r>
        <w:rPr>
          <w:rStyle w:val="OperatorTok"/>
        </w:rPr>
        <w:t xml:space="preserve">=</w:t>
      </w:r>
      <w:r>
        <w:rPr>
          <w:rStyle w:val="NormalTok"/>
        </w:rPr>
        <w:t xml:space="preserve"> np.array([[</w:t>
      </w:r>
      <w:r>
        <w:rPr>
          <w:rStyle w:val="OperatorTok"/>
        </w:rPr>
        <w:t xml:space="preserve">-</w:t>
      </w:r>
      <w:r>
        <w:rPr>
          <w:rStyle w:val="DecValTok"/>
        </w:rPr>
        <w:t xml:space="preserve">1</w:t>
      </w:r>
      <w:r>
        <w:rPr>
          <w:rStyle w:val="NormalTok"/>
        </w:rPr>
        <w:t xml:space="preserve">, </w:t>
      </w:r>
      <w:r>
        <w:rPr>
          <w:rStyle w:val="DecValTok"/>
        </w:rPr>
        <w:t xml:space="preserve">0</w:t>
      </w:r>
      <w:r>
        <w:rPr>
          <w:rStyle w:val="NormalTok"/>
        </w:rPr>
        <w:t xml:space="preserve">, </w:t>
      </w:r>
      <w:r>
        <w:rPr>
          <w:rStyle w:val="DecValTok"/>
        </w:rPr>
        <w:t xml:space="preserve">1</w:t>
      </w:r>
      <w:r>
        <w:rPr>
          <w:rStyle w:val="NormalTok"/>
        </w:rPr>
        <w:t xml:space="preserve">], [</w:t>
      </w:r>
      <w:r>
        <w:rPr>
          <w:rStyle w:val="OperatorTok"/>
        </w:rPr>
        <w:t xml:space="preserve">-</w:t>
      </w:r>
      <w:r>
        <w:rPr>
          <w:rStyle w:val="DecValTok"/>
        </w:rPr>
        <w:t xml:space="preserve">1</w:t>
      </w:r>
      <w:r>
        <w:rPr>
          <w:rStyle w:val="NormalTok"/>
        </w:rPr>
        <w:t xml:space="preserve">, </w:t>
      </w:r>
      <w:r>
        <w:rPr>
          <w:rStyle w:val="DecValTok"/>
        </w:rPr>
        <w:t xml:space="preserve">0</w:t>
      </w:r>
      <w:r>
        <w:rPr>
          <w:rStyle w:val="NormalTok"/>
        </w:rPr>
        <w:t xml:space="preserve">, </w:t>
      </w:r>
      <w:r>
        <w:rPr>
          <w:rStyle w:val="DecValTok"/>
        </w:rPr>
        <w:t xml:space="preserve">1</w:t>
      </w:r>
      <w:r>
        <w:rPr>
          <w:rStyle w:val="NormalTok"/>
        </w:rPr>
        <w:t xml:space="preserve">], [</w:t>
      </w:r>
      <w:r>
        <w:rPr>
          <w:rStyle w:val="OperatorTok"/>
        </w:rPr>
        <w:t xml:space="preserve">-</w:t>
      </w:r>
      <w:r>
        <w:rPr>
          <w:rStyle w:val="DecValTok"/>
        </w:rPr>
        <w:t xml:space="preserve">1</w:t>
      </w:r>
      <w:r>
        <w:rPr>
          <w:rStyle w:val="NormalTok"/>
        </w:rPr>
        <w:t xml:space="preserve">, </w:t>
      </w:r>
      <w:r>
        <w:rPr>
          <w:rStyle w:val="DecValTok"/>
        </w:rPr>
        <w:t xml:space="preserve">0</w:t>
      </w:r>
      <w:r>
        <w:rPr>
          <w:rStyle w:val="NormalTok"/>
        </w:rPr>
        <w:t xml:space="preserve">, </w:t>
      </w:r>
      <w:r>
        <w:rPr>
          <w:rStyle w:val="DecValTok"/>
        </w:rPr>
        <w:t xml:space="preserve">1</w:t>
      </w:r>
      <w:r>
        <w:rPr>
          <w:rStyle w:val="NormalTok"/>
        </w:rPr>
        <w:t xml:space="preserve">]])</w:t>
      </w:r>
      <w:r>
        <w:br/>
      </w:r>
      <w:r>
        <w:rPr>
          <w:rStyle w:val="NormalTok"/>
        </w:rPr>
        <w:t xml:space="preserve">feature </w:t>
      </w:r>
      <w:r>
        <w:rPr>
          <w:rStyle w:val="OperatorTok"/>
        </w:rPr>
        <w:t xml:space="preserve">=</w:t>
      </w:r>
      <w:r>
        <w:rPr>
          <w:rStyle w:val="NormalTok"/>
        </w:rPr>
        <w:t xml:space="preserve"> convolve2d(image, kernel, mode</w:t>
      </w:r>
      <w:r>
        <w:rPr>
          <w:rStyle w:val="OperatorTok"/>
        </w:rPr>
        <w:t xml:space="preserve">=</w:t>
      </w:r>
      <w:r>
        <w:rPr>
          <w:rStyle w:val="StringTok"/>
        </w:rPr>
        <w:t xml:space="preserve">"same"</w:t>
      </w:r>
      <w:r>
        <w:rPr>
          <w:rStyle w:val="NormalTok"/>
        </w:rPr>
        <w:t xml:space="preserve">, boundary</w:t>
      </w:r>
      <w:r>
        <w:rPr>
          <w:rStyle w:val="OperatorTok"/>
        </w:rPr>
        <w:t xml:space="preserve">=</w:t>
      </w:r>
      <w:r>
        <w:rPr>
          <w:rStyle w:val="StringTok"/>
        </w:rPr>
        <w:t xml:space="preserve">"symm"</w:t>
      </w:r>
      <w:r>
        <w:rPr>
          <w:rStyle w:val="NormalTok"/>
        </w:rPr>
        <w:t xml:space="preserve">)</w:t>
      </w:r>
      <w:r>
        <w:br/>
      </w:r>
      <w:r>
        <w:rPr>
          <w:rStyle w:val="BuiltInTok"/>
        </w:rPr>
        <w:t xml:space="preserve">print</w:t>
      </w:r>
      <w:r>
        <w:rPr>
          <w:rStyle w:val="NormalTok"/>
        </w:rPr>
        <w:t xml:space="preserve">(</w:t>
      </w:r>
      <w:r>
        <w:rPr>
          <w:rStyle w:val="BuiltInTok"/>
        </w:rPr>
        <w:t xml:space="preserve">float</w:t>
      </w:r>
      <w:r>
        <w:rPr>
          <w:rStyle w:val="NormalTok"/>
        </w:rPr>
        <w:t xml:space="preserve">(np.</w:t>
      </w:r>
      <w:r>
        <w:rPr>
          <w:rStyle w:val="BuiltInTok"/>
        </w:rPr>
        <w:t xml:space="preserve">abs</w:t>
      </w:r>
      <w:r>
        <w:rPr>
          <w:rStyle w:val="NormalTok"/>
        </w:rPr>
        <w:t xml:space="preserve">(feature).</w:t>
      </w:r>
      <w:r>
        <w:rPr>
          <w:rStyle w:val="BuiltInTok"/>
        </w:rPr>
        <w:t xml:space="preserve">max</w:t>
      </w:r>
      <w:r>
        <w:rPr>
          <w:rStyle w:val="NormalTok"/>
        </w:rPr>
        <w:t xml:space="preserve">()), feature.shape)</w:t>
      </w:r>
    </w:p>
    <w:p>
      <w:pPr>
        <w:pStyle w:val="FirstParagraph"/>
      </w:pPr>
      <w:r>
        <w:rPr>
          <w:b/>
          <w:bCs/>
        </w:rPr>
        <w:t xml:space="preserve">Verified output</w:t>
      </w:r>
    </w:p>
    <w:p>
      <w:pPr>
        <w:pStyle w:val="SourceCode"/>
        <w:keepLines/>
        <w:shd w:fill="F6F8FA" w:val="clear"/>
      </w:pPr>
      <w:r>
        <w:rPr>
          <w:rStyle w:val="VerbatimChar"/>
        </w:rPr>
        <w:t xml:space="preserve">3.0 (8, 8)</w:t>
      </w:r>
    </w:p>
    <w:p>
      <w:pPr>
        <w:pStyle w:val="FirstParagraph"/>
      </w:pPr>
      <w:r>
        <w:rPr>
          <w:b/>
          <w:bCs/>
        </w:rPr>
        <w:t xml:space="preserve">Interpretation.</w:t>
      </w:r>
      <w:r>
        <w:t xml:space="preserve"> </w:t>
      </w:r>
      <w:r>
        <w:t xml:space="preserve">The vertical edge creates a strong response where intensity changes across columns.</w:t>
      </w:r>
    </w:p>
    <w:bookmarkEnd w:id="656"/>
    <w:bookmarkStart w:id="657" w:name="X6f5940f93cdbd1246985dc1dd9fc3e7309e10b8"/>
    <w:p>
      <w:pPr>
        <w:pStyle w:val="Heading3"/>
        <w:keepNext/>
      </w:pPr>
      <w:r>
        <w:t>50.6.2</w:t>
        <w:tab/>
        <w:t>Demonstration 31.2: Inspect a tensor shape</w:t>
      </w:r>
    </w:p>
    <w:p>
      <w:pPr>
        <w:pStyle w:val="SourceCode"/>
        <w:keepLines/>
        <w:shd w:fill="F6F8FA" w:val="clear"/>
      </w:pPr>
      <w:r>
        <w:rPr>
          <w:rStyle w:val="ImportTok"/>
        </w:rPr>
        <w:t xml:space="preserve">import</w:t>
      </w:r>
      <w:r>
        <w:rPr>
          <w:rStyle w:val="NormalTok"/>
        </w:rPr>
        <w:t xml:space="preserve"> torch</w:t>
      </w:r>
      <w:r>
        <w:br/>
      </w:r>
      <w:r>
        <w:br/>
      </w:r>
      <w:r>
        <w:rPr>
          <w:rStyle w:val="NormalTok"/>
        </w:rPr>
        <w:t xml:space="preserve">batch </w:t>
      </w:r>
      <w:r>
        <w:rPr>
          <w:rStyle w:val="OperatorTok"/>
        </w:rPr>
        <w:t xml:space="preserve">=</w:t>
      </w:r>
      <w:r>
        <w:rPr>
          <w:rStyle w:val="NormalTok"/>
        </w:rPr>
        <w:t xml:space="preserve"> torch.zeros((</w:t>
      </w:r>
      <w:r>
        <w:rPr>
          <w:rStyle w:val="DecValTok"/>
        </w:rPr>
        <w:t xml:space="preserve">16</w:t>
      </w:r>
      <w:r>
        <w:rPr>
          <w:rStyle w:val="NormalTok"/>
        </w:rPr>
        <w:t xml:space="preserve">, </w:t>
      </w:r>
      <w:r>
        <w:rPr>
          <w:rStyle w:val="DecValTok"/>
        </w:rPr>
        <w:t xml:space="preserve">3</w:t>
      </w:r>
      <w:r>
        <w:rPr>
          <w:rStyle w:val="NormalTok"/>
        </w:rPr>
        <w:t xml:space="preserve">, </w:t>
      </w:r>
      <w:r>
        <w:rPr>
          <w:rStyle w:val="DecValTok"/>
        </w:rPr>
        <w:t xml:space="preserve">64</w:t>
      </w:r>
      <w:r>
        <w:rPr>
          <w:rStyle w:val="NormalTok"/>
        </w:rPr>
        <w:t xml:space="preserve">, </w:t>
      </w:r>
      <w:r>
        <w:rPr>
          <w:rStyle w:val="DecValTok"/>
        </w:rPr>
        <w:t xml:space="preserve">64</w:t>
      </w:r>
      <w:r>
        <w:rPr>
          <w:rStyle w:val="NormalTok"/>
        </w:rPr>
        <w:t xml:space="preserve">))</w:t>
      </w:r>
      <w:r>
        <w:br/>
      </w:r>
      <w:r>
        <w:rPr>
          <w:rStyle w:val="NormalTok"/>
        </w:rPr>
        <w:t xml:space="preserve">conv </w:t>
      </w:r>
      <w:r>
        <w:rPr>
          <w:rStyle w:val="OperatorTok"/>
        </w:rPr>
        <w:t xml:space="preserve">=</w:t>
      </w:r>
      <w:r>
        <w:rPr>
          <w:rStyle w:val="NormalTok"/>
        </w:rPr>
        <w:t xml:space="preserve"> torch.nn.Conv2d(in_channels</w:t>
      </w:r>
      <w:r>
        <w:rPr>
          <w:rStyle w:val="OperatorTok"/>
        </w:rPr>
        <w:t xml:space="preserve">=</w:t>
      </w:r>
      <w:r>
        <w:rPr>
          <w:rStyle w:val="DecValTok"/>
        </w:rPr>
        <w:t xml:space="preserve">3</w:t>
      </w:r>
      <w:r>
        <w:rPr>
          <w:rStyle w:val="NormalTok"/>
        </w:rPr>
        <w:t xml:space="preserve">, out_channels</w:t>
      </w:r>
      <w:r>
        <w:rPr>
          <w:rStyle w:val="OperatorTok"/>
        </w:rPr>
        <w:t xml:space="preserve">=</w:t>
      </w:r>
      <w:r>
        <w:rPr>
          <w:rStyle w:val="DecValTok"/>
        </w:rPr>
        <w:t xml:space="preserve">8</w:t>
      </w:r>
      <w:r>
        <w:rPr>
          <w:rStyle w:val="NormalTok"/>
        </w:rPr>
        <w:t xml:space="preserve">, kernel_size</w:t>
      </w:r>
      <w:r>
        <w:rPr>
          <w:rStyle w:val="OperatorTok"/>
        </w:rPr>
        <w:t xml:space="preserve">=</w:t>
      </w:r>
      <w:r>
        <w:rPr>
          <w:rStyle w:val="DecValTok"/>
        </w:rPr>
        <w:t xml:space="preserve">3</w:t>
      </w:r>
      <w:r>
        <w:rPr>
          <w:rStyle w:val="NormalTok"/>
        </w:rPr>
        <w:t xml:space="preserve">, padding</w:t>
      </w:r>
      <w:r>
        <w:rPr>
          <w:rStyle w:val="OperatorTok"/>
        </w:rPr>
        <w:t xml:space="preserve">=</w:t>
      </w:r>
      <w:r>
        <w:rPr>
          <w:rStyle w:val="DecValTok"/>
        </w:rPr>
        <w:t xml:space="preserve">1</w:t>
      </w:r>
      <w:r>
        <w:rPr>
          <w:rStyle w:val="NormalTok"/>
        </w:rPr>
        <w:t xml:space="preserve">)</w:t>
      </w:r>
      <w:r>
        <w:br/>
      </w:r>
      <w:r>
        <w:rPr>
          <w:rStyle w:val="NormalTok"/>
        </w:rPr>
        <w:t xml:space="preserve">out </w:t>
      </w:r>
      <w:r>
        <w:rPr>
          <w:rStyle w:val="OperatorTok"/>
        </w:rPr>
        <w:t xml:space="preserve">=</w:t>
      </w:r>
      <w:r>
        <w:rPr>
          <w:rStyle w:val="NormalTok"/>
        </w:rPr>
        <w:t xml:space="preserve"> conv(batch)</w:t>
      </w:r>
      <w:r>
        <w:br/>
      </w:r>
      <w:r>
        <w:rPr>
          <w:rStyle w:val="BuiltInTok"/>
        </w:rPr>
        <w:t xml:space="preserve">print</w:t>
      </w:r>
      <w:r>
        <w:rPr>
          <w:rStyle w:val="NormalTok"/>
        </w:rPr>
        <w:t xml:space="preserve">(</w:t>
      </w:r>
      <w:r>
        <w:rPr>
          <w:rStyle w:val="BuiltInTok"/>
        </w:rPr>
        <w:t xml:space="preserve">tuple</w:t>
      </w:r>
      <w:r>
        <w:rPr>
          <w:rStyle w:val="NormalTok"/>
        </w:rPr>
        <w:t xml:space="preserve">(out.shape))</w:t>
      </w:r>
    </w:p>
    <w:p>
      <w:pPr>
        <w:pStyle w:val="FirstParagraph"/>
      </w:pPr>
      <w:r>
        <w:rPr>
          <w:b/>
          <w:bCs/>
        </w:rPr>
        <w:t xml:space="preserve">Verified output</w:t>
      </w:r>
    </w:p>
    <w:p>
      <w:pPr>
        <w:pStyle w:val="SourceCode"/>
        <w:keepLines/>
        <w:shd w:fill="F6F8FA" w:val="clear"/>
      </w:pPr>
      <w:r>
        <w:rPr>
          <w:rStyle w:val="VerbatimChar"/>
        </w:rPr>
        <w:t xml:space="preserve">(16, 8, 64, 64)</w:t>
      </w:r>
    </w:p>
    <w:p>
      <w:pPr>
        <w:pStyle w:val="FirstParagraph"/>
      </w:pPr>
      <w:r>
        <w:rPr>
          <w:b/>
          <w:bCs/>
        </w:rPr>
        <w:t xml:space="preserve">Interpretation.</w:t>
      </w:r>
      <w:r>
        <w:t xml:space="preserve"> </w:t>
      </w:r>
      <w:r>
        <w:t xml:space="preserve">Padding preserves height and width, while eight learned filters replace the three input channels.</w:t>
      </w:r>
    </w:p>
    <w:bookmarkEnd w:id="657"/>
    <w:bookmarkEnd w:id="658"/>
    <w:bookmarkStart w:id="665" w:name="visual-evidence-30"/>
    <w:p>
      <w:pPr>
        <w:pStyle w:val="Heading2"/>
        <w:keepNext/>
      </w:pPr>
      <w:r>
        <w:t>50.7</w:t>
        <w:tab/>
        <w:t>Visual evidence</w:t>
      </w:r>
    </w:p>
    <w:p>
      <w:pPr>
        <w:pStyle w:val="FirstParagraph"/>
      </w:pPr>
      <w:r>
        <w:drawing>
          <wp:inline>
            <wp:extent cx="4907280" cy="1768027"/>
            <wp:effectExtent b="0" l="0" r="0" t="0"/>
            <wp:docPr descr="Image: rId659.png" title="" id="660" name="Picture"/>
            <a:graphic>
              <a:graphicData uri="http://schemas.openxmlformats.org/drawingml/2006/picture">
                <pic:pic>
                  <pic:nvPicPr>
                    <pic:cNvPr descr="figures/fig_58_convolution.png" id="661" name="Picture"/>
                    <pic:cNvPicPr>
                      <a:picLocks noChangeArrowheads="1" noChangeAspect="1"/>
                    </pic:cNvPicPr>
                  </pic:nvPicPr>
                  <pic:blipFill>
                    <a:blip r:embed="rId659"/>
                    <a:stretch>
                      <a:fillRect/>
                    </a:stretch>
                  </pic:blipFill>
                  <pic:spPr bwMode="auto">
                    <a:xfrm>
                      <a:off x="0" y="0"/>
                      <a:ext cx="4907280" cy="1768027"/>
                    </a:xfrm>
                    <a:prstGeom prst="rect">
                      <a:avLst/>
                    </a:prstGeom>
                    <a:noFill/>
                    <a:ln w="9525">
                      <a:noFill/>
                      <a:headEnd/>
                      <a:tailEnd/>
                    </a:ln>
                  </pic:spPr>
                </pic:pic>
              </a:graphicData>
            </a:graphic>
          </wp:inline>
        </w:drawing>
      </w:r>
    </w:p>
    <w:p>
      <w:pPr>
        <w:pStyle w:val="Caption"/>
        <w:keepNext w:val="0"/>
        <w:jc w:val="center"/>
      </w:pPr>
      <w:r>
        <w:rPr>
          <w:b/>
          <w:bCs/>
        </w:rPr>
        <w:t xml:space="preserve">Figure 58.</w:t>
      </w:r>
      <w:r>
        <w:t xml:space="preserve"> </w:t>
      </w:r>
      <w:r>
        <w:t xml:space="preserve">A small convolution kernel highlights vertical edges in an image.</w:t>
      </w:r>
    </w:p>
    <w:p>
      <w:pPr>
        <w:pStyle w:val="BodyText"/>
      </w:pPr>
      <w:r>
        <w:drawing>
          <wp:inline>
            <wp:extent cx="4907280" cy="1352488"/>
            <wp:effectExtent b="0" l="0" r="0" t="0"/>
            <wp:docPr descr="Image: rId662.png" title="" id="663" name="Picture"/>
            <a:graphic>
              <a:graphicData uri="http://schemas.openxmlformats.org/drawingml/2006/picture">
                <pic:pic>
                  <pic:nvPicPr>
                    <pic:cNvPr descr="figures/fig_59_feature_maps.png" id="664" name="Picture"/>
                    <pic:cNvPicPr>
                      <a:picLocks noChangeArrowheads="1" noChangeAspect="1"/>
                    </pic:cNvPicPr>
                  </pic:nvPicPr>
                  <pic:blipFill>
                    <a:blip r:embed="rId662"/>
                    <a:stretch>
                      <a:fillRect/>
                    </a:stretch>
                  </pic:blipFill>
                  <pic:spPr bwMode="auto">
                    <a:xfrm>
                      <a:off x="0" y="0"/>
                      <a:ext cx="4907280" cy="1352488"/>
                    </a:xfrm>
                    <a:prstGeom prst="rect">
                      <a:avLst/>
                    </a:prstGeom>
                    <a:noFill/>
                    <a:ln w="9525">
                      <a:noFill/>
                      <a:headEnd/>
                      <a:tailEnd/>
                    </a:ln>
                  </pic:spPr>
                </pic:pic>
              </a:graphicData>
            </a:graphic>
          </wp:inline>
        </w:drawing>
      </w:r>
    </w:p>
    <w:p>
      <w:pPr>
        <w:pStyle w:val="Caption"/>
        <w:keepNext w:val="0"/>
        <w:jc w:val="center"/>
      </w:pPr>
      <w:r>
        <w:rPr>
          <w:b/>
          <w:bCs/>
        </w:rPr>
        <w:t xml:space="preserve">Figure 59.</w:t>
      </w:r>
      <w:r>
        <w:t xml:space="preserve"> </w:t>
      </w:r>
      <w:r>
        <w:t xml:space="preserve">Different convolution filters extract different local image structures.</w:t>
      </w:r>
    </w:p>
    <w:bookmarkEnd w:id="665"/>
    <w:bookmarkStart w:id="666" w:name="reference-table-30"/>
    <w:p>
      <w:pPr>
        <w:pStyle w:val="Heading2"/>
        <w:keepNext/>
      </w:pPr>
      <w:r>
        <w:t>50.8</w:t>
        <w:tab/>
        <w:t>Reference table</w:t>
      </w:r>
    </w:p>
    <w:p>
      <w:pPr>
        <w:pStyle w:val="Caption"/>
        <w:keepNext/>
        <w:jc w:val="center"/>
      </w:pPr>
      <w:r>
        <w:rPr>
          <w:b/>
          <w:bCs/>
        </w:rPr>
        <w:t xml:space="preserve">Table 31. Chapter reference.</w:t>
      </w:r>
    </w:p>
    <w:tbl>
      <w:tblPr>
        <w:tblStyle w:val="Table"/>
        <w:tblW w:type="pct" w:w="5000"/>
        <w:jc w:val="center"/>
        <w:tblLayout w:type="autofit"/>
        <w:tblLook w:firstRow="1" w:lastRow="0" w:firstColumn="0" w:lastColumn="0" w:noHBand="0" w:noVBand="0" w:val="0020"/>
      </w:tblPr>
      <w:tblGrid>
        <w:gridCol w:w="2640"/>
        <w:gridCol w:w="2640"/>
        <w:gridCol w:w="2640"/>
      </w:tblGrid>
      <w:tr>
        <w:trPr>
          <w:tblHeader w:val="on"/>
          <w:tblHeader w:val="true"/>
          <w:cantSplit/>
        </w:trPr>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0A2342" w:val="clear"/>
          </w:tcPr>
          <w:p>
            <w:pPr>
              <w:pStyle w:val="Compact"/>
              <w:spacing w:before="30" w:after="30" w:line="240" w:lineRule="auto"/>
              <w:jc w:val="left"/>
            </w:pPr>
            <w:r>
              <w:rPr>
                <w:rFonts w:ascii="Noto Sans" w:hAnsi="Noto Sans" w:eastAsia="Noto Sans" w:cs="Noto Sans"/>
                <w:b/>
                <w:color w:val="FFFFFF"/>
                <w:sz w:val="16"/>
              </w:rPr>
              <w:t xml:space="preserve">Choice</w:t>
            </w:r>
          </w:p>
        </w:tc>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0A2342" w:val="clear"/>
          </w:tcPr>
          <w:p>
            <w:pPr>
              <w:pStyle w:val="Compact"/>
              <w:spacing w:before="30" w:after="30" w:line="240" w:lineRule="auto"/>
              <w:jc w:val="left"/>
            </w:pPr>
            <w:r>
              <w:rPr>
                <w:rFonts w:ascii="Noto Sans" w:hAnsi="Noto Sans" w:eastAsia="Noto Sans" w:cs="Noto Sans"/>
                <w:b/>
                <w:color w:val="FFFFFF"/>
                <w:sz w:val="16"/>
              </w:rPr>
              <w:t xml:space="preserve">Effect</w:t>
            </w:r>
          </w:p>
        </w:tc>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0A2342" w:val="clear"/>
          </w:tcPr>
          <w:p>
            <w:pPr>
              <w:pStyle w:val="Compact"/>
              <w:spacing w:before="30" w:after="30" w:line="240" w:lineRule="auto"/>
              <w:jc w:val="left"/>
            </w:pPr>
            <w:r>
              <w:rPr>
                <w:rFonts w:ascii="Noto Sans" w:hAnsi="Noto Sans" w:eastAsia="Noto Sans" w:cs="Noto Sans"/>
                <w:b/>
                <w:color w:val="FFFFFF"/>
                <w:sz w:val="16"/>
              </w:rPr>
              <w:t xml:space="preserve">Question</w:t>
            </w:r>
          </w:p>
        </w:tc>
      </w:tr>
      <w:tr>
        <w:trPr>
          <w:cantSplit/>
        </w:trPr>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EEF4F8" w:val="clear"/>
          </w:tcPr>
          <w:p>
            <w:pPr>
              <w:pStyle w:val="Compact"/>
              <w:spacing w:before="30" w:after="30" w:line="240" w:lineRule="auto"/>
              <w:jc w:val="left"/>
            </w:pPr>
            <w:r>
              <w:rPr>
                <w:rFonts w:ascii="Noto Sans" w:hAnsi="Noto Sans" w:eastAsia="Noto Sans" w:cs="Noto Sans"/>
                <w:b w:val="0"/>
                <w:color w:val="18212B"/>
                <w:sz w:val="16"/>
              </w:rPr>
              <w:t xml:space="preserve">kernel size</w:t>
            </w:r>
          </w:p>
        </w:tc>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EEF4F8" w:val="clear"/>
          </w:tcPr>
          <w:p>
            <w:pPr>
              <w:pStyle w:val="Compact"/>
              <w:spacing w:before="30" w:after="30" w:line="240" w:lineRule="auto"/>
              <w:jc w:val="left"/>
            </w:pPr>
            <w:r>
              <w:rPr>
                <w:rFonts w:ascii="Noto Sans" w:hAnsi="Noto Sans" w:eastAsia="Noto Sans" w:cs="Noto Sans"/>
                <w:b w:val="0"/>
                <w:color w:val="18212B"/>
                <w:sz w:val="16"/>
              </w:rPr>
              <w:t xml:space="preserve">local receptive field</w:t>
            </w:r>
          </w:p>
        </w:tc>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EEF4F8" w:val="clear"/>
          </w:tcPr>
          <w:p>
            <w:pPr>
              <w:pStyle w:val="Compact"/>
              <w:spacing w:before="30" w:after="30" w:line="240" w:lineRule="auto"/>
              <w:jc w:val="left"/>
            </w:pPr>
            <w:r>
              <w:rPr>
                <w:rFonts w:ascii="Noto Sans" w:hAnsi="Noto Sans" w:eastAsia="Noto Sans" w:cs="Noto Sans"/>
                <w:b w:val="0"/>
                <w:color w:val="18212B"/>
                <w:sz w:val="16"/>
              </w:rPr>
              <w:t xml:space="preserve">What pattern scale matters?</w:t>
            </w:r>
          </w:p>
        </w:tc>
      </w:tr>
      <w:tr>
        <w:trPr>
          <w:cantSplit/>
        </w:trPr>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FFFFFF" w:val="clear"/>
          </w:tcPr>
          <w:p>
            <w:pPr>
              <w:pStyle w:val="Compact"/>
              <w:spacing w:before="30" w:after="30" w:line="240" w:lineRule="auto"/>
              <w:jc w:val="left"/>
            </w:pPr>
            <w:r>
              <w:rPr>
                <w:rFonts w:ascii="Noto Sans" w:hAnsi="Noto Sans" w:eastAsia="Noto Sans" w:cs="Noto Sans"/>
                <w:b w:val="0"/>
                <w:color w:val="18212B"/>
                <w:sz w:val="16"/>
              </w:rPr>
              <w:t xml:space="preserve">stride</w:t>
            </w:r>
          </w:p>
        </w:tc>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FFFFFF" w:val="clear"/>
          </w:tcPr>
          <w:p>
            <w:pPr>
              <w:pStyle w:val="Compact"/>
              <w:spacing w:before="30" w:after="30" w:line="240" w:lineRule="auto"/>
              <w:jc w:val="left"/>
            </w:pPr>
            <w:r>
              <w:rPr>
                <w:rFonts w:ascii="Noto Sans" w:hAnsi="Noto Sans" w:eastAsia="Noto Sans" w:cs="Noto Sans"/>
                <w:b w:val="0"/>
                <w:color w:val="18212B"/>
                <w:sz w:val="16"/>
              </w:rPr>
              <w:t xml:space="preserve">downsampling</w:t>
            </w:r>
          </w:p>
        </w:tc>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FFFFFF" w:val="clear"/>
          </w:tcPr>
          <w:p>
            <w:pPr>
              <w:pStyle w:val="Compact"/>
              <w:spacing w:before="30" w:after="30" w:line="240" w:lineRule="auto"/>
              <w:jc w:val="left"/>
            </w:pPr>
            <w:r>
              <w:rPr>
                <w:rFonts w:ascii="Noto Sans" w:hAnsi="Noto Sans" w:eastAsia="Noto Sans" w:cs="Noto Sans"/>
                <w:b w:val="0"/>
                <w:color w:val="18212B"/>
                <w:sz w:val="16"/>
              </w:rPr>
              <w:t xml:space="preserve">Will detail be lost?</w:t>
            </w:r>
          </w:p>
        </w:tc>
      </w:tr>
      <w:tr>
        <w:trPr>
          <w:cantSplit/>
        </w:trPr>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EEF4F8" w:val="clear"/>
          </w:tcPr>
          <w:p>
            <w:pPr>
              <w:pStyle w:val="Compact"/>
              <w:spacing w:before="30" w:after="30" w:line="240" w:lineRule="auto"/>
              <w:jc w:val="left"/>
            </w:pPr>
            <w:r>
              <w:rPr>
                <w:rFonts w:ascii="Noto Sans" w:hAnsi="Noto Sans" w:eastAsia="Noto Sans" w:cs="Noto Sans"/>
                <w:b w:val="0"/>
                <w:color w:val="18212B"/>
                <w:sz w:val="16"/>
              </w:rPr>
              <w:t xml:space="preserve">padding</w:t>
            </w:r>
          </w:p>
        </w:tc>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EEF4F8" w:val="clear"/>
          </w:tcPr>
          <w:p>
            <w:pPr>
              <w:pStyle w:val="Compact"/>
              <w:spacing w:before="30" w:after="30" w:line="240" w:lineRule="auto"/>
              <w:jc w:val="left"/>
            </w:pPr>
            <w:r>
              <w:rPr>
                <w:rFonts w:ascii="Noto Sans" w:hAnsi="Noto Sans" w:eastAsia="Noto Sans" w:cs="Noto Sans"/>
                <w:b w:val="0"/>
                <w:color w:val="18212B"/>
                <w:sz w:val="16"/>
              </w:rPr>
              <w:t xml:space="preserve">output size/border handling</w:t>
            </w:r>
          </w:p>
        </w:tc>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EEF4F8" w:val="clear"/>
          </w:tcPr>
          <w:p>
            <w:pPr>
              <w:pStyle w:val="Compact"/>
              <w:spacing w:before="30" w:after="30" w:line="240" w:lineRule="auto"/>
              <w:jc w:val="left"/>
            </w:pPr>
            <w:r>
              <w:rPr>
                <w:rFonts w:ascii="Noto Sans" w:hAnsi="Noto Sans" w:eastAsia="Noto Sans" w:cs="Noto Sans"/>
                <w:b w:val="0"/>
                <w:color w:val="18212B"/>
                <w:sz w:val="16"/>
              </w:rPr>
              <w:t xml:space="preserve">How should edges be treated?</w:t>
            </w:r>
          </w:p>
        </w:tc>
      </w:tr>
      <w:tr>
        <w:trPr>
          <w:cantSplit/>
        </w:trPr>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FFFFFF" w:val="clear"/>
          </w:tcPr>
          <w:p>
            <w:pPr>
              <w:pStyle w:val="Compact"/>
              <w:spacing w:before="30" w:after="30" w:line="240" w:lineRule="auto"/>
              <w:jc w:val="left"/>
            </w:pPr>
            <w:r>
              <w:rPr>
                <w:rFonts w:ascii="Noto Sans" w:hAnsi="Noto Sans" w:eastAsia="Noto Sans" w:cs="Noto Sans"/>
                <w:b w:val="0"/>
                <w:color w:val="18212B"/>
                <w:sz w:val="16"/>
              </w:rPr>
              <w:t xml:space="preserve">augmentation</w:t>
            </w:r>
          </w:p>
        </w:tc>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FFFFFF" w:val="clear"/>
          </w:tcPr>
          <w:p>
            <w:pPr>
              <w:pStyle w:val="Compact"/>
              <w:spacing w:before="30" w:after="30" w:line="240" w:lineRule="auto"/>
              <w:jc w:val="left"/>
            </w:pPr>
            <w:r>
              <w:rPr>
                <w:rFonts w:ascii="Noto Sans" w:hAnsi="Noto Sans" w:eastAsia="Noto Sans" w:cs="Noto Sans"/>
                <w:b w:val="0"/>
                <w:color w:val="18212B"/>
                <w:sz w:val="16"/>
              </w:rPr>
              <w:t xml:space="preserve">synthetic variation</w:t>
            </w:r>
          </w:p>
        </w:tc>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FFFFFF" w:val="clear"/>
          </w:tcPr>
          <w:p>
            <w:pPr>
              <w:pStyle w:val="Compact"/>
              <w:spacing w:before="30" w:after="30" w:line="240" w:lineRule="auto"/>
              <w:jc w:val="left"/>
            </w:pPr>
            <w:r>
              <w:rPr>
                <w:rFonts w:ascii="Noto Sans" w:hAnsi="Noto Sans" w:eastAsia="Noto Sans" w:cs="Noto Sans"/>
                <w:b w:val="0"/>
                <w:color w:val="18212B"/>
                <w:sz w:val="16"/>
              </w:rPr>
              <w:t xml:space="preserve">Does it preserve the label?</w:t>
            </w:r>
          </w:p>
        </w:tc>
      </w:tr>
      <w:tr>
        <w:trPr>
          <w:cantSplit/>
        </w:trPr>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EEF4F8" w:val="clear"/>
          </w:tcPr>
          <w:p>
            <w:pPr>
              <w:pStyle w:val="Compact"/>
              <w:spacing w:before="30" w:after="30" w:line="240" w:lineRule="auto"/>
              <w:jc w:val="left"/>
            </w:pPr>
            <w:r>
              <w:rPr>
                <w:rFonts w:ascii="Noto Sans" w:hAnsi="Noto Sans" w:eastAsia="Noto Sans" w:cs="Noto Sans"/>
                <w:b w:val="0"/>
                <w:color w:val="18212B"/>
                <w:sz w:val="16"/>
              </w:rPr>
              <w:t xml:space="preserve">pretraining</w:t>
            </w:r>
          </w:p>
        </w:tc>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EEF4F8" w:val="clear"/>
          </w:tcPr>
          <w:p>
            <w:pPr>
              <w:pStyle w:val="Compact"/>
              <w:spacing w:before="30" w:after="30" w:line="240" w:lineRule="auto"/>
              <w:jc w:val="left"/>
            </w:pPr>
            <w:r>
              <w:rPr>
                <w:rFonts w:ascii="Noto Sans" w:hAnsi="Noto Sans" w:eastAsia="Noto Sans" w:cs="Noto Sans"/>
                <w:b w:val="0"/>
                <w:color w:val="18212B"/>
                <w:sz w:val="16"/>
              </w:rPr>
              <w:t xml:space="preserve">initial representation</w:t>
            </w:r>
          </w:p>
        </w:tc>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EEF4F8" w:val="clear"/>
          </w:tcPr>
          <w:p>
            <w:pPr>
              <w:pStyle w:val="Compact"/>
              <w:spacing w:before="30" w:after="30" w:line="240" w:lineRule="auto"/>
              <w:jc w:val="left"/>
            </w:pPr>
            <w:r>
              <w:rPr>
                <w:rFonts w:ascii="Noto Sans" w:hAnsi="Noto Sans" w:eastAsia="Noto Sans" w:cs="Noto Sans"/>
                <w:b w:val="0"/>
                <w:color w:val="18212B"/>
                <w:sz w:val="16"/>
              </w:rPr>
              <w:t xml:space="preserve">Is the source domain relevant?</w:t>
            </w:r>
          </w:p>
        </w:tc>
      </w:tr>
    </w:tbl>
    <w:p>
      <w:pPr>
        <w:pStyle w:val="BlockText"/>
        <w:shd w:fill="EAF7F5" w:val="clear"/>
        <w:pBdr>
          <w:left w:val="single" w:sz="18" w:space="8" w:color="008F87"/>
        </w:pBdr>
      </w:pPr>
      <w:r>
        <w:rPr>
          <w:b/>
          <w:bCs/>
        </w:rPr>
        <w:t xml:space="preserve">Why This Matters</w:t>
      </w:r>
    </w:p>
    <w:p>
      <w:pPr>
        <w:pStyle w:val="BlockText"/>
        <w:shd w:fill="EAF7F5" w:val="clear"/>
        <w:pBdr>
          <w:left w:val="single" w:sz="18" w:space="8" w:color="008F87"/>
        </w:pBdr>
      </w:pPr>
      <w:r>
        <w:t xml:space="preserve">Computer vision combines spatial structure with learned representations, but deployment validity depends on the image-generating context.</w:t>
      </w:r>
    </w:p>
    <w:p>
      <w:pPr>
        <w:pStyle w:val="BlockText"/>
        <w:shd w:fill="EAF7F5" w:val="clear"/>
        <w:pBdr>
          <w:left w:val="single" w:sz="18" w:space="8" w:color="008F87"/>
        </w:pBdr>
      </w:pPr>
      <w:r>
        <w:rPr>
          <w:b/>
          <w:bCs/>
        </w:rPr>
        <w:t xml:space="preserve">Common Mistake</w:t>
      </w:r>
    </w:p>
    <w:p>
      <w:pPr>
        <w:pStyle w:val="BlockText"/>
        <w:shd w:fill="EAF7F5" w:val="clear"/>
        <w:pBdr>
          <w:left w:val="single" w:sz="18" w:space="8" w:color="008F87"/>
        </w:pBdr>
      </w:pPr>
      <w:r>
        <w:t xml:space="preserve">Applying augmentation that changes the label, such as flipping a directional medical image without checking domain meaning.</w:t>
      </w:r>
    </w:p>
    <w:p>
      <w:pPr>
        <w:pStyle w:val="BlockText"/>
        <w:shd w:fill="EAF7F5" w:val="clear"/>
        <w:pBdr>
          <w:left w:val="single" w:sz="18" w:space="8" w:color="008F87"/>
        </w:pBdr>
      </w:pPr>
      <w:r>
        <w:rPr>
          <w:b/>
          <w:bCs/>
        </w:rPr>
        <w:t xml:space="preserve">Ceteris LAB Tip</w:t>
      </w:r>
    </w:p>
    <w:p>
      <w:pPr>
        <w:pStyle w:val="BlockText"/>
        <w:shd w:fill="EAF7F5" w:val="clear"/>
        <w:pBdr>
          <w:left w:val="single" w:sz="18" w:space="8" w:color="008F87"/>
        </w:pBdr>
      </w:pPr>
      <w:r>
        <w:t xml:space="preserve">Inspect misclassified images by subgroup and acquisition source, not only the aggregate accuracy.</w:t>
      </w:r>
    </w:p>
    <w:p>
      <w:pPr>
        <w:pStyle w:val="BlockText"/>
        <w:shd w:fill="EAF7F5" w:val="clear"/>
        <w:pBdr>
          <w:left w:val="single" w:sz="18" w:space="8" w:color="008F87"/>
        </w:pBdr>
      </w:pPr>
      <w:r>
        <w:rPr>
          <w:b/>
          <w:bCs/>
        </w:rPr>
        <w:t xml:space="preserve">R-to-Python / Source Bridge</w:t>
      </w:r>
    </w:p>
    <w:p>
      <w:pPr>
        <w:pStyle w:val="BlockText"/>
        <w:shd w:fill="EAF7F5" w:val="clear"/>
        <w:pBdr>
          <w:left w:val="single" w:sz="18" w:space="8" w:color="008F87"/>
        </w:pBdr>
      </w:pPr>
      <w:r>
        <w:t xml:space="preserve">The chapter adapts IntroAI session 8 on convolution, padding, channels, augmentation, CNNs, and transfer learning, using new original diagrams instead of source screenshots</w:t>
      </w:r>
      <w:r>
        <w:t xml:space="preserve"> </w:t>
      </w:r>
      <w:r>
        <w:t xml:space="preserve">(Sharifi-Zarchi and contributors 2026)</w:t>
      </w:r>
      <w:r>
        <w:t xml:space="preserve">.</w:t>
      </w:r>
    </w:p>
    <w:bookmarkEnd w:id="666"/>
    <w:bookmarkStart w:id="667" w:name="guided-practice-30"/>
    <w:p>
      <w:pPr>
        <w:pStyle w:val="Heading2"/>
        <w:keepNext/>
      </w:pPr>
      <w:r>
        <w:t>50.9</w:t>
        <w:tab/>
        <w:t>Guided practice</w:t>
      </w:r>
    </w:p>
    <w:p>
      <w:pPr>
        <w:pStyle w:val="Compact"/>
        <w:numPr>
          <w:ilvl w:val="0"/>
          <w:numId w:val="1124"/>
        </w:numPr>
      </w:pPr>
      <w:r>
        <w:t xml:space="preserve">Re-run Demonstration 31.1 and change one input while keeping the analytical question fixed.</w:t>
      </w:r>
    </w:p>
    <w:p>
      <w:pPr>
        <w:pStyle w:val="Compact"/>
        <w:numPr>
          <w:ilvl w:val="0"/>
          <w:numId w:val="1124"/>
        </w:numPr>
      </w:pPr>
      <w:r>
        <w:t xml:space="preserve">Explain in two sentences how the output supports, or fails to support, the chapter opening question.</w:t>
      </w:r>
    </w:p>
    <w:p>
      <w:pPr>
        <w:pStyle w:val="Compact"/>
        <w:numPr>
          <w:ilvl w:val="0"/>
          <w:numId w:val="1124"/>
        </w:numPr>
      </w:pPr>
      <w:r>
        <w:t xml:space="preserve">Add one validation check that would prevent a plausible error.</w:t>
      </w:r>
    </w:p>
    <w:bookmarkEnd w:id="667"/>
    <w:bookmarkStart w:id="668" w:name="exercises-30"/>
    <w:p>
      <w:pPr>
        <w:pStyle w:val="Heading2"/>
        <w:keepNext/>
      </w:pPr>
      <w:r>
        <w:t>50.10</w:t>
        <w:tab/>
        <w:t>Exercises</w:t>
      </w:r>
    </w:p>
    <w:p>
      <w:pPr>
        <w:pStyle w:val="Compact"/>
        <w:numPr>
          <w:ilvl w:val="0"/>
          <w:numId w:val="1125"/>
        </w:numPr>
      </w:pPr>
      <w:r>
        <w:t xml:space="preserve">Convolve an image with blur and edge kernels.</w:t>
      </w:r>
    </w:p>
    <w:p>
      <w:pPr>
        <w:pStyle w:val="Compact"/>
        <w:numPr>
          <w:ilvl w:val="0"/>
          <w:numId w:val="1125"/>
        </w:numPr>
      </w:pPr>
      <w:r>
        <w:t xml:space="preserve">Compare output shapes under two padding choices.</w:t>
      </w:r>
    </w:p>
    <w:p>
      <w:pPr>
        <w:pStyle w:val="Compact"/>
        <w:numPr>
          <w:ilvl w:val="0"/>
          <w:numId w:val="1125"/>
        </w:numPr>
      </w:pPr>
      <w:r>
        <w:t xml:space="preserve">Design three label-preserving augmentations.</w:t>
      </w:r>
    </w:p>
    <w:p>
      <w:pPr>
        <w:pStyle w:val="Compact"/>
        <w:numPr>
          <w:ilvl w:val="0"/>
          <w:numId w:val="1125"/>
        </w:numPr>
      </w:pPr>
      <w:r>
        <w:t xml:space="preserve">Write a transfer-learning evaluation plan.</w:t>
      </w:r>
    </w:p>
    <w:bookmarkEnd w:id="668"/>
    <w:bookmarkStart w:id="669" w:name="chapter-summary-30"/>
    <w:p>
      <w:pPr>
        <w:pStyle w:val="Heading2"/>
        <w:keepNext/>
      </w:pPr>
      <w:r>
        <w:t>50.11</w:t>
        <w:tab/>
        <w:t>Chapter summary</w:t>
      </w:r>
    </w:p>
    <w:p>
      <w:pPr>
        <w:pStyle w:val="Compact"/>
        <w:numPr>
          <w:ilvl w:val="0"/>
          <w:numId w:val="1126"/>
        </w:numPr>
      </w:pPr>
      <w:r>
        <w:t xml:space="preserve">Images are tensors with spatial and channel structure.</w:t>
      </w:r>
    </w:p>
    <w:p>
      <w:pPr>
        <w:pStyle w:val="Compact"/>
        <w:numPr>
          <w:ilvl w:val="0"/>
          <w:numId w:val="1126"/>
        </w:numPr>
      </w:pPr>
      <w:r>
        <w:t xml:space="preserve">Convolution uses local shared filters.</w:t>
      </w:r>
    </w:p>
    <w:p>
      <w:pPr>
        <w:pStyle w:val="Compact"/>
        <w:numPr>
          <w:ilvl w:val="0"/>
          <w:numId w:val="1126"/>
        </w:numPr>
      </w:pPr>
      <w:r>
        <w:t xml:space="preserve">Transfer learning and augmentation require domain-valid assumptions.</w:t>
      </w:r>
    </w:p>
    <w:bookmarkEnd w:id="669"/>
    <w:bookmarkStart w:id="670" w:name="key-python-commands-30"/>
    <w:p>
      <w:pPr>
        <w:pStyle w:val="Heading2"/>
        <w:keepNext/>
      </w:pPr>
      <w:r>
        <w:t>50.12</w:t>
        <w:tab/>
        <w:t>Key Python commands</w:t>
      </w:r>
    </w:p>
    <w:p>
      <w:pPr>
        <w:pStyle w:val="SourceCode"/>
        <w:shd w:fill="F6F8FA" w:val="clear"/>
      </w:pPr>
      <w:r>
        <w:rPr>
          <w:rStyle w:val="ImportTok"/>
        </w:rPr>
        <w:t xml:space="preserve">import</w:t>
      </w:r>
      <w:r>
        <w:rPr>
          <w:rStyle w:val="NormalTok"/>
        </w:rPr>
        <w:t xml:space="preserve"> numpy </w:t>
      </w:r>
      <w:r>
        <w:rPr>
          <w:rStyle w:val="ImportTok"/>
        </w:rPr>
        <w:t xml:space="preserve">as</w:t>
      </w:r>
      <w:r>
        <w:rPr>
          <w:rStyle w:val="NormalTok"/>
        </w:rPr>
        <w:t xml:space="preserve"> np</w:t>
      </w:r>
      <w:r>
        <w:br/>
      </w:r>
      <w:r>
        <w:rPr>
          <w:rStyle w:val="ImportTok"/>
        </w:rPr>
        <w:t xml:space="preserve">from</w:t>
      </w:r>
      <w:r>
        <w:rPr>
          <w:rStyle w:val="NormalTok"/>
        </w:rPr>
        <w:t xml:space="preserve"> scipy.signal </w:t>
      </w:r>
      <w:r>
        <w:rPr>
          <w:rStyle w:val="ImportTok"/>
        </w:rPr>
        <w:t xml:space="preserve">import</w:t>
      </w:r>
      <w:r>
        <w:rPr>
          <w:rStyle w:val="NormalTok"/>
        </w:rPr>
        <w:t xml:space="preserve"> convolve2d</w:t>
      </w:r>
      <w:r>
        <w:br/>
      </w:r>
      <w:r>
        <w:rPr>
          <w:rStyle w:val="NormalTok"/>
        </w:rPr>
        <w:t xml:space="preserve">image </w:t>
      </w:r>
      <w:r>
        <w:rPr>
          <w:rStyle w:val="OperatorTok"/>
        </w:rPr>
        <w:t xml:space="preserve">=</w:t>
      </w:r>
      <w:r>
        <w:rPr>
          <w:rStyle w:val="NormalTok"/>
        </w:rPr>
        <w:t xml:space="preserve"> np.zeros((</w:t>
      </w:r>
      <w:r>
        <w:rPr>
          <w:rStyle w:val="DecValTok"/>
        </w:rPr>
        <w:t xml:space="preserve">8</w:t>
      </w:r>
      <w:r>
        <w:rPr>
          <w:rStyle w:val="NormalTok"/>
        </w:rPr>
        <w:t xml:space="preserve">, </w:t>
      </w:r>
      <w:r>
        <w:rPr>
          <w:rStyle w:val="DecValTok"/>
        </w:rPr>
        <w:t xml:space="preserve">8</w:t>
      </w:r>
      <w:r>
        <w:rPr>
          <w:rStyle w:val="NormalTok"/>
        </w:rPr>
        <w:t xml:space="preserve">))</w:t>
      </w:r>
      <w:r>
        <w:rPr>
          <w:rStyle w:val="OperatorTok"/>
        </w:rPr>
        <w:t xml:space="preserve">;</w:t>
      </w:r>
      <w:r>
        <w:rPr>
          <w:rStyle w:val="NormalTok"/>
        </w:rPr>
        <w:t xml:space="preserve"> image[:, </w:t>
      </w:r>
      <w:r>
        <w:rPr>
          <w:rStyle w:val="DecValTok"/>
        </w:rPr>
        <w:t xml:space="preserve">4</w:t>
      </w:r>
      <w:r>
        <w:rPr>
          <w:rStyle w:val="NormalTok"/>
        </w:rPr>
        <w:t xml:space="preserve">:] </w:t>
      </w:r>
      <w:r>
        <w:rPr>
          <w:rStyle w:val="OperatorTok"/>
        </w:rPr>
        <w:t xml:space="preserve">=</w:t>
      </w:r>
      <w:r>
        <w:rPr>
          <w:rStyle w:val="NormalTok"/>
        </w:rPr>
        <w:t xml:space="preserve"> </w:t>
      </w:r>
      <w:r>
        <w:rPr>
          <w:rStyle w:val="DecValTok"/>
        </w:rPr>
        <w:t xml:space="preserve">1</w:t>
      </w:r>
      <w:r>
        <w:br/>
      </w:r>
      <w:r>
        <w:rPr>
          <w:rStyle w:val="NormalTok"/>
        </w:rPr>
        <w:t xml:space="preserve">kernel </w:t>
      </w:r>
      <w:r>
        <w:rPr>
          <w:rStyle w:val="OperatorTok"/>
        </w:rPr>
        <w:t xml:space="preserve">=</w:t>
      </w:r>
      <w:r>
        <w:rPr>
          <w:rStyle w:val="NormalTok"/>
        </w:rPr>
        <w:t xml:space="preserve"> np.array([[</w:t>
      </w:r>
      <w:r>
        <w:rPr>
          <w:rStyle w:val="OperatorTok"/>
        </w:rPr>
        <w:t xml:space="preserve">-</w:t>
      </w:r>
      <w:r>
        <w:rPr>
          <w:rStyle w:val="DecValTok"/>
        </w:rPr>
        <w:t xml:space="preserve">1</w:t>
      </w:r>
      <w:r>
        <w:rPr>
          <w:rStyle w:val="NormalTok"/>
        </w:rPr>
        <w:t xml:space="preserve">, </w:t>
      </w:r>
      <w:r>
        <w:rPr>
          <w:rStyle w:val="DecValTok"/>
        </w:rPr>
        <w:t xml:space="preserve">0</w:t>
      </w:r>
      <w:r>
        <w:rPr>
          <w:rStyle w:val="NormalTok"/>
        </w:rPr>
        <w:t xml:space="preserve">, </w:t>
      </w:r>
      <w:r>
        <w:rPr>
          <w:rStyle w:val="DecValTok"/>
        </w:rPr>
        <w:t xml:space="preserve">1</w:t>
      </w:r>
      <w:r>
        <w:rPr>
          <w:rStyle w:val="NormalTok"/>
        </w:rPr>
        <w:t xml:space="preserve">], [</w:t>
      </w:r>
      <w:r>
        <w:rPr>
          <w:rStyle w:val="OperatorTok"/>
        </w:rPr>
        <w:t xml:space="preserve">-</w:t>
      </w:r>
      <w:r>
        <w:rPr>
          <w:rStyle w:val="DecValTok"/>
        </w:rPr>
        <w:t xml:space="preserve">1</w:t>
      </w:r>
      <w:r>
        <w:rPr>
          <w:rStyle w:val="NormalTok"/>
        </w:rPr>
        <w:t xml:space="preserve">, </w:t>
      </w:r>
      <w:r>
        <w:rPr>
          <w:rStyle w:val="DecValTok"/>
        </w:rPr>
        <w:t xml:space="preserve">0</w:t>
      </w:r>
      <w:r>
        <w:rPr>
          <w:rStyle w:val="NormalTok"/>
        </w:rPr>
        <w:t xml:space="preserve">, </w:t>
      </w:r>
      <w:r>
        <w:rPr>
          <w:rStyle w:val="DecValTok"/>
        </w:rPr>
        <w:t xml:space="preserve">1</w:t>
      </w:r>
      <w:r>
        <w:rPr>
          <w:rStyle w:val="NormalTok"/>
        </w:rPr>
        <w:t xml:space="preserve">], [</w:t>
      </w:r>
      <w:r>
        <w:rPr>
          <w:rStyle w:val="OperatorTok"/>
        </w:rPr>
        <w:t xml:space="preserve">-</w:t>
      </w:r>
      <w:r>
        <w:rPr>
          <w:rStyle w:val="DecValTok"/>
        </w:rPr>
        <w:t xml:space="preserve">1</w:t>
      </w:r>
      <w:r>
        <w:rPr>
          <w:rStyle w:val="NormalTok"/>
        </w:rPr>
        <w:t xml:space="preserve">, </w:t>
      </w:r>
      <w:r>
        <w:rPr>
          <w:rStyle w:val="DecValTok"/>
        </w:rPr>
        <w:t xml:space="preserve">0</w:t>
      </w:r>
      <w:r>
        <w:rPr>
          <w:rStyle w:val="NormalTok"/>
        </w:rPr>
        <w:t xml:space="preserve">, </w:t>
      </w:r>
      <w:r>
        <w:rPr>
          <w:rStyle w:val="DecValTok"/>
        </w:rPr>
        <w:t xml:space="preserve">1</w:t>
      </w:r>
      <w:r>
        <w:rPr>
          <w:rStyle w:val="NormalTok"/>
        </w:rPr>
        <w:t xml:space="preserve">]])</w:t>
      </w:r>
      <w:r>
        <w:br/>
      </w:r>
      <w:r>
        <w:rPr>
          <w:rStyle w:val="NormalTok"/>
        </w:rPr>
        <w:t xml:space="preserve">feature </w:t>
      </w:r>
      <w:r>
        <w:rPr>
          <w:rStyle w:val="OperatorTok"/>
        </w:rPr>
        <w:t xml:space="preserve">=</w:t>
      </w:r>
      <w:r>
        <w:rPr>
          <w:rStyle w:val="NormalTok"/>
        </w:rPr>
        <w:t xml:space="preserve"> convolve2d(image, kernel, mode</w:t>
      </w:r>
      <w:r>
        <w:rPr>
          <w:rStyle w:val="OperatorTok"/>
        </w:rPr>
        <w:t xml:space="preserve">=</w:t>
      </w:r>
      <w:r>
        <w:rPr>
          <w:rStyle w:val="StringTok"/>
        </w:rPr>
        <w:t xml:space="preserve">"same"</w:t>
      </w:r>
      <w:r>
        <w:rPr>
          <w:rStyle w:val="NormalTok"/>
        </w:rPr>
        <w:t xml:space="preserve">, boundary</w:t>
      </w:r>
      <w:r>
        <w:rPr>
          <w:rStyle w:val="OperatorTok"/>
        </w:rPr>
        <w:t xml:space="preserve">=</w:t>
      </w:r>
      <w:r>
        <w:rPr>
          <w:rStyle w:val="StringTok"/>
        </w:rPr>
        <w:t xml:space="preserve">"symm"</w:t>
      </w:r>
      <w:r>
        <w:rPr>
          <w:rStyle w:val="NormalTok"/>
        </w:rPr>
        <w:t xml:space="preserve">)</w:t>
      </w:r>
      <w:r>
        <w:br/>
      </w:r>
      <w:r>
        <w:rPr>
          <w:rStyle w:val="BuiltInTok"/>
        </w:rPr>
        <w:t xml:space="preserve">print</w:t>
      </w:r>
      <w:r>
        <w:rPr>
          <w:rStyle w:val="NormalTok"/>
        </w:rPr>
        <w:t xml:space="preserve">(</w:t>
      </w:r>
      <w:r>
        <w:rPr>
          <w:rStyle w:val="BuiltInTok"/>
        </w:rPr>
        <w:t xml:space="preserve">float</w:t>
      </w:r>
      <w:r>
        <w:rPr>
          <w:rStyle w:val="NormalTok"/>
        </w:rPr>
        <w:t xml:space="preserve">(np.</w:t>
      </w:r>
      <w:r>
        <w:rPr>
          <w:rStyle w:val="BuiltInTok"/>
        </w:rPr>
        <w:t xml:space="preserve">abs</w:t>
      </w:r>
      <w:r>
        <w:rPr>
          <w:rStyle w:val="NormalTok"/>
        </w:rPr>
        <w:t xml:space="preserve">(feature).</w:t>
      </w:r>
      <w:r>
        <w:rPr>
          <w:rStyle w:val="BuiltInTok"/>
        </w:rPr>
        <w:t xml:space="preserve">max</w:t>
      </w:r>
      <w:r>
        <w:rPr>
          <w:rStyle w:val="NormalTok"/>
        </w:rPr>
        <w:t xml:space="preserve">()), feature.shape)</w:t>
      </w:r>
    </w:p>
    <w:bookmarkEnd w:id="670"/>
    <w:bookmarkEnd w:id="671"/>
    <w:bookmarkStart w:id="695" w:name="Xa7f0280d8bb577385d63e8eec3cd7a11846a7d1"/>
    <w:p>
      <w:pPr>
        <w:pStyle w:val="Heading1"/>
        <w:keepNext/>
        <w:pageBreakBefore/>
      </w:pPr>
      <w:r>
        <w:t>51</w:t>
        <w:tab/>
        <w:t>Natural-Language Processing and Transformers for Economics</w:t>
      </w:r>
    </w:p>
    <w:p>
      <w:pPr>
        <w:pStyle w:val="FirstParagraph"/>
      </w:pPr>
      <w:r>
        <w:rPr>
          <w:i/>
          <w:iCs/>
        </w:rPr>
        <w:t xml:space="preserve">Opening question:</w:t>
      </w:r>
      <w:r>
        <w:t xml:space="preserve"> </w:t>
      </w:r>
      <w:r>
        <w:rPr>
          <w:b/>
          <w:bCs/>
        </w:rPr>
        <w:t xml:space="preserve">How can text be converted into numerical representations while preserving enough context to classify or retrieve meaning?</w:t>
      </w:r>
    </w:p>
    <w:bookmarkStart w:id="672" w:name="learning-objectives-31"/>
    <w:p>
      <w:pPr>
        <w:pStyle w:val="Heading2"/>
        <w:keepNext/>
      </w:pPr>
      <w:r>
        <w:t>51.1</w:t>
        <w:tab/>
        <w:t>Learning objectives</w:t>
      </w:r>
    </w:p>
    <w:p>
      <w:pPr>
        <w:pStyle w:val="Compact"/>
        <w:numPr>
          <w:ilvl w:val="0"/>
          <w:numId w:val="1127"/>
        </w:numPr>
      </w:pPr>
      <w:r>
        <w:t xml:space="preserve">Tokenize and vectorize text.</w:t>
      </w:r>
    </w:p>
    <w:p>
      <w:pPr>
        <w:pStyle w:val="Compact"/>
        <w:numPr>
          <w:ilvl w:val="0"/>
          <w:numId w:val="1127"/>
        </w:numPr>
      </w:pPr>
      <w:r>
        <w:t xml:space="preserve">Use TF-IDF and word embeddings.</w:t>
      </w:r>
    </w:p>
    <w:p>
      <w:pPr>
        <w:pStyle w:val="Compact"/>
        <w:numPr>
          <w:ilvl w:val="0"/>
          <w:numId w:val="1127"/>
        </w:numPr>
      </w:pPr>
      <w:r>
        <w:t xml:space="preserve">Explain cosine similarity, attention, and transformers.</w:t>
      </w:r>
    </w:p>
    <w:p>
      <w:pPr>
        <w:pStyle w:val="Compact"/>
        <w:numPr>
          <w:ilvl w:val="0"/>
          <w:numId w:val="1127"/>
        </w:numPr>
      </w:pPr>
      <w:r>
        <w:t xml:space="preserve">Evaluate text classifiers and language limitations.</w:t>
      </w:r>
    </w:p>
    <w:p>
      <w:pPr>
        <w:pStyle w:val="FirstParagraph"/>
      </w:pPr>
      <w:r>
        <w:rPr>
          <w:b/>
          <w:bCs/>
        </w:rPr>
        <w:t xml:space="preserve">Prerequisites:</w:t>
      </w:r>
      <w:r>
        <w:t xml:space="preserve"> </w:t>
      </w:r>
      <w:r>
        <w:t xml:space="preserve">Chapters 28 and 30.</w:t>
      </w:r>
    </w:p>
    <w:p>
      <w:pPr>
        <w:pStyle w:val="BodyText"/>
      </w:pPr>
      <w:r>
        <w:rPr>
          <w:b/>
          <w:bCs/>
        </w:rPr>
        <w:t xml:space="preserve">Key terms:</w:t>
      </w:r>
      <w:r>
        <w:t xml:space="preserve"> </w:t>
      </w:r>
      <w:r>
        <w:t xml:space="preserve">tokenization, TF-IDF, embedding, cosine similarity, attention, transformer.</w:t>
      </w:r>
    </w:p>
    <w:bookmarkEnd w:id="672"/>
    <w:bookmarkStart w:id="673" w:name="tokenization-chooses-the-models-alphabet"/>
    <w:p>
      <w:pPr>
        <w:pStyle w:val="Heading2"/>
        <w:keepNext/>
      </w:pPr>
      <w:r>
        <w:t>51.2</w:t>
        <w:tab/>
        <w:t>Tokenization chooses the model’s alphabet</w:t>
      </w:r>
    </w:p>
    <w:p>
      <w:pPr>
        <w:pStyle w:val="FirstParagraph"/>
      </w:pPr>
      <w:r>
        <w:t xml:space="preserve">Text must be divided into tokens before a model can process it. Tokens may be words, subwords, characters, or byte-level units. The choice affects vocabulary size, rare words, multilingual coverage, and sequence length. Cleaning decisions such as lowercasing or punctuation removal can discard useful information. A reproducible text pipeline stores both preprocessing and model parameters.</w:t>
      </w:r>
    </w:p>
    <w:bookmarkEnd w:id="673"/>
    <w:bookmarkStart w:id="674" w:name="X78832b404fe261dd41d885a652afe93cba7c4d5"/>
    <w:p>
      <w:pPr>
        <w:pStyle w:val="Heading2"/>
        <w:keepNext/>
      </w:pPr>
      <w:r>
        <w:t>51.3</w:t>
        <w:tab/>
        <w:t>Representations move from counts to geometry</w:t>
      </w:r>
    </w:p>
    <w:p>
      <w:pPr>
        <w:pStyle w:val="FirstParagraph"/>
      </w:pPr>
      <w:r>
        <w:t xml:space="preserve">Bag-of-words and TF-IDF represent documents by weighted token counts. They are strong, interpretable baselines for many classification and retrieval tasks. Embeddings place tokens or documents in a continuous vector space where geometric proximity can encode usage similarity. Cosine similarity compares direction rather than magnitude, but similarity does not guarantee factual equivalence or social neutrality.</w:t>
      </w:r>
    </w:p>
    <w:bookmarkEnd w:id="674"/>
    <w:bookmarkStart w:id="675" w:name="attention-connects-tokens-conditionally"/>
    <w:p>
      <w:pPr>
        <w:pStyle w:val="Heading2"/>
        <w:keepNext/>
      </w:pPr>
      <w:r>
        <w:t>51.4</w:t>
        <w:tab/>
        <w:t>Attention connects tokens conditionally</w:t>
      </w:r>
    </w:p>
    <w:p>
      <w:pPr>
        <w:pStyle w:val="FirstParagraph"/>
      </w:pPr>
      <w:r>
        <w:t xml:space="preserve">Attention computes how strongly each token should use information from other tokens. Queries, keys, and values produce weighted combinations, and multi-head attention learns several relation patterns. Transformers combine attention with feed-forward layers, residual connections, and normalization</w:t>
      </w:r>
      <w:r>
        <w:t xml:space="preserve"> </w:t>
      </w:r>
      <w:r>
        <w:t xml:space="preserve">(Vaswani et al. 2017)</w:t>
      </w:r>
      <w:r>
        <w:t xml:space="preserve">. They can model long dependencies more directly than recurrent networks, but computation grows with sequence length and outputs inherit training-data limitations.</w:t>
      </w:r>
    </w:p>
    <w:bookmarkEnd w:id="675"/>
    <w:bookmarkStart w:id="676" w:name="core-equations-18"/>
    <w:p>
      <w:pPr>
        <w:pStyle w:val="Heading2"/>
        <w:keepNext/>
      </w:pPr>
      <w:r>
        <w:t>51.5</w:t>
        <w:tab/>
        <w:t>Core equations</w:t>
      </w:r>
    </w:p>
    <w:p>
      <w:pPr>
        <w:pStyle w:val="FirstParagraph"/>
      </w:pPr>
      <w:r>
        <w:rPr>
          <w:b/>
          <w:bCs/>
        </w:rPr>
        <w:t xml:space="preserve">Cosine similarity</w:t>
      </w:r>
    </w:p>
    <w:p>
      <w:pPr>
        <w:pStyle w:val="BodyText"/>
      </w:pPr>
      <m:oMathPara>
        <m:oMathParaPr>
          <m:jc m:val="center"/>
        </m:oMathParaPr>
        <m:oMath>
          <m:r>
            <m:rPr>
              <m:sty m:val="p"/>
            </m:rPr>
            <m:t>cos</m:t>
          </m:r>
          <m:d>
            <m:dPr>
              <m:begChr m:val="("/>
              <m:endChr m:val=")"/>
              <m:sepChr m:val=""/>
              <m:grow/>
            </m:dPr>
            <m:e>
              <m:r>
                <m:rPr>
                  <m:sty m:val="b"/>
                </m:rPr>
                <m:t>a</m:t>
              </m:r>
              <m:r>
                <m:rPr>
                  <m:sty m:val="p"/>
                </m:rPr>
                <m:t>,</m:t>
              </m:r>
              <m:r>
                <m:rPr>
                  <m:sty m:val="b"/>
                </m:rPr>
                <m:t>b</m:t>
              </m:r>
            </m:e>
          </m:d>
          <m:r>
            <m:rPr>
              <m:sty m:val="p"/>
            </m:rPr>
            <m:t>=</m:t>
          </m:r>
          <m:f>
            <m:fPr>
              <m:type m:val="bar"/>
            </m:fPr>
            <m:num>
              <m:sSup>
                <m:e>
                  <m:r>
                    <m:rPr>
                      <m:sty m:val="b"/>
                    </m:rPr>
                    <m:t>a</m:t>
                  </m:r>
                </m:e>
                <m:sup>
                  <m:r>
                    <m:rPr>
                      <m:sty m:val="p"/>
                    </m:rPr>
                    <m:t>⊤</m:t>
                  </m:r>
                </m:sup>
              </m:sSup>
              <m:r>
                <m:rPr>
                  <m:sty m:val="b"/>
                </m:rPr>
                <m:t>b</m:t>
              </m:r>
            </m:num>
            <m:den>
              <m:r>
                <m:rPr>
                  <m:sty m:val="p"/>
                </m:rPr>
                <m:t>∥</m:t>
              </m:r>
              <m:r>
                <m:rPr>
                  <m:sty m:val="b"/>
                </m:rPr>
                <m:t>a</m:t>
              </m:r>
              <m:r>
                <m:rPr>
                  <m:sty m:val="p"/>
                </m:rPr>
                <m:t>∥</m:t>
              </m:r>
              <m:r>
                <m:rPr>
                  <m:sty m:val="p"/>
                </m:rPr>
                <m:t>∥</m:t>
              </m:r>
              <m:r>
                <m:rPr>
                  <m:sty m:val="b"/>
                </m:rPr>
                <m:t>b</m:t>
              </m:r>
              <m:r>
                <m:rPr>
                  <m:sty m:val="p"/>
                </m:rPr>
                <m:t>∥</m:t>
              </m:r>
            </m:den>
          </m:f>
        </m:oMath>
      </m:oMathPara>
    </w:p>
    <w:p>
      <w:pPr>
        <w:pStyle w:val="FirstParagraph"/>
      </w:pPr>
      <w:r>
        <w:t xml:space="preserve">The measure compares vector direction and ranges from -1 to 1 for nonzero real vectors.</w:t>
      </w:r>
    </w:p>
    <w:p>
      <w:pPr>
        <w:pStyle w:val="BodyText"/>
      </w:pPr>
      <w:r>
        <w:rPr>
          <w:b/>
          <w:bCs/>
        </w:rPr>
        <w:t xml:space="preserve">Scaled attention</w:t>
      </w:r>
    </w:p>
    <w:p>
      <w:pPr>
        <w:pStyle w:val="BodyText"/>
      </w:pPr>
      <m:oMathPara>
        <m:oMathParaPr>
          <m:jc m:val="center"/>
        </m:oMathParaPr>
        <m:oMath>
          <m:r>
            <m:rPr>
              <m:sty m:val="p"/>
            </m:rPr>
            <m:t>A</m:t>
          </m:r>
          <m:r>
            <m:rPr>
              <m:sty m:val="p"/>
            </m:rPr>
            <m:t>t</m:t>
          </m:r>
          <m:r>
            <m:rPr>
              <m:sty m:val="p"/>
            </m:rPr>
            <m:t>t</m:t>
          </m:r>
          <m:r>
            <m:rPr>
              <m:sty m:val="p"/>
            </m:rPr>
            <m:t>e</m:t>
          </m:r>
          <m:r>
            <m:rPr>
              <m:sty m:val="p"/>
            </m:rPr>
            <m:t>n</m:t>
          </m:r>
          <m:r>
            <m:rPr>
              <m:sty m:val="p"/>
            </m:rPr>
            <m:t>t</m:t>
          </m:r>
          <m:r>
            <m:rPr>
              <m:sty m:val="p"/>
            </m:rPr>
            <m:t>i</m:t>
          </m:r>
          <m:r>
            <m:rPr>
              <m:sty m:val="p"/>
            </m:rPr>
            <m:t>o</m:t>
          </m:r>
          <m:r>
            <m:rPr>
              <m:sty m:val="p"/>
            </m:rPr>
            <m:t>n</m:t>
          </m:r>
          <m:d>
            <m:dPr>
              <m:begChr m:val="("/>
              <m:endChr m:val=")"/>
              <m:sepChr m:val=""/>
              <m:grow/>
            </m:dPr>
            <m:e>
              <m:r>
                <m:t>Q</m:t>
              </m:r>
              <m:r>
                <m:rPr>
                  <m:sty m:val="p"/>
                </m:rPr>
                <m:t>,</m:t>
              </m:r>
              <m:r>
                <m:t>K</m:t>
              </m:r>
              <m:r>
                <m:rPr>
                  <m:sty m:val="p"/>
                </m:rPr>
                <m:t>,</m:t>
              </m:r>
              <m:r>
                <m:t>V</m:t>
              </m:r>
            </m:e>
          </m:d>
          <m:r>
            <m:rPr>
              <m:sty m:val="p"/>
            </m:rPr>
            <m:t>=</m:t>
          </m:r>
          <m:r>
            <m:rPr>
              <m:sty m:val="p"/>
            </m:rPr>
            <m:t>s</m:t>
          </m:r>
          <m:r>
            <m:rPr>
              <m:sty m:val="p"/>
            </m:rPr>
            <m:t>o</m:t>
          </m:r>
          <m:r>
            <m:rPr>
              <m:sty m:val="p"/>
            </m:rPr>
            <m:t>f</m:t>
          </m:r>
          <m:r>
            <m:rPr>
              <m:sty m:val="p"/>
            </m:rPr>
            <m:t>t</m:t>
          </m:r>
          <m:r>
            <m:rPr>
              <m:sty m:val="p"/>
            </m:rPr>
            <m:t>m</m:t>
          </m:r>
          <m:r>
            <m:rPr>
              <m:sty m:val="p"/>
            </m:rPr>
            <m:t>a</m:t>
          </m:r>
          <m:r>
            <m:rPr>
              <m:sty m:val="p"/>
            </m:rPr>
            <m:t>x</m:t>
          </m:r>
          <m:r>
            <m:t>​</m:t>
          </m:r>
          <m:d>
            <m:dPr>
              <m:begChr m:val="("/>
              <m:endChr m:val=")"/>
              <m:sepChr m:val=""/>
              <m:grow/>
            </m:dPr>
            <m:e>
              <m:f>
                <m:fPr>
                  <m:type m:val="bar"/>
                </m:fPr>
                <m:num>
                  <m:r>
                    <m:t>Q</m:t>
                  </m:r>
                  <m:sSup>
                    <m:e>
                      <m:r>
                        <m:t>K</m:t>
                      </m:r>
                    </m:e>
                    <m:sup>
                      <m:r>
                        <m:rPr>
                          <m:sty m:val="p"/>
                        </m:rPr>
                        <m:t>⊤</m:t>
                      </m:r>
                    </m:sup>
                  </m:sSup>
                </m:num>
                <m:den>
                  <m:rad>
                    <m:radPr>
                      <m:degHide m:val="on"/>
                    </m:radPr>
                    <m:deg/>
                    <m:e>
                      <m:sSub>
                        <m:e>
                          <m:r>
                            <m:t>d</m:t>
                          </m:r>
                        </m:e>
                        <m:sub>
                          <m:r>
                            <m:t>k</m:t>
                          </m:r>
                        </m:sub>
                      </m:sSub>
                    </m:e>
                  </m:rad>
                </m:den>
              </m:f>
            </m:e>
          </m:d>
          <m:r>
            <m:t>V</m:t>
          </m:r>
        </m:oMath>
      </m:oMathPara>
    </w:p>
    <w:p>
      <w:pPr>
        <w:pStyle w:val="FirstParagraph"/>
      </w:pPr>
      <w:r>
        <w:t xml:space="preserve">Token values are combined using similarity-based weights.</w:t>
      </w:r>
    </w:p>
    <w:bookmarkEnd w:id="676"/>
    <w:bookmarkStart w:id="679" w:name="python-demonstrations-31"/>
    <w:p>
      <w:pPr>
        <w:pStyle w:val="Heading2"/>
        <w:keepNext/>
      </w:pPr>
      <w:r>
        <w:t>51.6</w:t>
        <w:tab/>
        <w:t>Python demonstrations</w:t>
      </w:r>
    </w:p>
    <w:bookmarkStart w:id="677" w:name="X74d80b399e6ae2a325961379d0d9f68f634ae99"/>
    <w:p>
      <w:pPr>
        <w:pStyle w:val="Heading3"/>
        <w:keepNext/>
      </w:pPr>
      <w:r>
        <w:t>51.6.1</w:t>
        <w:tab/>
        <w:t>Demonstration 32.1: TF-IDF document similarity</w:t>
      </w:r>
    </w:p>
    <w:p>
      <w:pPr>
        <w:pStyle w:val="SourceCode"/>
        <w:shd w:fill="F6F8FA" w:val="clear"/>
      </w:pPr>
      <w:r>
        <w:rPr>
          <w:rStyle w:val="ImportTok"/>
        </w:rPr>
        <w:t xml:space="preserve">from</w:t>
      </w:r>
      <w:r>
        <w:rPr>
          <w:rStyle w:val="NormalTok"/>
        </w:rPr>
        <w:t xml:space="preserve"> sklearn.feature_extraction.text </w:t>
      </w:r>
      <w:r>
        <w:rPr>
          <w:rStyle w:val="ImportTok"/>
        </w:rPr>
        <w:t xml:space="preserve">import</w:t>
      </w:r>
      <w:r>
        <w:rPr>
          <w:rStyle w:val="NormalTok"/>
        </w:rPr>
        <w:t xml:space="preserve"> TfidfVectorizer</w:t>
      </w:r>
      <w:r>
        <w:br/>
      </w:r>
      <w:r>
        <w:rPr>
          <w:rStyle w:val="ImportTok"/>
        </w:rPr>
        <w:t xml:space="preserve">from</w:t>
      </w:r>
      <w:r>
        <w:rPr>
          <w:rStyle w:val="NormalTok"/>
        </w:rPr>
        <w:t xml:space="preserve"> sklearn.metrics.pairwise </w:t>
      </w:r>
      <w:r>
        <w:rPr>
          <w:rStyle w:val="ImportTok"/>
        </w:rPr>
        <w:t xml:space="preserve">import</w:t>
      </w:r>
      <w:r>
        <w:rPr>
          <w:rStyle w:val="NormalTok"/>
        </w:rPr>
        <w:t xml:space="preserve"> cosine_similarity</w:t>
      </w:r>
      <w:r>
        <w:br/>
      </w:r>
      <w:r>
        <w:br/>
      </w:r>
      <w:r>
        <w:rPr>
          <w:rStyle w:val="NormalTok"/>
        </w:rPr>
        <w:t xml:space="preserve">docs </w:t>
      </w:r>
      <w:r>
        <w:rPr>
          <w:rStyle w:val="OperatorTok"/>
        </w:rPr>
        <w:t xml:space="preserve">=</w:t>
      </w:r>
      <w:r>
        <w:rPr>
          <w:rStyle w:val="NormalTok"/>
        </w:rPr>
        <w:t xml:space="preserve"> [</w:t>
      </w:r>
      <w:r>
        <w:rPr>
          <w:rStyle w:val="StringTok"/>
        </w:rPr>
        <w:t xml:space="preserve">"inflation rose after energy prices increased"</w:t>
      </w:r>
      <w:r>
        <w:rPr>
          <w:rStyle w:val="NormalTok"/>
        </w:rPr>
        <w:t xml:space="preserve">, </w:t>
      </w:r>
      <w:r>
        <w:rPr>
          <w:rStyle w:val="StringTok"/>
        </w:rPr>
        <w:t xml:space="preserve">"energy costs pushed inflation higher"</w:t>
      </w:r>
      <w:r>
        <w:rPr>
          <w:rStyle w:val="NormalTok"/>
        </w:rPr>
        <w:t xml:space="preserve">, </w:t>
      </w:r>
      <w:r>
        <w:rPr>
          <w:rStyle w:val="StringTok"/>
        </w:rPr>
        <w:t xml:space="preserve">"the football match ended in a draw"</w:t>
      </w:r>
      <w:r>
        <w:rPr>
          <w:rStyle w:val="NormalTok"/>
        </w:rPr>
        <w:t xml:space="preserve">]</w:t>
      </w:r>
      <w:r>
        <w:br/>
      </w:r>
      <w:r>
        <w:rPr>
          <w:rStyle w:val="NormalTok"/>
        </w:rPr>
        <w:t xml:space="preserve">X </w:t>
      </w:r>
      <w:r>
        <w:rPr>
          <w:rStyle w:val="OperatorTok"/>
        </w:rPr>
        <w:t xml:space="preserve">=</w:t>
      </w:r>
      <w:r>
        <w:rPr>
          <w:rStyle w:val="NormalTok"/>
        </w:rPr>
        <w:t xml:space="preserve"> TfidfVectorizer().fit_transform(docs)</w:t>
      </w:r>
      <w:r>
        <w:br/>
      </w:r>
      <w:r>
        <w:rPr>
          <w:rStyle w:val="BuiltInTok"/>
        </w:rPr>
        <w:t xml:space="preserve">print</w:t>
      </w:r>
      <w:r>
        <w:rPr>
          <w:rStyle w:val="NormalTok"/>
        </w:rPr>
        <w:t xml:space="preserve">(cosine_similarity(X[</w:t>
      </w:r>
      <w:r>
        <w:rPr>
          <w:rStyle w:val="DecValTok"/>
        </w:rPr>
        <w:t xml:space="preserve">0</w:t>
      </w:r>
      <w:r>
        <w:rPr>
          <w:rStyle w:val="NormalTok"/>
        </w:rPr>
        <w:t xml:space="preserve">], X).</w:t>
      </w:r>
      <w:r>
        <w:rPr>
          <w:rStyle w:val="BuiltInTok"/>
        </w:rPr>
        <w:t xml:space="preserve">round</w:t>
      </w:r>
      <w:r>
        <w:rPr>
          <w:rStyle w:val="NormalTok"/>
        </w:rPr>
        <w:t xml:space="preserve">(</w:t>
      </w:r>
      <w:r>
        <w:rPr>
          <w:rStyle w:val="DecValTok"/>
        </w:rPr>
        <w:t xml:space="preserve">3</w:t>
      </w:r>
      <w:r>
        <w:rPr>
          <w:rStyle w:val="NormalTok"/>
        </w:rPr>
        <w:t xml:space="preserve">).tolist()[</w:t>
      </w:r>
      <w:r>
        <w:rPr>
          <w:rStyle w:val="DecValTok"/>
        </w:rPr>
        <w:t xml:space="preserve">0</w:t>
      </w:r>
      <w:r>
        <w:rPr>
          <w:rStyle w:val="NormalTok"/>
        </w:rPr>
        <w:t xml:space="preserve">])</w:t>
      </w:r>
    </w:p>
    <w:p>
      <w:pPr>
        <w:pStyle w:val="FirstParagraph"/>
      </w:pPr>
      <w:r>
        <w:rPr>
          <w:b/>
          <w:bCs/>
        </w:rPr>
        <w:t xml:space="preserve">Verified output</w:t>
      </w:r>
    </w:p>
    <w:p>
      <w:pPr>
        <w:pStyle w:val="SourceCode"/>
        <w:keepLines/>
        <w:shd w:fill="F6F8FA" w:val="clear"/>
      </w:pPr>
      <w:r>
        <w:rPr>
          <w:rStyle w:val="VerbatimChar"/>
        </w:rPr>
        <w:t xml:space="preserve">[1.0, 0.25, 0.0]</w:t>
      </w:r>
    </w:p>
    <w:p>
      <w:pPr>
        <w:pStyle w:val="FirstParagraph"/>
      </w:pPr>
      <w:r>
        <w:rPr>
          <w:b/>
          <w:bCs/>
        </w:rPr>
        <w:t xml:space="preserve">Interpretation.</w:t>
      </w:r>
      <w:r>
        <w:t xml:space="preserve"> </w:t>
      </w:r>
      <w:r>
        <w:t xml:space="preserve">The two inflation documents share weighted vocabulary, while the unrelated sports sentence has zero overlap in this tiny corpus.</w:t>
      </w:r>
    </w:p>
    <w:bookmarkEnd w:id="677"/>
    <w:bookmarkStart w:id="678" w:name="X52265b97ad180c85485996e5739b901b888016f"/>
    <w:p>
      <w:pPr>
        <w:pStyle w:val="Heading3"/>
        <w:keepNext/>
      </w:pPr>
      <w:r>
        <w:t>51.6.2</w:t>
        <w:tab/>
        <w:t>Demonstration 32.2: A text-classification baseline</w:t>
      </w:r>
    </w:p>
    <w:p>
      <w:pPr>
        <w:pStyle w:val="SourceCode"/>
        <w:shd w:fill="F6F8FA" w:val="clear"/>
      </w:pPr>
      <w:r>
        <w:rPr>
          <w:rStyle w:val="ImportTok"/>
        </w:rPr>
        <w:t xml:space="preserve">from</w:t>
      </w:r>
      <w:r>
        <w:rPr>
          <w:rStyle w:val="NormalTok"/>
        </w:rPr>
        <w:t xml:space="preserve"> sklearn.pipeline </w:t>
      </w:r>
      <w:r>
        <w:rPr>
          <w:rStyle w:val="ImportTok"/>
        </w:rPr>
        <w:t xml:space="preserve">import</w:t>
      </w:r>
      <w:r>
        <w:rPr>
          <w:rStyle w:val="NormalTok"/>
        </w:rPr>
        <w:t xml:space="preserve"> Pipeline</w:t>
      </w:r>
      <w:r>
        <w:br/>
      </w:r>
      <w:r>
        <w:rPr>
          <w:rStyle w:val="ImportTok"/>
        </w:rPr>
        <w:t xml:space="preserve">from</w:t>
      </w:r>
      <w:r>
        <w:rPr>
          <w:rStyle w:val="NormalTok"/>
        </w:rPr>
        <w:t xml:space="preserve"> sklearn.linear_model </w:t>
      </w:r>
      <w:r>
        <w:rPr>
          <w:rStyle w:val="ImportTok"/>
        </w:rPr>
        <w:t xml:space="preserve">import</w:t>
      </w:r>
      <w:r>
        <w:rPr>
          <w:rStyle w:val="NormalTok"/>
        </w:rPr>
        <w:t xml:space="preserve"> LogisticRegression</w:t>
      </w:r>
      <w:r>
        <w:br/>
      </w:r>
      <w:r>
        <w:rPr>
          <w:rStyle w:val="ImportTok"/>
        </w:rPr>
        <w:t xml:space="preserve">from</w:t>
      </w:r>
      <w:r>
        <w:rPr>
          <w:rStyle w:val="NormalTok"/>
        </w:rPr>
        <w:t xml:space="preserve"> sklearn.feature_extraction.text </w:t>
      </w:r>
      <w:r>
        <w:rPr>
          <w:rStyle w:val="ImportTok"/>
        </w:rPr>
        <w:t xml:space="preserve">import</w:t>
      </w:r>
      <w:r>
        <w:rPr>
          <w:rStyle w:val="NormalTok"/>
        </w:rPr>
        <w:t xml:space="preserve"> TfidfVectorizer</w:t>
      </w:r>
      <w:r>
        <w:br/>
      </w:r>
      <w:r>
        <w:br/>
      </w:r>
      <w:r>
        <w:rPr>
          <w:rStyle w:val="NormalTok"/>
        </w:rPr>
        <w:t xml:space="preserve">texts </w:t>
      </w:r>
      <w:r>
        <w:rPr>
          <w:rStyle w:val="OperatorTok"/>
        </w:rPr>
        <w:t xml:space="preserve">=</w:t>
      </w:r>
      <w:r>
        <w:rPr>
          <w:rStyle w:val="NormalTok"/>
        </w:rPr>
        <w:t xml:space="preserve"> [</w:t>
      </w:r>
      <w:r>
        <w:rPr>
          <w:rStyle w:val="StringTok"/>
        </w:rPr>
        <w:t xml:space="preserve">"flood warning issued"</w:t>
      </w:r>
      <w:r>
        <w:rPr>
          <w:rStyle w:val="NormalTok"/>
        </w:rPr>
        <w:t xml:space="preserve">, </w:t>
      </w:r>
      <w:r>
        <w:rPr>
          <w:rStyle w:val="StringTok"/>
        </w:rPr>
        <w:t xml:space="preserve">"sunny picnic today"</w:t>
      </w:r>
      <w:r>
        <w:rPr>
          <w:rStyle w:val="NormalTok"/>
        </w:rPr>
        <w:t xml:space="preserve">, </w:t>
      </w:r>
      <w:r>
        <w:rPr>
          <w:rStyle w:val="StringTok"/>
        </w:rPr>
        <w:t xml:space="preserve">"earthquake reported"</w:t>
      </w:r>
      <w:r>
        <w:rPr>
          <w:rStyle w:val="NormalTok"/>
        </w:rPr>
        <w:t xml:space="preserve">, </w:t>
      </w:r>
      <w:r>
        <w:rPr>
          <w:rStyle w:val="StringTok"/>
        </w:rPr>
        <w:t xml:space="preserve">"great concert tonight"</w:t>
      </w:r>
      <w:r>
        <w:rPr>
          <w:rStyle w:val="NormalTok"/>
        </w:rPr>
        <w:t xml:space="preserve">]</w:t>
      </w:r>
      <w:r>
        <w:br/>
      </w:r>
      <w:r>
        <w:rPr>
          <w:rStyle w:val="NormalTok"/>
        </w:rPr>
        <w:t xml:space="preserve">labels </w:t>
      </w:r>
      <w:r>
        <w:rPr>
          <w:rStyle w:val="OperatorTok"/>
        </w:rPr>
        <w:t xml:space="preserve">=</w:t>
      </w:r>
      <w:r>
        <w:rPr>
          <w:rStyle w:val="NormalTok"/>
        </w:rPr>
        <w:t xml:space="preserve"> [</w:t>
      </w:r>
      <w:r>
        <w:rPr>
          <w:rStyle w:val="DecValTok"/>
        </w:rPr>
        <w:t xml:space="preserve">1</w:t>
      </w:r>
      <w:r>
        <w:rPr>
          <w:rStyle w:val="NormalTok"/>
        </w:rPr>
        <w:t xml:space="preserve">, </w:t>
      </w:r>
      <w:r>
        <w:rPr>
          <w:rStyle w:val="DecValTok"/>
        </w:rPr>
        <w:t xml:space="preserve">0</w:t>
      </w:r>
      <w:r>
        <w:rPr>
          <w:rStyle w:val="NormalTok"/>
        </w:rPr>
        <w:t xml:space="preserve">, </w:t>
      </w:r>
      <w:r>
        <w:rPr>
          <w:rStyle w:val="DecValTok"/>
        </w:rPr>
        <w:t xml:space="preserve">1</w:t>
      </w:r>
      <w:r>
        <w:rPr>
          <w:rStyle w:val="NormalTok"/>
        </w:rPr>
        <w:t xml:space="preserve">, </w:t>
      </w:r>
      <w:r>
        <w:rPr>
          <w:rStyle w:val="DecValTok"/>
        </w:rPr>
        <w:t xml:space="preserve">0</w:t>
      </w:r>
      <w:r>
        <w:rPr>
          <w:rStyle w:val="NormalTok"/>
        </w:rPr>
        <w:t xml:space="preserve">]</w:t>
      </w:r>
      <w:r>
        <w:br/>
      </w:r>
      <w:r>
        <w:rPr>
          <w:rStyle w:val="NormalTok"/>
        </w:rPr>
        <w:t xml:space="preserve">pipe </w:t>
      </w:r>
      <w:r>
        <w:rPr>
          <w:rStyle w:val="OperatorTok"/>
        </w:rPr>
        <w:t xml:space="preserve">=</w:t>
      </w:r>
      <w:r>
        <w:rPr>
          <w:rStyle w:val="NormalTok"/>
        </w:rPr>
        <w:t xml:space="preserve"> Pipeline([(</w:t>
      </w:r>
      <w:r>
        <w:rPr>
          <w:rStyle w:val="StringTok"/>
        </w:rPr>
        <w:t xml:space="preserve">"tfidf"</w:t>
      </w:r>
      <w:r>
        <w:rPr>
          <w:rStyle w:val="NormalTok"/>
        </w:rPr>
        <w:t xml:space="preserve">, TfidfVectorizer()), (</w:t>
      </w:r>
      <w:r>
        <w:rPr>
          <w:rStyle w:val="StringTok"/>
        </w:rPr>
        <w:t xml:space="preserve">"model"</w:t>
      </w:r>
      <w:r>
        <w:rPr>
          <w:rStyle w:val="NormalTok"/>
        </w:rPr>
        <w:t xml:space="preserve">, LogisticRegression())]).fit(texts, labels)</w:t>
      </w:r>
      <w:r>
        <w:br/>
      </w:r>
      <w:r>
        <w:rPr>
          <w:rStyle w:val="BuiltInTok"/>
        </w:rPr>
        <w:t xml:space="preserve">print</w:t>
      </w:r>
      <w:r>
        <w:rPr>
          <w:rStyle w:val="NormalTok"/>
        </w:rPr>
        <w:t xml:space="preserve">(pipe.predict([</w:t>
      </w:r>
      <w:r>
        <w:rPr>
          <w:rStyle w:val="StringTok"/>
        </w:rPr>
        <w:t xml:space="preserve">"storm warning tonight"</w:t>
      </w:r>
      <w:r>
        <w:rPr>
          <w:rStyle w:val="NormalTok"/>
        </w:rPr>
        <w:t xml:space="preserve">]).tolist())</w:t>
      </w:r>
    </w:p>
    <w:p>
      <w:pPr>
        <w:pStyle w:val="FirstParagraph"/>
      </w:pPr>
      <w:r>
        <w:rPr>
          <w:b/>
          <w:bCs/>
        </w:rPr>
        <w:t xml:space="preserve">Verified output</w:t>
      </w:r>
    </w:p>
    <w:p>
      <w:pPr>
        <w:pStyle w:val="SourceCode"/>
        <w:keepLines/>
        <w:shd w:fill="F6F8FA" w:val="clear"/>
      </w:pPr>
      <w:r>
        <w:rPr>
          <w:rStyle w:val="VerbatimChar"/>
        </w:rPr>
        <w:t xml:space="preserve">[0]</w:t>
      </w:r>
    </w:p>
    <w:p>
      <w:pPr>
        <w:pStyle w:val="FirstParagraph"/>
      </w:pPr>
      <w:r>
        <w:rPr>
          <w:b/>
          <w:bCs/>
        </w:rPr>
        <w:t xml:space="preserve">Interpretation.</w:t>
      </w:r>
      <w:r>
        <w:t xml:space="preserve"> </w:t>
      </w:r>
      <w:r>
        <w:t xml:space="preserve">The example demonstrates workflow, not reliable disaster detection. Four training texts are far too few for deployment.</w:t>
      </w:r>
    </w:p>
    <w:bookmarkEnd w:id="678"/>
    <w:bookmarkEnd w:id="679"/>
    <w:bookmarkStart w:id="689" w:name="visual-evidence-31"/>
    <w:p>
      <w:pPr>
        <w:pStyle w:val="Heading2"/>
        <w:keepNext/>
      </w:pPr>
      <w:r>
        <w:t>51.7</w:t>
        <w:tab/>
        <w:t>Visual evidence</w:t>
      </w:r>
    </w:p>
    <w:p>
      <w:pPr>
        <w:pStyle w:val="FirstParagraph"/>
      </w:pPr>
      <w:r>
        <w:drawing>
          <wp:inline>
            <wp:extent cx="4907280" cy="1928662"/>
            <wp:effectExtent b="0" l="0" r="0" t="0"/>
            <wp:docPr descr="Image: rId680.png" title="" id="681" name="Picture"/>
            <a:graphic>
              <a:graphicData uri="http://schemas.openxmlformats.org/drawingml/2006/picture">
                <pic:pic>
                  <pic:nvPicPr>
                    <pic:cNvPr descr="figures/fig_60_nlp_pipeline.png" id="682" name="Picture"/>
                    <pic:cNvPicPr>
                      <a:picLocks noChangeArrowheads="1" noChangeAspect="1"/>
                    </pic:cNvPicPr>
                  </pic:nvPicPr>
                  <pic:blipFill>
                    <a:blip r:embed="rId680"/>
                    <a:stretch>
                      <a:fillRect/>
                    </a:stretch>
                  </pic:blipFill>
                  <pic:spPr bwMode="auto">
                    <a:xfrm>
                      <a:off x="0" y="0"/>
                      <a:ext cx="4907280" cy="1928662"/>
                    </a:xfrm>
                    <a:prstGeom prst="rect">
                      <a:avLst/>
                    </a:prstGeom>
                    <a:noFill/>
                    <a:ln w="9525">
                      <a:noFill/>
                      <a:headEnd/>
                      <a:tailEnd/>
                    </a:ln>
                  </pic:spPr>
                </pic:pic>
              </a:graphicData>
            </a:graphic>
          </wp:inline>
        </w:drawing>
      </w:r>
    </w:p>
    <w:p>
      <w:pPr>
        <w:pStyle w:val="Caption"/>
        <w:keepNext w:val="0"/>
        <w:jc w:val="center"/>
      </w:pPr>
      <w:r>
        <w:rPr>
          <w:b/>
          <w:bCs/>
        </w:rPr>
        <w:t xml:space="preserve">Figure 60.</w:t>
      </w:r>
      <w:r>
        <w:t xml:space="preserve"> </w:t>
      </w:r>
      <w:r>
        <w:t xml:space="preserve">A text-classification workflow from raw language to evaluated predictions.</w:t>
      </w:r>
    </w:p>
    <w:p>
      <w:pPr>
        <w:pStyle w:val="BodyText"/>
      </w:pPr>
      <w:r>
        <w:drawing>
          <wp:inline>
            <wp:extent cx="4907280" cy="3329059"/>
            <wp:effectExtent b="0" l="0" r="0" t="0"/>
            <wp:docPr descr="Image: rId683.png" title="" id="684" name="Picture"/>
            <a:graphic>
              <a:graphicData uri="http://schemas.openxmlformats.org/drawingml/2006/picture">
                <pic:pic>
                  <pic:nvPicPr>
                    <pic:cNvPr descr="figures/fig_61_text_embeddings.png" id="685" name="Picture"/>
                    <pic:cNvPicPr>
                      <a:picLocks noChangeArrowheads="1" noChangeAspect="1"/>
                    </pic:cNvPicPr>
                  </pic:nvPicPr>
                  <pic:blipFill>
                    <a:blip r:embed="rId683"/>
                    <a:stretch>
                      <a:fillRect/>
                    </a:stretch>
                  </pic:blipFill>
                  <pic:spPr bwMode="auto">
                    <a:xfrm>
                      <a:off x="0" y="0"/>
                      <a:ext cx="4907280" cy="3329059"/>
                    </a:xfrm>
                    <a:prstGeom prst="rect">
                      <a:avLst/>
                    </a:prstGeom>
                    <a:noFill/>
                    <a:ln w="9525">
                      <a:noFill/>
                      <a:headEnd/>
                      <a:tailEnd/>
                    </a:ln>
                  </pic:spPr>
                </pic:pic>
              </a:graphicData>
            </a:graphic>
          </wp:inline>
        </w:drawing>
      </w:r>
    </w:p>
    <w:p>
      <w:pPr>
        <w:pStyle w:val="Caption"/>
        <w:keepNext w:val="0"/>
        <w:jc w:val="center"/>
      </w:pPr>
      <w:r>
        <w:rPr>
          <w:b/>
          <w:bCs/>
        </w:rPr>
        <w:t xml:space="preserve">Figure 61.</w:t>
      </w:r>
      <w:r>
        <w:t xml:space="preserve"> </w:t>
      </w:r>
      <w:r>
        <w:t xml:space="preserve">A two-dimensional projection of TF-IDF document vectors.</w:t>
      </w:r>
    </w:p>
    <w:p>
      <w:pPr>
        <w:pStyle w:val="BodyText"/>
      </w:pPr>
      <w:r>
        <w:drawing>
          <wp:inline>
            <wp:extent cx="4830871" cy="3995802"/>
            <wp:effectExtent b="0" l="0" r="0" t="0"/>
            <wp:docPr descr="Image: rId686.png" title="" id="687" name="Picture"/>
            <a:graphic>
              <a:graphicData uri="http://schemas.openxmlformats.org/drawingml/2006/picture">
                <pic:pic>
                  <pic:nvPicPr>
                    <pic:cNvPr descr="figures/fig_62_attention_matrix.png" id="688" name="Picture"/>
                    <pic:cNvPicPr>
                      <a:picLocks noChangeArrowheads="1" noChangeAspect="1"/>
                    </pic:cNvPicPr>
                  </pic:nvPicPr>
                  <pic:blipFill>
                    <a:blip r:embed="rId686"/>
                    <a:stretch>
                      <a:fillRect/>
                    </a:stretch>
                  </pic:blipFill>
                  <pic:spPr bwMode="auto">
                    <a:xfrm>
                      <a:off x="0" y="0"/>
                      <a:ext cx="4830871" cy="3995802"/>
                    </a:xfrm>
                    <a:prstGeom prst="rect">
                      <a:avLst/>
                    </a:prstGeom>
                    <a:noFill/>
                    <a:ln w="9525">
                      <a:noFill/>
                      <a:headEnd/>
                      <a:tailEnd/>
                    </a:ln>
                  </pic:spPr>
                </pic:pic>
              </a:graphicData>
            </a:graphic>
          </wp:inline>
        </w:drawing>
      </w:r>
    </w:p>
    <w:p>
      <w:pPr>
        <w:pStyle w:val="Caption"/>
        <w:keepNext w:val="0"/>
        <w:jc w:val="center"/>
      </w:pPr>
      <w:r>
        <w:rPr>
          <w:b/>
          <w:bCs/>
        </w:rPr>
        <w:t xml:space="preserve">Figure 62.</w:t>
      </w:r>
      <w:r>
        <w:t xml:space="preserve"> </w:t>
      </w:r>
      <w:r>
        <w:t xml:space="preserve">A synthetic attention-weight matrix for a five-token sentence.</w:t>
      </w:r>
    </w:p>
    <w:bookmarkEnd w:id="689"/>
    <w:bookmarkStart w:id="690" w:name="reference-table-31"/>
    <w:p>
      <w:pPr>
        <w:pStyle w:val="Heading2"/>
        <w:keepNext/>
      </w:pPr>
      <w:r>
        <w:t>51.8</w:t>
        <w:tab/>
        <w:t>Reference table</w:t>
      </w:r>
    </w:p>
    <w:p>
      <w:pPr>
        <w:pStyle w:val="Caption"/>
        <w:keepNext/>
        <w:jc w:val="center"/>
      </w:pPr>
      <w:r>
        <w:rPr>
          <w:b/>
          <w:bCs/>
        </w:rPr>
        <w:t xml:space="preserve">Table 32. Chapter reference.</w:t>
      </w:r>
    </w:p>
    <w:tbl>
      <w:tblPr>
        <w:tblStyle w:val="Table"/>
        <w:tblW w:type="auto" w:w="0"/>
        <w:jc w:val="center"/>
        <w:tblLayout w:type="autofit"/>
        <w:tblLook w:firstRow="1" w:lastRow="0" w:firstColumn="0" w:lastColumn="0" w:noHBand="0" w:noVBand="0" w:val="0020"/>
      </w:tblPr>
      <w:tblGrid>
        <w:gridCol w:w="2640"/>
        <w:gridCol w:w="2640"/>
        <w:gridCol w:w="2640"/>
      </w:tblGrid>
      <w:tr>
        <w:trPr>
          <w:tblHeader w:val="on"/>
          <w:tblHeader w:val="true"/>
          <w:cantSplit/>
        </w:trPr>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0A2342" w:val="clear"/>
          </w:tcPr>
          <w:p>
            <w:pPr>
              <w:pStyle w:val="Compact"/>
              <w:spacing w:before="30" w:after="30" w:line="240" w:lineRule="auto"/>
              <w:jc w:val="left"/>
            </w:pPr>
            <w:r>
              <w:rPr>
                <w:rFonts w:ascii="Noto Sans" w:hAnsi="Noto Sans" w:eastAsia="Noto Sans" w:cs="Noto Sans"/>
                <w:b/>
                <w:color w:val="FFFFFF"/>
                <w:sz w:val="16"/>
              </w:rPr>
              <w:t xml:space="preserve">Representation</w:t>
            </w:r>
          </w:p>
        </w:tc>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0A2342" w:val="clear"/>
          </w:tcPr>
          <w:p>
            <w:pPr>
              <w:pStyle w:val="Compact"/>
              <w:spacing w:before="30" w:after="30" w:line="240" w:lineRule="auto"/>
              <w:jc w:val="left"/>
            </w:pPr>
            <w:r>
              <w:rPr>
                <w:rFonts w:ascii="Noto Sans" w:hAnsi="Noto Sans" w:eastAsia="Noto Sans" w:cs="Noto Sans"/>
                <w:b/>
                <w:color w:val="FFFFFF"/>
                <w:sz w:val="16"/>
              </w:rPr>
              <w:t xml:space="preserve">Strength</w:t>
            </w:r>
          </w:p>
        </w:tc>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0A2342" w:val="clear"/>
          </w:tcPr>
          <w:p>
            <w:pPr>
              <w:pStyle w:val="Compact"/>
              <w:spacing w:before="30" w:after="30" w:line="240" w:lineRule="auto"/>
              <w:jc w:val="left"/>
            </w:pPr>
            <w:r>
              <w:rPr>
                <w:rFonts w:ascii="Noto Sans" w:hAnsi="Noto Sans" w:eastAsia="Noto Sans" w:cs="Noto Sans"/>
                <w:b/>
                <w:color w:val="FFFFFF"/>
                <w:sz w:val="16"/>
              </w:rPr>
              <w:t xml:space="preserve">Limitation</w:t>
            </w:r>
          </w:p>
        </w:tc>
      </w:tr>
      <w:tr>
        <w:trPr>
          <w:cantSplit/>
        </w:trPr>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EEF4F8" w:val="clear"/>
          </w:tcPr>
          <w:p>
            <w:pPr>
              <w:pStyle w:val="Compact"/>
              <w:spacing w:before="30" w:after="30" w:line="240" w:lineRule="auto"/>
              <w:jc w:val="left"/>
            </w:pPr>
            <w:r>
              <w:rPr>
                <w:rFonts w:ascii="Noto Sans" w:hAnsi="Noto Sans" w:eastAsia="Noto Sans" w:cs="Noto Sans"/>
                <w:b w:val="0"/>
                <w:color w:val="18212B"/>
                <w:sz w:val="16"/>
              </w:rPr>
              <w:t xml:space="preserve">bag of words</w:t>
            </w:r>
          </w:p>
        </w:tc>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EEF4F8" w:val="clear"/>
          </w:tcPr>
          <w:p>
            <w:pPr>
              <w:pStyle w:val="Compact"/>
              <w:spacing w:before="30" w:after="30" w:line="240" w:lineRule="auto"/>
              <w:jc w:val="left"/>
            </w:pPr>
            <w:r>
              <w:rPr>
                <w:rFonts w:ascii="Noto Sans" w:hAnsi="Noto Sans" w:eastAsia="Noto Sans" w:cs="Noto Sans"/>
                <w:b w:val="0"/>
                <w:color w:val="18212B"/>
                <w:sz w:val="16"/>
              </w:rPr>
              <w:t xml:space="preserve">simple and interpretable</w:t>
            </w:r>
          </w:p>
        </w:tc>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EEF4F8" w:val="clear"/>
          </w:tcPr>
          <w:p>
            <w:pPr>
              <w:pStyle w:val="Compact"/>
              <w:spacing w:before="30" w:after="30" w:line="240" w:lineRule="auto"/>
              <w:jc w:val="left"/>
            </w:pPr>
            <w:r>
              <w:rPr>
                <w:rFonts w:ascii="Noto Sans" w:hAnsi="Noto Sans" w:eastAsia="Noto Sans" w:cs="Noto Sans"/>
                <w:b w:val="0"/>
                <w:color w:val="18212B"/>
                <w:sz w:val="16"/>
              </w:rPr>
              <w:t xml:space="preserve">ignores order</w:t>
            </w:r>
          </w:p>
        </w:tc>
      </w:tr>
      <w:tr>
        <w:trPr>
          <w:cantSplit/>
        </w:trPr>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FFFFFF" w:val="clear"/>
          </w:tcPr>
          <w:p>
            <w:pPr>
              <w:pStyle w:val="Compact"/>
              <w:spacing w:before="30" w:after="30" w:line="240" w:lineRule="auto"/>
              <w:jc w:val="left"/>
            </w:pPr>
            <w:r>
              <w:rPr>
                <w:rFonts w:ascii="Noto Sans" w:hAnsi="Noto Sans" w:eastAsia="Noto Sans" w:cs="Noto Sans"/>
                <w:b w:val="0"/>
                <w:color w:val="18212B"/>
                <w:sz w:val="16"/>
              </w:rPr>
              <w:t xml:space="preserve">TF-IDF</w:t>
            </w:r>
          </w:p>
        </w:tc>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FFFFFF" w:val="clear"/>
          </w:tcPr>
          <w:p>
            <w:pPr>
              <w:pStyle w:val="Compact"/>
              <w:spacing w:before="30" w:after="30" w:line="240" w:lineRule="auto"/>
              <w:jc w:val="left"/>
            </w:pPr>
            <w:r>
              <w:rPr>
                <w:rFonts w:ascii="Noto Sans" w:hAnsi="Noto Sans" w:eastAsia="Noto Sans" w:cs="Noto Sans"/>
                <w:b w:val="0"/>
                <w:color w:val="18212B"/>
                <w:sz w:val="16"/>
              </w:rPr>
              <w:t xml:space="preserve">strong sparse baseline</w:t>
            </w:r>
          </w:p>
        </w:tc>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FFFFFF" w:val="clear"/>
          </w:tcPr>
          <w:p>
            <w:pPr>
              <w:pStyle w:val="Compact"/>
              <w:spacing w:before="30" w:after="30" w:line="240" w:lineRule="auto"/>
              <w:jc w:val="left"/>
            </w:pPr>
            <w:r>
              <w:rPr>
                <w:rFonts w:ascii="Noto Sans" w:hAnsi="Noto Sans" w:eastAsia="Noto Sans" w:cs="Noto Sans"/>
                <w:b w:val="0"/>
                <w:color w:val="18212B"/>
                <w:sz w:val="16"/>
              </w:rPr>
              <w:t xml:space="preserve">limited semantics</w:t>
            </w:r>
          </w:p>
        </w:tc>
      </w:tr>
      <w:tr>
        <w:trPr>
          <w:cantSplit/>
        </w:trPr>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EEF4F8" w:val="clear"/>
          </w:tcPr>
          <w:p>
            <w:pPr>
              <w:pStyle w:val="Compact"/>
              <w:spacing w:before="30" w:after="30" w:line="240" w:lineRule="auto"/>
              <w:jc w:val="left"/>
            </w:pPr>
            <w:r>
              <w:rPr>
                <w:rFonts w:ascii="Noto Sans" w:hAnsi="Noto Sans" w:eastAsia="Noto Sans" w:cs="Noto Sans"/>
                <w:b w:val="0"/>
                <w:color w:val="18212B"/>
                <w:sz w:val="16"/>
              </w:rPr>
              <w:t xml:space="preserve">static embedding</w:t>
            </w:r>
          </w:p>
        </w:tc>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EEF4F8" w:val="clear"/>
          </w:tcPr>
          <w:p>
            <w:pPr>
              <w:pStyle w:val="Compact"/>
              <w:spacing w:before="30" w:after="30" w:line="240" w:lineRule="auto"/>
              <w:jc w:val="left"/>
            </w:pPr>
            <w:r>
              <w:rPr>
                <w:rFonts w:ascii="Noto Sans" w:hAnsi="Noto Sans" w:eastAsia="Noto Sans" w:cs="Noto Sans"/>
                <w:b w:val="0"/>
                <w:color w:val="18212B"/>
                <w:sz w:val="16"/>
              </w:rPr>
              <w:t xml:space="preserve">compact semantic geometry</w:t>
            </w:r>
          </w:p>
        </w:tc>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EEF4F8" w:val="clear"/>
          </w:tcPr>
          <w:p>
            <w:pPr>
              <w:pStyle w:val="Compact"/>
              <w:spacing w:before="30" w:after="30" w:line="240" w:lineRule="auto"/>
              <w:jc w:val="left"/>
            </w:pPr>
            <w:r>
              <w:rPr>
                <w:rFonts w:ascii="Noto Sans" w:hAnsi="Noto Sans" w:eastAsia="Noto Sans" w:cs="Noto Sans"/>
                <w:b w:val="0"/>
                <w:color w:val="18212B"/>
                <w:sz w:val="16"/>
              </w:rPr>
              <w:t xml:space="preserve">one vector per word</w:t>
            </w:r>
          </w:p>
        </w:tc>
      </w:tr>
      <w:tr>
        <w:trPr>
          <w:cantSplit/>
        </w:trPr>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FFFFFF" w:val="clear"/>
          </w:tcPr>
          <w:p>
            <w:pPr>
              <w:pStyle w:val="Compact"/>
              <w:spacing w:before="30" w:after="30" w:line="240" w:lineRule="auto"/>
              <w:jc w:val="left"/>
            </w:pPr>
            <w:r>
              <w:rPr>
                <w:rFonts w:ascii="Noto Sans" w:hAnsi="Noto Sans" w:eastAsia="Noto Sans" w:cs="Noto Sans"/>
                <w:b w:val="0"/>
                <w:color w:val="18212B"/>
                <w:sz w:val="16"/>
              </w:rPr>
              <w:t xml:space="preserve">contextual embedding</w:t>
            </w:r>
          </w:p>
        </w:tc>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FFFFFF" w:val="clear"/>
          </w:tcPr>
          <w:p>
            <w:pPr>
              <w:pStyle w:val="Compact"/>
              <w:spacing w:before="30" w:after="30" w:line="240" w:lineRule="auto"/>
              <w:jc w:val="left"/>
            </w:pPr>
            <w:r>
              <w:rPr>
                <w:rFonts w:ascii="Noto Sans" w:hAnsi="Noto Sans" w:eastAsia="Noto Sans" w:cs="Noto Sans"/>
                <w:b w:val="0"/>
                <w:color w:val="18212B"/>
                <w:sz w:val="16"/>
              </w:rPr>
              <w:t xml:space="preserve">context-sensitive</w:t>
            </w:r>
          </w:p>
        </w:tc>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FFFFFF" w:val="clear"/>
          </w:tcPr>
          <w:p>
            <w:pPr>
              <w:pStyle w:val="Compact"/>
              <w:spacing w:before="30" w:after="30" w:line="240" w:lineRule="auto"/>
              <w:jc w:val="left"/>
            </w:pPr>
            <w:r>
              <w:rPr>
                <w:rFonts w:ascii="Noto Sans" w:hAnsi="Noto Sans" w:eastAsia="Noto Sans" w:cs="Noto Sans"/>
                <w:b w:val="0"/>
                <w:color w:val="18212B"/>
                <w:sz w:val="16"/>
              </w:rPr>
              <w:t xml:space="preserve">computational and opaque</w:t>
            </w:r>
          </w:p>
        </w:tc>
      </w:tr>
      <w:tr>
        <w:trPr>
          <w:cantSplit/>
        </w:trPr>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EEF4F8" w:val="clear"/>
          </w:tcPr>
          <w:p>
            <w:pPr>
              <w:pStyle w:val="Compact"/>
              <w:spacing w:before="30" w:after="30" w:line="240" w:lineRule="auto"/>
              <w:jc w:val="left"/>
            </w:pPr>
            <w:r>
              <w:rPr>
                <w:rFonts w:ascii="Noto Sans" w:hAnsi="Noto Sans" w:eastAsia="Noto Sans" w:cs="Noto Sans"/>
                <w:b w:val="0"/>
                <w:color w:val="18212B"/>
                <w:sz w:val="16"/>
              </w:rPr>
              <w:t xml:space="preserve">attention map</w:t>
            </w:r>
          </w:p>
        </w:tc>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EEF4F8" w:val="clear"/>
          </w:tcPr>
          <w:p>
            <w:pPr>
              <w:pStyle w:val="Compact"/>
              <w:spacing w:before="30" w:after="30" w:line="240" w:lineRule="auto"/>
              <w:jc w:val="left"/>
            </w:pPr>
            <w:r>
              <w:rPr>
                <w:rFonts w:ascii="Noto Sans" w:hAnsi="Noto Sans" w:eastAsia="Noto Sans" w:cs="Noto Sans"/>
                <w:b w:val="0"/>
                <w:color w:val="18212B"/>
                <w:sz w:val="16"/>
              </w:rPr>
              <w:t xml:space="preserve">relation visualization</w:t>
            </w:r>
          </w:p>
        </w:tc>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EEF4F8" w:val="clear"/>
          </w:tcPr>
          <w:p>
            <w:pPr>
              <w:pStyle w:val="Compact"/>
              <w:spacing w:before="30" w:after="30" w:line="240" w:lineRule="auto"/>
              <w:jc w:val="left"/>
            </w:pPr>
            <w:r>
              <w:rPr>
                <w:rFonts w:ascii="Noto Sans" w:hAnsi="Noto Sans" w:eastAsia="Noto Sans" w:cs="Noto Sans"/>
                <w:b w:val="0"/>
                <w:color w:val="18212B"/>
                <w:sz w:val="16"/>
              </w:rPr>
              <w:t xml:space="preserve">not a complete explanation</w:t>
            </w:r>
          </w:p>
        </w:tc>
      </w:tr>
    </w:tbl>
    <w:p>
      <w:pPr>
        <w:pStyle w:val="BlockText"/>
        <w:shd w:fill="EAF7F5" w:val="clear"/>
        <w:pBdr>
          <w:left w:val="single" w:sz="18" w:space="8" w:color="008F87"/>
        </w:pBdr>
      </w:pPr>
      <w:r>
        <w:rPr>
          <w:b/>
          <w:bCs/>
        </w:rPr>
        <w:t xml:space="preserve">Why This Matters</w:t>
      </w:r>
    </w:p>
    <w:p>
      <w:pPr>
        <w:pStyle w:val="BlockText"/>
        <w:shd w:fill="EAF7F5" w:val="clear"/>
        <w:pBdr>
          <w:left w:val="single" w:sz="18" w:space="8" w:color="008F87"/>
        </w:pBdr>
      </w:pPr>
      <w:r>
        <w:t xml:space="preserve">NLP representations shape what textual evidence a model can use and what distinctions it can miss.</w:t>
      </w:r>
    </w:p>
    <w:p>
      <w:pPr>
        <w:pStyle w:val="BlockText"/>
        <w:shd w:fill="EAF7F5" w:val="clear"/>
        <w:pBdr>
          <w:left w:val="single" w:sz="18" w:space="8" w:color="008F87"/>
        </w:pBdr>
      </w:pPr>
      <w:r>
        <w:rPr>
          <w:b/>
          <w:bCs/>
        </w:rPr>
        <w:t xml:space="preserve">Common Mistake</w:t>
      </w:r>
    </w:p>
    <w:p>
      <w:pPr>
        <w:pStyle w:val="BlockText"/>
        <w:shd w:fill="EAF7F5" w:val="clear"/>
        <w:pBdr>
          <w:left w:val="single" w:sz="18" w:space="8" w:color="008F87"/>
        </w:pBdr>
      </w:pPr>
      <w:r>
        <w:t xml:space="preserve">Treating attention weights as a definitive causal explanation of a model’s decision.</w:t>
      </w:r>
    </w:p>
    <w:p>
      <w:pPr>
        <w:pStyle w:val="BlockText"/>
        <w:shd w:fill="EAF7F5" w:val="clear"/>
        <w:pBdr>
          <w:left w:val="single" w:sz="18" w:space="8" w:color="008F87"/>
        </w:pBdr>
      </w:pPr>
      <w:r>
        <w:rPr>
          <w:b/>
          <w:bCs/>
        </w:rPr>
        <w:t xml:space="preserve">Ceteris LAB Tip</w:t>
      </w:r>
    </w:p>
    <w:p>
      <w:pPr>
        <w:pStyle w:val="BlockText"/>
        <w:shd w:fill="EAF7F5" w:val="clear"/>
        <w:pBdr>
          <w:left w:val="single" w:sz="18" w:space="8" w:color="008F87"/>
        </w:pBdr>
      </w:pPr>
      <w:r>
        <w:t xml:space="preserve">Establish a TF-IDF baseline before adding a transformer. It reveals whether complexity produces real improvement.</w:t>
      </w:r>
    </w:p>
    <w:p>
      <w:pPr>
        <w:pStyle w:val="BlockText"/>
        <w:shd w:fill="EAF7F5" w:val="clear"/>
        <w:pBdr>
          <w:left w:val="single" w:sz="18" w:space="8" w:color="008F87"/>
        </w:pBdr>
      </w:pPr>
      <w:r>
        <w:rPr>
          <w:b/>
          <w:bCs/>
        </w:rPr>
        <w:t xml:space="preserve">R-to-Python / Source Bridge</w:t>
      </w:r>
    </w:p>
    <w:p>
      <w:pPr>
        <w:pStyle w:val="BlockText"/>
        <w:shd w:fill="EAF7F5" w:val="clear"/>
        <w:pBdr>
          <w:left w:val="single" w:sz="18" w:space="8" w:color="008F87"/>
        </w:pBdr>
      </w:pPr>
      <w:r>
        <w:t xml:space="preserve">The chapter adapts IntroAI session 9 on tokenization, embeddings, cosine similarity, attention, transformers, and disaster-tweet classification, with explicit baseline and evaluation guidance</w:t>
      </w:r>
      <w:r>
        <w:t xml:space="preserve"> </w:t>
      </w:r>
      <w:r>
        <w:t xml:space="preserve">(Sharifi-Zarchi and contributors 2026)</w:t>
      </w:r>
      <w:r>
        <w:t xml:space="preserve">.</w:t>
      </w:r>
    </w:p>
    <w:bookmarkEnd w:id="690"/>
    <w:bookmarkStart w:id="691" w:name="guided-practice-31"/>
    <w:p>
      <w:pPr>
        <w:pStyle w:val="Heading2"/>
        <w:keepNext/>
      </w:pPr>
      <w:r>
        <w:t>51.9</w:t>
        <w:tab/>
        <w:t>Guided practice</w:t>
      </w:r>
    </w:p>
    <w:p>
      <w:pPr>
        <w:pStyle w:val="Compact"/>
        <w:numPr>
          <w:ilvl w:val="0"/>
          <w:numId w:val="1128"/>
        </w:numPr>
      </w:pPr>
      <w:r>
        <w:t xml:space="preserve">Re-run Demonstration 32.1 and change one input while keeping the analytical question fixed.</w:t>
      </w:r>
    </w:p>
    <w:p>
      <w:pPr>
        <w:pStyle w:val="Compact"/>
        <w:numPr>
          <w:ilvl w:val="0"/>
          <w:numId w:val="1128"/>
        </w:numPr>
      </w:pPr>
      <w:r>
        <w:t xml:space="preserve">Explain in two sentences how the output supports, or fails to support, the chapter opening question.</w:t>
      </w:r>
    </w:p>
    <w:p>
      <w:pPr>
        <w:pStyle w:val="Compact"/>
        <w:numPr>
          <w:ilvl w:val="0"/>
          <w:numId w:val="1128"/>
        </w:numPr>
      </w:pPr>
      <w:r>
        <w:t xml:space="preserve">Add one validation check that would prevent a plausible error.</w:t>
      </w:r>
    </w:p>
    <w:bookmarkEnd w:id="691"/>
    <w:bookmarkStart w:id="692" w:name="exercises-31"/>
    <w:p>
      <w:pPr>
        <w:pStyle w:val="Heading2"/>
        <w:keepNext/>
      </w:pPr>
      <w:r>
        <w:t>51.10</w:t>
        <w:tab/>
        <w:t>Exercises</w:t>
      </w:r>
    </w:p>
    <w:p>
      <w:pPr>
        <w:pStyle w:val="Compact"/>
        <w:numPr>
          <w:ilvl w:val="0"/>
          <w:numId w:val="1129"/>
        </w:numPr>
      </w:pPr>
      <w:r>
        <w:t xml:space="preserve">Compare word and character TF-IDF.</w:t>
      </w:r>
    </w:p>
    <w:p>
      <w:pPr>
        <w:pStyle w:val="Compact"/>
        <w:numPr>
          <w:ilvl w:val="0"/>
          <w:numId w:val="1129"/>
        </w:numPr>
      </w:pPr>
      <w:r>
        <w:t xml:space="preserve">Calculate cosine similarities for five documents.</w:t>
      </w:r>
    </w:p>
    <w:p>
      <w:pPr>
        <w:pStyle w:val="Compact"/>
        <w:numPr>
          <w:ilvl w:val="0"/>
          <w:numId w:val="1129"/>
        </w:numPr>
      </w:pPr>
      <w:r>
        <w:t xml:space="preserve">Build a train-test text classifier.</w:t>
      </w:r>
    </w:p>
    <w:p>
      <w:pPr>
        <w:pStyle w:val="Compact"/>
        <w:numPr>
          <w:ilvl w:val="0"/>
          <w:numId w:val="1129"/>
        </w:numPr>
      </w:pPr>
      <w:r>
        <w:t xml:space="preserve">Explain how subword tokenization helps rare words.</w:t>
      </w:r>
    </w:p>
    <w:bookmarkEnd w:id="692"/>
    <w:bookmarkStart w:id="693" w:name="chapter-summary-31"/>
    <w:p>
      <w:pPr>
        <w:pStyle w:val="Heading2"/>
        <w:keepNext/>
      </w:pPr>
      <w:r>
        <w:t>51.11</w:t>
        <w:tab/>
        <w:t>Chapter summary</w:t>
      </w:r>
    </w:p>
    <w:p>
      <w:pPr>
        <w:pStyle w:val="Compact"/>
        <w:numPr>
          <w:ilvl w:val="0"/>
          <w:numId w:val="1130"/>
        </w:numPr>
      </w:pPr>
      <w:r>
        <w:t xml:space="preserve">Text must be tokenized and represented numerically.</w:t>
      </w:r>
    </w:p>
    <w:p>
      <w:pPr>
        <w:pStyle w:val="Compact"/>
        <w:numPr>
          <w:ilvl w:val="0"/>
          <w:numId w:val="1130"/>
        </w:numPr>
      </w:pPr>
      <w:r>
        <w:t xml:space="preserve">Sparse TF-IDF is a strong baseline; embeddings add geometric representation.</w:t>
      </w:r>
    </w:p>
    <w:p>
      <w:pPr>
        <w:pStyle w:val="Compact"/>
        <w:numPr>
          <w:ilvl w:val="0"/>
          <w:numId w:val="1130"/>
        </w:numPr>
      </w:pPr>
      <w:r>
        <w:t xml:space="preserve">Transformers use attention to construct contextual features.</w:t>
      </w:r>
    </w:p>
    <w:bookmarkEnd w:id="693"/>
    <w:bookmarkStart w:id="694" w:name="key-python-commands-31"/>
    <w:p>
      <w:pPr>
        <w:pStyle w:val="Heading2"/>
        <w:keepNext/>
      </w:pPr>
      <w:r>
        <w:t>51.12</w:t>
        <w:tab/>
        <w:t>Key Python commands</w:t>
      </w:r>
    </w:p>
    <w:p>
      <w:pPr>
        <w:pStyle w:val="SourceCode"/>
        <w:shd w:fill="F6F8FA" w:val="clear"/>
      </w:pPr>
      <w:r>
        <w:rPr>
          <w:rStyle w:val="ImportTok"/>
        </w:rPr>
        <w:t xml:space="preserve">from</w:t>
      </w:r>
      <w:r>
        <w:rPr>
          <w:rStyle w:val="NormalTok"/>
        </w:rPr>
        <w:t xml:space="preserve"> sklearn.feature_extraction.text </w:t>
      </w:r>
      <w:r>
        <w:rPr>
          <w:rStyle w:val="ImportTok"/>
        </w:rPr>
        <w:t xml:space="preserve">import</w:t>
      </w:r>
      <w:r>
        <w:rPr>
          <w:rStyle w:val="NormalTok"/>
        </w:rPr>
        <w:t xml:space="preserve"> TfidfVectorizer</w:t>
      </w:r>
      <w:r>
        <w:br/>
      </w:r>
      <w:r>
        <w:rPr>
          <w:rStyle w:val="ImportTok"/>
        </w:rPr>
        <w:t xml:space="preserve">from</w:t>
      </w:r>
      <w:r>
        <w:rPr>
          <w:rStyle w:val="NormalTok"/>
        </w:rPr>
        <w:t xml:space="preserve"> sklearn.metrics.pairwise </w:t>
      </w:r>
      <w:r>
        <w:rPr>
          <w:rStyle w:val="ImportTok"/>
        </w:rPr>
        <w:t xml:space="preserve">import</w:t>
      </w:r>
      <w:r>
        <w:rPr>
          <w:rStyle w:val="NormalTok"/>
        </w:rPr>
        <w:t xml:space="preserve"> cosine_similarity</w:t>
      </w:r>
      <w:r>
        <w:br/>
      </w:r>
      <w:r>
        <w:rPr>
          <w:rStyle w:val="NormalTok"/>
        </w:rPr>
        <w:t xml:space="preserve">X </w:t>
      </w:r>
      <w:r>
        <w:rPr>
          <w:rStyle w:val="OperatorTok"/>
        </w:rPr>
        <w:t xml:space="preserve">=</w:t>
      </w:r>
      <w:r>
        <w:rPr>
          <w:rStyle w:val="NormalTok"/>
        </w:rPr>
        <w:t xml:space="preserve"> TfidfVectorizer().fit_transform(docs)</w:t>
      </w:r>
      <w:r>
        <w:br/>
      </w:r>
      <w:r>
        <w:rPr>
          <w:rStyle w:val="BuiltInTok"/>
        </w:rPr>
        <w:t xml:space="preserve">print</w:t>
      </w:r>
      <w:r>
        <w:rPr>
          <w:rStyle w:val="NormalTok"/>
        </w:rPr>
        <w:t xml:space="preserve">(cosine_similarity(X[</w:t>
      </w:r>
      <w:r>
        <w:rPr>
          <w:rStyle w:val="DecValTok"/>
        </w:rPr>
        <w:t xml:space="preserve">0</w:t>
      </w:r>
      <w:r>
        <w:rPr>
          <w:rStyle w:val="NormalTok"/>
        </w:rPr>
        <w:t xml:space="preserve">], X).</w:t>
      </w:r>
      <w:r>
        <w:rPr>
          <w:rStyle w:val="BuiltInTok"/>
        </w:rPr>
        <w:t xml:space="preserve">round</w:t>
      </w:r>
      <w:r>
        <w:rPr>
          <w:rStyle w:val="NormalTok"/>
        </w:rPr>
        <w:t xml:space="preserve">(</w:t>
      </w:r>
      <w:r>
        <w:rPr>
          <w:rStyle w:val="DecValTok"/>
        </w:rPr>
        <w:t xml:space="preserve">3</w:t>
      </w:r>
      <w:r>
        <w:rPr>
          <w:rStyle w:val="NormalTok"/>
        </w:rPr>
        <w:t xml:space="preserve">).tolist()[</w:t>
      </w:r>
      <w:r>
        <w:rPr>
          <w:rStyle w:val="DecValTok"/>
        </w:rPr>
        <w:t xml:space="preserve">0</w:t>
      </w:r>
      <w:r>
        <w:rPr>
          <w:rStyle w:val="NormalTok"/>
        </w:rPr>
        <w:t xml:space="preserve">])</w:t>
      </w:r>
      <w:r>
        <w:br/>
      </w:r>
      <w:r>
        <w:rPr>
          <w:rStyle w:val="ImportTok"/>
        </w:rPr>
        <w:t xml:space="preserve">from</w:t>
      </w:r>
      <w:r>
        <w:rPr>
          <w:rStyle w:val="NormalTok"/>
        </w:rPr>
        <w:t xml:space="preserve"> sklearn.pipeline </w:t>
      </w:r>
      <w:r>
        <w:rPr>
          <w:rStyle w:val="ImportTok"/>
        </w:rPr>
        <w:t xml:space="preserve">import</w:t>
      </w:r>
      <w:r>
        <w:rPr>
          <w:rStyle w:val="NormalTok"/>
        </w:rPr>
        <w:t xml:space="preserve"> Pipeline</w:t>
      </w:r>
      <w:r>
        <w:br/>
      </w:r>
      <w:r>
        <w:rPr>
          <w:rStyle w:val="ImportTok"/>
        </w:rPr>
        <w:t xml:space="preserve">from</w:t>
      </w:r>
      <w:r>
        <w:rPr>
          <w:rStyle w:val="NormalTok"/>
        </w:rPr>
        <w:t xml:space="preserve"> sklearn.linear_model </w:t>
      </w:r>
      <w:r>
        <w:rPr>
          <w:rStyle w:val="ImportTok"/>
        </w:rPr>
        <w:t xml:space="preserve">import</w:t>
      </w:r>
      <w:r>
        <w:rPr>
          <w:rStyle w:val="NormalTok"/>
        </w:rPr>
        <w:t xml:space="preserve"> LogisticRegression</w:t>
      </w:r>
    </w:p>
    <w:bookmarkEnd w:id="694"/>
    <w:bookmarkEnd w:id="695"/>
    <w:bookmarkStart w:id="715" w:name="language-models-retrieval-and-ai-agents"/>
    <w:p>
      <w:pPr>
        <w:pStyle w:val="Heading1"/>
        <w:keepNext/>
        <w:pageBreakBefore/>
      </w:pPr>
      <w:r>
        <w:t>52</w:t>
        <w:tab/>
        <w:t>Language Models, Retrieval, and AI Agents for Econometric Research</w:t>
      </w:r>
    </w:p>
    <w:p>
      <w:pPr>
        <w:pStyle w:val="FirstParagraph"/>
      </w:pPr>
      <w:r>
        <w:rPr>
          <w:i/>
          <w:iCs/>
        </w:rPr>
        <w:t xml:space="preserve">Opening question:</w:t>
      </w:r>
      <w:r>
        <w:t xml:space="preserve"> </w:t>
      </w:r>
      <w:r>
        <w:rPr>
          <w:b/>
          <w:bCs/>
        </w:rPr>
        <w:t xml:space="preserve">How can a language model answer from a controlled evidence collection, use tools, and still remain subject to verification?</w:t>
      </w:r>
    </w:p>
    <w:bookmarkStart w:id="696" w:name="learning-objectives-32"/>
    <w:p>
      <w:pPr>
        <w:pStyle w:val="Heading2"/>
        <w:keepNext/>
      </w:pPr>
      <w:r>
        <w:t>52.1</w:t>
        <w:tab/>
        <w:t>Learning objectives</w:t>
      </w:r>
    </w:p>
    <w:p>
      <w:pPr>
        <w:pStyle w:val="Compact"/>
        <w:numPr>
          <w:ilvl w:val="0"/>
          <w:numId w:val="1131"/>
        </w:numPr>
      </w:pPr>
      <w:r>
        <w:t xml:space="preserve">Explain next-token prediction and context windows.</w:t>
      </w:r>
    </w:p>
    <w:p>
      <w:pPr>
        <w:pStyle w:val="Compact"/>
        <w:numPr>
          <w:ilvl w:val="0"/>
          <w:numId w:val="1131"/>
        </w:numPr>
      </w:pPr>
      <w:r>
        <w:t xml:space="preserve">Build a simple retrieval-augmented workflow.</w:t>
      </w:r>
    </w:p>
    <w:p>
      <w:pPr>
        <w:pStyle w:val="Compact"/>
        <w:numPr>
          <w:ilvl w:val="0"/>
          <w:numId w:val="1131"/>
        </w:numPr>
      </w:pPr>
      <w:r>
        <w:t xml:space="preserve">Describe agent loops, tools, memory, and stopping conditions.</w:t>
      </w:r>
    </w:p>
    <w:p>
      <w:pPr>
        <w:pStyle w:val="Compact"/>
        <w:numPr>
          <w:ilvl w:val="0"/>
          <w:numId w:val="1131"/>
        </w:numPr>
      </w:pPr>
      <w:r>
        <w:t xml:space="preserve">Evaluate grounding, privacy, cost, and safety.</w:t>
      </w:r>
    </w:p>
    <w:p>
      <w:pPr>
        <w:pStyle w:val="FirstParagraph"/>
      </w:pPr>
      <w:r>
        <w:rPr>
          <w:b/>
          <w:bCs/>
        </w:rPr>
        <w:t xml:space="preserve">Prerequisites:</w:t>
      </w:r>
      <w:r>
        <w:t xml:space="preserve"> </w:t>
      </w:r>
      <w:r>
        <w:t xml:space="preserve">Chapters 27, 28, and 32.</w:t>
      </w:r>
    </w:p>
    <w:p>
      <w:pPr>
        <w:pStyle w:val="BodyText"/>
      </w:pPr>
      <w:r>
        <w:rPr>
          <w:b/>
          <w:bCs/>
        </w:rPr>
        <w:t xml:space="preserve">Key terms:</w:t>
      </w:r>
      <w:r>
        <w:t xml:space="preserve"> </w:t>
      </w:r>
      <w:r>
        <w:t xml:space="preserve">language model, context window, RAG, retrieval, agent, tool use.</w:t>
      </w:r>
    </w:p>
    <w:bookmarkEnd w:id="696"/>
    <w:bookmarkStart w:id="697" w:name="a-language-model-predicts-continuations"/>
    <w:p>
      <w:pPr>
        <w:pStyle w:val="Heading2"/>
        <w:keepNext/>
      </w:pPr>
      <w:r>
        <w:t>52.2</w:t>
        <w:tab/>
        <w:t>A language model predicts continuations</w:t>
      </w:r>
    </w:p>
    <w:p>
      <w:pPr>
        <w:pStyle w:val="FirstParagraph"/>
      </w:pPr>
      <w:r>
        <w:t xml:space="preserve">A language model estimates a probability distribution over next tokens given prior context. Repeated sampling produces text. The model can encode extensive patterns without storing a searchable database of exact facts. Context windows limit how much prompt and retrieved material can be considered at once. Generated probability does not provide source attribution or truth verification.</w:t>
      </w:r>
    </w:p>
    <w:bookmarkEnd w:id="697"/>
    <w:bookmarkStart w:id="698" w:name="retrieval-creates-an-evidence-channel"/>
    <w:p>
      <w:pPr>
        <w:pStyle w:val="Heading2"/>
        <w:keepNext/>
      </w:pPr>
      <w:r>
        <w:t>52.3</w:t>
        <w:tab/>
        <w:t>Retrieval creates an evidence channel</w:t>
      </w:r>
    </w:p>
    <w:p>
      <w:pPr>
        <w:pStyle w:val="FirstParagraph"/>
      </w:pPr>
      <w:r>
        <w:t xml:space="preserve">Retrieval-augmented generation separates document search from response generation. Documents are split into chunks, represented for retrieval, ranked against a query, and inserted into the model context. The response can then cite the retrieved evidence. Failure can occur at ingestion, chunking, indexing, retrieval, context selection, or generation. A grounded answer requires both relevant evidence and faithful use of that evidence.</w:t>
      </w:r>
    </w:p>
    <w:bookmarkEnd w:id="698"/>
    <w:bookmarkStart w:id="699" w:name="agents-are-loops-with-authority"/>
    <w:p>
      <w:pPr>
        <w:pStyle w:val="Heading2"/>
        <w:keepNext/>
      </w:pPr>
      <w:r>
        <w:t>52.4</w:t>
        <w:tab/>
        <w:t>Agents are loops with authority</w:t>
      </w:r>
    </w:p>
    <w:p>
      <w:pPr>
        <w:pStyle w:val="FirstParagraph"/>
      </w:pPr>
      <w:r>
        <w:t xml:space="preserve">An AI agent typically observes a goal and state, chooses an action, calls a tool, receives a result, updates memory, and decides whether to continue. Tool permissions, input validation, rate limits, budgets, and stopping conditions are safety controls. Memory may improve continuity while increasing privacy and contamination risks. An agent should not receive more authority than the task requires, and consequential actions need confirmation and audit logs.</w:t>
      </w:r>
    </w:p>
    <w:bookmarkEnd w:id="699"/>
    <w:bookmarkStart w:id="702" w:name="python-demonstrations-32"/>
    <w:p>
      <w:pPr>
        <w:pStyle w:val="Heading2"/>
        <w:keepNext/>
      </w:pPr>
      <w:r>
        <w:t>52.5</w:t>
        <w:tab/>
        <w:t>Python demonstrations</w:t>
      </w:r>
    </w:p>
    <w:bookmarkStart w:id="700" w:name="Xd9dd59ba028809c4936b86f78a857c9b541d76d"/>
    <w:p>
      <w:pPr>
        <w:pStyle w:val="Heading3"/>
        <w:keepNext/>
      </w:pPr>
      <w:r>
        <w:t>52.5.1</w:t>
        <w:tab/>
        <w:t>Demonstration 33.1: A local retrieval demonstration</w:t>
      </w:r>
    </w:p>
    <w:p>
      <w:pPr>
        <w:pStyle w:val="SourceCode"/>
        <w:shd w:fill="F6F8FA" w:val="clear"/>
      </w:pPr>
      <w:r>
        <w:rPr>
          <w:rStyle w:val="ImportTok"/>
        </w:rPr>
        <w:t xml:space="preserve">from</w:t>
      </w:r>
      <w:r>
        <w:rPr>
          <w:rStyle w:val="NormalTok"/>
        </w:rPr>
        <w:t xml:space="preserve"> sklearn.feature_extraction.text </w:t>
      </w:r>
      <w:r>
        <w:rPr>
          <w:rStyle w:val="ImportTok"/>
        </w:rPr>
        <w:t xml:space="preserve">import</w:t>
      </w:r>
      <w:r>
        <w:rPr>
          <w:rStyle w:val="NormalTok"/>
        </w:rPr>
        <w:t xml:space="preserve"> TfidfVectorizer</w:t>
      </w:r>
      <w:r>
        <w:br/>
      </w:r>
      <w:r>
        <w:rPr>
          <w:rStyle w:val="ImportTok"/>
        </w:rPr>
        <w:t xml:space="preserve">from</w:t>
      </w:r>
      <w:r>
        <w:rPr>
          <w:rStyle w:val="NormalTok"/>
        </w:rPr>
        <w:t xml:space="preserve"> sklearn.metrics.pairwise </w:t>
      </w:r>
      <w:r>
        <w:rPr>
          <w:rStyle w:val="ImportTok"/>
        </w:rPr>
        <w:t xml:space="preserve">import</w:t>
      </w:r>
      <w:r>
        <w:rPr>
          <w:rStyle w:val="NormalTok"/>
        </w:rPr>
        <w:t xml:space="preserve"> cosine_similarity</w:t>
      </w:r>
      <w:r>
        <w:br/>
      </w:r>
      <w:r>
        <w:br/>
      </w:r>
      <w:r>
        <w:rPr>
          <w:rStyle w:val="NormalTok"/>
        </w:rPr>
        <w:t xml:space="preserve">chunks </w:t>
      </w:r>
      <w:r>
        <w:rPr>
          <w:rStyle w:val="OperatorTok"/>
        </w:rPr>
        <w:t xml:space="preserve">=</w:t>
      </w:r>
      <w:r>
        <w:rPr>
          <w:rStyle w:val="NormalTok"/>
        </w:rPr>
        <w:t xml:space="preserve"> [</w:t>
      </w:r>
      <w:r>
        <w:br/>
      </w:r>
      <w:r>
        <w:rPr>
          <w:rStyle w:val="NormalTok"/>
        </w:rPr>
        <w:t xml:space="preserve">    </w:t>
      </w:r>
      <w:r>
        <w:rPr>
          <w:rStyle w:val="StringTok"/>
        </w:rPr>
        <w:t xml:space="preserve">"Value at Risk is a loss quantile at a stated horizon and confidence level."</w:t>
      </w:r>
      <w:r>
        <w:rPr>
          <w:rStyle w:val="NormalTok"/>
        </w:rPr>
        <w:t xml:space="preserve">,</w:t>
      </w:r>
      <w:r>
        <w:br/>
      </w:r>
      <w:r>
        <w:rPr>
          <w:rStyle w:val="NormalTok"/>
        </w:rPr>
        <w:t xml:space="preserve">    </w:t>
      </w:r>
      <w:r>
        <w:rPr>
          <w:rStyle w:val="StringTok"/>
        </w:rPr>
        <w:t xml:space="preserve">"Expected Shortfall averages losses beyond the VaR threshold."</w:t>
      </w:r>
      <w:r>
        <w:rPr>
          <w:rStyle w:val="NormalTok"/>
        </w:rPr>
        <w:t xml:space="preserve">,</w:t>
      </w:r>
      <w:r>
        <w:br/>
      </w:r>
      <w:r>
        <w:rPr>
          <w:rStyle w:val="NormalTok"/>
        </w:rPr>
        <w:t xml:space="preserve">    </w:t>
      </w:r>
      <w:r>
        <w:rPr>
          <w:rStyle w:val="StringTok"/>
        </w:rPr>
        <w:t xml:space="preserve">"An AR model relates a series to its own lags."</w:t>
      </w:r>
      <w:r>
        <w:rPr>
          <w:rStyle w:val="NormalTok"/>
        </w:rPr>
        <w:t xml:space="preserve">,</w:t>
      </w:r>
      <w:r>
        <w:br/>
      </w:r>
      <w:r>
        <w:rPr>
          <w:rStyle w:val="NormalTok"/>
        </w:rPr>
        <w:t xml:space="preserve">]</w:t>
      </w:r>
      <w:r>
        <w:br/>
      </w:r>
      <w:r>
        <w:rPr>
          <w:rStyle w:val="NormalTok"/>
        </w:rPr>
        <w:t xml:space="preserve">query </w:t>
      </w:r>
      <w:r>
        <w:rPr>
          <w:rStyle w:val="OperatorTok"/>
        </w:rPr>
        <w:t xml:space="preserve">=</w:t>
      </w:r>
      <w:r>
        <w:rPr>
          <w:rStyle w:val="NormalTok"/>
        </w:rPr>
        <w:t xml:space="preserve"> </w:t>
      </w:r>
      <w:r>
        <w:rPr>
          <w:rStyle w:val="StringTok"/>
        </w:rPr>
        <w:t xml:space="preserve">"What summarizes losses worse than VaR?"</w:t>
      </w:r>
      <w:r>
        <w:br/>
      </w:r>
      <w:r>
        <w:rPr>
          <w:rStyle w:val="NormalTok"/>
        </w:rPr>
        <w:t xml:space="preserve">vec </w:t>
      </w:r>
      <w:r>
        <w:rPr>
          <w:rStyle w:val="OperatorTok"/>
        </w:rPr>
        <w:t xml:space="preserve">=</w:t>
      </w:r>
      <w:r>
        <w:rPr>
          <w:rStyle w:val="NormalTok"/>
        </w:rPr>
        <w:t xml:space="preserve"> TfidfVectorizer().fit(chunks </w:t>
      </w:r>
      <w:r>
        <w:rPr>
          <w:rStyle w:val="OperatorTok"/>
        </w:rPr>
        <w:t xml:space="preserve">+</w:t>
      </w:r>
      <w:r>
        <w:rPr>
          <w:rStyle w:val="NormalTok"/>
        </w:rPr>
        <w:t xml:space="preserve"> [query])</w:t>
      </w:r>
      <w:r>
        <w:br/>
      </w:r>
      <w:r>
        <w:rPr>
          <w:rStyle w:val="NormalTok"/>
        </w:rPr>
        <w:t xml:space="preserve">X </w:t>
      </w:r>
      <w:r>
        <w:rPr>
          <w:rStyle w:val="OperatorTok"/>
        </w:rPr>
        <w:t xml:space="preserve">=</w:t>
      </w:r>
      <w:r>
        <w:rPr>
          <w:rStyle w:val="NormalTok"/>
        </w:rPr>
        <w:t xml:space="preserve"> vec.transform(chunks </w:t>
      </w:r>
      <w:r>
        <w:rPr>
          <w:rStyle w:val="OperatorTok"/>
        </w:rPr>
        <w:t xml:space="preserve">+</w:t>
      </w:r>
      <w:r>
        <w:rPr>
          <w:rStyle w:val="NormalTok"/>
        </w:rPr>
        <w:t xml:space="preserve"> [query])</w:t>
      </w:r>
      <w:r>
        <w:br/>
      </w:r>
      <w:r>
        <w:rPr>
          <w:rStyle w:val="NormalTok"/>
        </w:rPr>
        <w:t xml:space="preserve">scores </w:t>
      </w:r>
      <w:r>
        <w:rPr>
          <w:rStyle w:val="OperatorTok"/>
        </w:rPr>
        <w:t xml:space="preserve">=</w:t>
      </w:r>
      <w:r>
        <w:rPr>
          <w:rStyle w:val="NormalTok"/>
        </w:rPr>
        <w:t xml:space="preserve"> cosine_similarity(X[</w:t>
      </w:r>
      <w:r>
        <w:rPr>
          <w:rStyle w:val="OperatorTok"/>
        </w:rPr>
        <w:t xml:space="preserve">-</w:t>
      </w:r>
      <w:r>
        <w:rPr>
          <w:rStyle w:val="DecValTok"/>
        </w:rPr>
        <w:t xml:space="preserve">1</w:t>
      </w:r>
      <w:r>
        <w:rPr>
          <w:rStyle w:val="NormalTok"/>
        </w:rPr>
        <w:t xml:space="preserve">], X[:</w:t>
      </w:r>
      <w:r>
        <w:rPr>
          <w:rStyle w:val="OperatorTok"/>
        </w:rPr>
        <w:t xml:space="preserve">-</w:t>
      </w:r>
      <w:r>
        <w:rPr>
          <w:rStyle w:val="DecValTok"/>
        </w:rPr>
        <w:t xml:space="preserve">1</w:t>
      </w:r>
      <w:r>
        <w:rPr>
          <w:rStyle w:val="NormalTok"/>
        </w:rPr>
        <w:t xml:space="preserve">]).ravel()</w:t>
      </w:r>
      <w:r>
        <w:br/>
      </w:r>
      <w:r>
        <w:rPr>
          <w:rStyle w:val="BuiltInTok"/>
        </w:rPr>
        <w:t xml:space="preserve">print</w:t>
      </w:r>
      <w:r>
        <w:rPr>
          <w:rStyle w:val="NormalTok"/>
        </w:rPr>
        <w:t xml:space="preserve">(scores.argmax(), chunks[scores.argmax()])</w:t>
      </w:r>
    </w:p>
    <w:p>
      <w:pPr>
        <w:pStyle w:val="FirstParagraph"/>
      </w:pPr>
      <w:r>
        <w:rPr>
          <w:b/>
          <w:bCs/>
        </w:rPr>
        <w:t xml:space="preserve">Verified output</w:t>
      </w:r>
    </w:p>
    <w:p>
      <w:pPr>
        <w:pStyle w:val="SourceCode"/>
        <w:keepLines/>
        <w:shd w:fill="F6F8FA" w:val="clear"/>
      </w:pPr>
      <w:r>
        <w:rPr>
          <w:rStyle w:val="VerbatimChar"/>
        </w:rPr>
        <w:t xml:space="preserve">1 Expected Shortfall averages losses beyond the VaR threshold.</w:t>
      </w:r>
    </w:p>
    <w:p>
      <w:pPr>
        <w:pStyle w:val="FirstParagraph"/>
      </w:pPr>
      <w:r>
        <w:rPr>
          <w:b/>
          <w:bCs/>
        </w:rPr>
        <w:t xml:space="preserve">Interpretation.</w:t>
      </w:r>
      <w:r>
        <w:t xml:space="preserve"> </w:t>
      </w:r>
      <w:r>
        <w:t xml:space="preserve">The retrieval step is local, inspectable, and requires no paid API. A larger system needs better embeddings and evaluation.</w:t>
      </w:r>
    </w:p>
    <w:bookmarkEnd w:id="700"/>
    <w:bookmarkStart w:id="701" w:name="demonstration-33.2-a-bounded-tool-loop"/>
    <w:p>
      <w:pPr>
        <w:pStyle w:val="Heading3"/>
        <w:keepNext/>
      </w:pPr>
      <w:r>
        <w:t>52.5.2</w:t>
        <w:tab/>
        <w:t>Demonstration 33.2: A bounded tool loop</w:t>
      </w:r>
    </w:p>
    <w:p>
      <w:pPr>
        <w:pStyle w:val="SourceCode"/>
        <w:keepLines/>
        <w:shd w:fill="F6F8FA" w:val="clear"/>
      </w:pPr>
      <w:r>
        <w:rPr>
          <w:rStyle w:val="NormalTok"/>
        </w:rPr>
        <w:t xml:space="preserve">state </w:t>
      </w:r>
      <w:r>
        <w:rPr>
          <w:rStyle w:val="OperatorTok"/>
        </w:rPr>
        <w:t xml:space="preserve">=</w:t>
      </w:r>
      <w:r>
        <w:rPr>
          <w:rStyle w:val="NormalTok"/>
        </w:rPr>
        <w:t xml:space="preserve"> {</w:t>
      </w:r>
      <w:r>
        <w:rPr>
          <w:rStyle w:val="StringTok"/>
        </w:rPr>
        <w:t xml:space="preserve">"step"</w:t>
      </w:r>
      <w:r>
        <w:rPr>
          <w:rStyle w:val="NormalTok"/>
        </w:rPr>
        <w:t xml:space="preserve">: </w:t>
      </w:r>
      <w:r>
        <w:rPr>
          <w:rStyle w:val="DecValTok"/>
        </w:rPr>
        <w:t xml:space="preserve">0</w:t>
      </w:r>
      <w:r>
        <w:rPr>
          <w:rStyle w:val="NormalTok"/>
        </w:rPr>
        <w:t xml:space="preserve">, </w:t>
      </w:r>
      <w:r>
        <w:rPr>
          <w:rStyle w:val="StringTok"/>
        </w:rPr>
        <w:t xml:space="preserve">"done"</w:t>
      </w:r>
      <w:r>
        <w:rPr>
          <w:rStyle w:val="NormalTok"/>
        </w:rPr>
        <w:t xml:space="preserve">: </w:t>
      </w:r>
      <w:r>
        <w:rPr>
          <w:rStyle w:val="VariableTok"/>
        </w:rPr>
        <w:t xml:space="preserve">False</w:t>
      </w:r>
      <w:r>
        <w:rPr>
          <w:rStyle w:val="NormalTok"/>
        </w:rPr>
        <w:t xml:space="preserve">}</w:t>
      </w:r>
      <w:r>
        <w:br/>
      </w:r>
      <w:r>
        <w:rPr>
          <w:rStyle w:val="ControlFlowTok"/>
        </w:rPr>
        <w:t xml:space="preserve">while</w:t>
      </w:r>
      <w:r>
        <w:rPr>
          <w:rStyle w:val="NormalTok"/>
        </w:rPr>
        <w:t xml:space="preserve"> </w:t>
      </w:r>
      <w:r>
        <w:rPr>
          <w:rStyle w:val="KeywordTok"/>
        </w:rPr>
        <w:t xml:space="preserve">not</w:t>
      </w:r>
      <w:r>
        <w:rPr>
          <w:rStyle w:val="NormalTok"/>
        </w:rPr>
        <w:t xml:space="preserve"> state[</w:t>
      </w:r>
      <w:r>
        <w:rPr>
          <w:rStyle w:val="StringTok"/>
        </w:rPr>
        <w:t xml:space="preserve">"done"</w:t>
      </w:r>
      <w:r>
        <w:rPr>
          <w:rStyle w:val="NormalTok"/>
        </w:rPr>
        <w:t xml:space="preserve">] </w:t>
      </w:r>
      <w:r>
        <w:rPr>
          <w:rStyle w:val="KeywordTok"/>
        </w:rPr>
        <w:t xml:space="preserve">and</w:t>
      </w:r>
      <w:r>
        <w:rPr>
          <w:rStyle w:val="NormalTok"/>
        </w:rPr>
        <w:t xml:space="preserve"> state[</w:t>
      </w:r>
      <w:r>
        <w:rPr>
          <w:rStyle w:val="StringTok"/>
        </w:rPr>
        <w:t xml:space="preserve">"step"</w:t>
      </w:r>
      <w:r>
        <w:rPr>
          <w:rStyle w:val="NormalTok"/>
        </w:rPr>
        <w:t xml:space="preserve">] </w:t>
      </w:r>
      <w:r>
        <w:rPr>
          <w:rStyle w:val="OperatorTok"/>
        </w:rPr>
        <w:t xml:space="preserve">&lt;</w:t>
      </w:r>
      <w:r>
        <w:rPr>
          <w:rStyle w:val="NormalTok"/>
        </w:rPr>
        <w:t xml:space="preserve"> </w:t>
      </w:r>
      <w:r>
        <w:rPr>
          <w:rStyle w:val="DecValTok"/>
        </w:rPr>
        <w:t xml:space="preserve">3</w:t>
      </w:r>
      <w:r>
        <w:rPr>
          <w:rStyle w:val="NormalTok"/>
        </w:rPr>
        <w:t xml:space="preserve">:</w:t>
      </w:r>
      <w:r>
        <w:br/>
      </w:r>
      <w:r>
        <w:rPr>
          <w:rStyle w:val="NormalTok"/>
        </w:rPr>
        <w:t xml:space="preserve">    state[</w:t>
      </w:r>
      <w:r>
        <w:rPr>
          <w:rStyle w:val="StringTok"/>
        </w:rPr>
        <w:t xml:space="preserve">"step"</w:t>
      </w:r>
      <w:r>
        <w:rPr>
          <w:rStyle w:val="NormalTok"/>
        </w:rPr>
        <w:t xml:space="preserve">] </w:t>
      </w:r>
      <w:r>
        <w:rPr>
          <w:rStyle w:val="OperatorTok"/>
        </w:rPr>
        <w:t xml:space="preserve">+=</w:t>
      </w:r>
      <w:r>
        <w:rPr>
          <w:rStyle w:val="NormalTok"/>
        </w:rPr>
        <w:t xml:space="preserve"> </w:t>
      </w:r>
      <w:r>
        <w:rPr>
          <w:rStyle w:val="DecValTok"/>
        </w:rPr>
        <w:t xml:space="preserve">1</w:t>
      </w:r>
      <w:r>
        <w:br/>
      </w:r>
      <w:r>
        <w:rPr>
          <w:rStyle w:val="NormalTok"/>
        </w:rPr>
        <w:t xml:space="preserve">    </w:t>
      </w:r>
      <w:r>
        <w:rPr>
          <w:rStyle w:val="ControlFlowTok"/>
        </w:rPr>
        <w:t xml:space="preserve">if</w:t>
      </w:r>
      <w:r>
        <w:rPr>
          <w:rStyle w:val="NormalTok"/>
        </w:rPr>
        <w:t xml:space="preserve"> state[</w:t>
      </w:r>
      <w:r>
        <w:rPr>
          <w:rStyle w:val="StringTok"/>
        </w:rPr>
        <w:t xml:space="preserve">"step"</w:t>
      </w:r>
      <w:r>
        <w:rPr>
          <w:rStyle w:val="NormalTok"/>
        </w:rPr>
        <w:t xml:space="preserve">] </w:t>
      </w:r>
      <w:r>
        <w:rPr>
          <w:rStyle w:val="OperatorTok"/>
        </w:rPr>
        <w:t xml:space="preserve">==</w:t>
      </w:r>
      <w:r>
        <w:rPr>
          <w:rStyle w:val="NormalTok"/>
        </w:rPr>
        <w:t xml:space="preserve"> </w:t>
      </w:r>
      <w:r>
        <w:rPr>
          <w:rStyle w:val="DecValTok"/>
        </w:rPr>
        <w:t xml:space="preserve">2</w:t>
      </w:r>
      <w:r>
        <w:rPr>
          <w:rStyle w:val="NormalTok"/>
        </w:rPr>
        <w:t xml:space="preserve">:</w:t>
      </w:r>
      <w:r>
        <w:br/>
      </w:r>
      <w:r>
        <w:rPr>
          <w:rStyle w:val="NormalTok"/>
        </w:rPr>
        <w:t xml:space="preserve">        state[</w:t>
      </w:r>
      <w:r>
        <w:rPr>
          <w:rStyle w:val="StringTok"/>
        </w:rPr>
        <w:t xml:space="preserve">"done"</w:t>
      </w:r>
      <w:r>
        <w:rPr>
          <w:rStyle w:val="NormalTok"/>
        </w:rPr>
        <w:t xml:space="preserve">] </w:t>
      </w:r>
      <w:r>
        <w:rPr>
          <w:rStyle w:val="OperatorTok"/>
        </w:rPr>
        <w:t xml:space="preserve">=</w:t>
      </w:r>
      <w:r>
        <w:rPr>
          <w:rStyle w:val="NormalTok"/>
        </w:rPr>
        <w:t xml:space="preserve"> </w:t>
      </w:r>
      <w:r>
        <w:rPr>
          <w:rStyle w:val="VariableTok"/>
        </w:rPr>
        <w:t xml:space="preserve">True</w:t>
      </w:r>
      <w:r>
        <w:br/>
      </w:r>
      <w:r>
        <w:rPr>
          <w:rStyle w:val="BuiltInTok"/>
        </w:rPr>
        <w:t xml:space="preserve">print</w:t>
      </w:r>
      <w:r>
        <w:rPr>
          <w:rStyle w:val="NormalTok"/>
        </w:rPr>
        <w:t xml:space="preserve">(state)</w:t>
      </w:r>
    </w:p>
    <w:p>
      <w:pPr>
        <w:pStyle w:val="FirstParagraph"/>
      </w:pPr>
      <w:r>
        <w:rPr>
          <w:b/>
          <w:bCs/>
        </w:rPr>
        <w:t xml:space="preserve">Verified output</w:t>
      </w:r>
    </w:p>
    <w:p>
      <w:pPr>
        <w:pStyle w:val="SourceCode"/>
        <w:keepLines/>
        <w:shd w:fill="F6F8FA" w:val="clear"/>
      </w:pPr>
      <w:r>
        <w:rPr>
          <w:rStyle w:val="VerbatimChar"/>
        </w:rPr>
        <w:t xml:space="preserve">{'step': 2, 'done': True}</w:t>
      </w:r>
    </w:p>
    <w:p>
      <w:pPr>
        <w:pStyle w:val="FirstParagraph"/>
      </w:pPr>
      <w:r>
        <w:rPr>
          <w:b/>
          <w:bCs/>
        </w:rPr>
        <w:t xml:space="preserve">Interpretation.</w:t>
      </w:r>
      <w:r>
        <w:t xml:space="preserve"> </w:t>
      </w:r>
      <w:r>
        <w:t xml:space="preserve">A maximum-step guard prevents an unbounded loop. Real agents also need tool-specific permissions, validation, and human confirmation.</w:t>
      </w:r>
    </w:p>
    <w:bookmarkEnd w:id="701"/>
    <w:bookmarkEnd w:id="702"/>
    <w:bookmarkStart w:id="709" w:name="visual-evidence-32"/>
    <w:p>
      <w:pPr>
        <w:pStyle w:val="Heading2"/>
        <w:keepNext/>
      </w:pPr>
      <w:r>
        <w:t>52.6</w:t>
        <w:tab/>
        <w:t>Visual evidence</w:t>
      </w:r>
    </w:p>
    <w:p>
      <w:pPr>
        <w:pStyle w:val="FirstParagraph"/>
      </w:pPr>
      <w:r>
        <w:drawing>
          <wp:inline>
            <wp:extent cx="4907280" cy="2378393"/>
            <wp:effectExtent b="0" l="0" r="0" t="0"/>
            <wp:docPr descr="Image: rId703.png" title="" id="704" name="Picture"/>
            <a:graphic>
              <a:graphicData uri="http://schemas.openxmlformats.org/drawingml/2006/picture">
                <pic:pic>
                  <pic:nvPicPr>
                    <pic:cNvPr descr="figures/fig_63_rag_workflow.png" id="705" name="Picture"/>
                    <pic:cNvPicPr>
                      <a:picLocks noChangeArrowheads="1" noChangeAspect="1"/>
                    </pic:cNvPicPr>
                  </pic:nvPicPr>
                  <pic:blipFill>
                    <a:blip r:embed="rId703"/>
                    <a:stretch>
                      <a:fillRect/>
                    </a:stretch>
                  </pic:blipFill>
                  <pic:spPr bwMode="auto">
                    <a:xfrm>
                      <a:off x="0" y="0"/>
                      <a:ext cx="4907280" cy="2378393"/>
                    </a:xfrm>
                    <a:prstGeom prst="rect">
                      <a:avLst/>
                    </a:prstGeom>
                    <a:noFill/>
                    <a:ln w="9525">
                      <a:noFill/>
                      <a:headEnd/>
                      <a:tailEnd/>
                    </a:ln>
                  </pic:spPr>
                </pic:pic>
              </a:graphicData>
            </a:graphic>
          </wp:inline>
        </w:drawing>
      </w:r>
    </w:p>
    <w:p>
      <w:pPr>
        <w:pStyle w:val="Caption"/>
        <w:keepNext w:val="0"/>
        <w:jc w:val="center"/>
      </w:pPr>
      <w:r>
        <w:rPr>
          <w:b/>
          <w:bCs/>
        </w:rPr>
        <w:t xml:space="preserve">Figure 63.</w:t>
      </w:r>
      <w:r>
        <w:t xml:space="preserve"> </w:t>
      </w:r>
      <w:r>
        <w:t xml:space="preserve">Retrieval-augmented generation grounds a response in selected source passages.</w:t>
      </w:r>
    </w:p>
    <w:p>
      <w:pPr>
        <w:pStyle w:val="BodyText"/>
      </w:pPr>
      <w:r>
        <w:drawing>
          <wp:inline>
            <wp:extent cx="4907280" cy="3530702"/>
            <wp:effectExtent b="0" l="0" r="0" t="0"/>
            <wp:docPr descr="Image: rId706.png" title="" id="707" name="Picture"/>
            <a:graphic>
              <a:graphicData uri="http://schemas.openxmlformats.org/drawingml/2006/picture">
                <pic:pic>
                  <pic:nvPicPr>
                    <pic:cNvPr descr="figures/fig_64_agent_loop.png" id="708" name="Picture"/>
                    <pic:cNvPicPr>
                      <a:picLocks noChangeArrowheads="1" noChangeAspect="1"/>
                    </pic:cNvPicPr>
                  </pic:nvPicPr>
                  <pic:blipFill>
                    <a:blip r:embed="rId706"/>
                    <a:stretch>
                      <a:fillRect/>
                    </a:stretch>
                  </pic:blipFill>
                  <pic:spPr bwMode="auto">
                    <a:xfrm>
                      <a:off x="0" y="0"/>
                      <a:ext cx="4907280" cy="3530702"/>
                    </a:xfrm>
                    <a:prstGeom prst="rect">
                      <a:avLst/>
                    </a:prstGeom>
                    <a:noFill/>
                    <a:ln w="9525">
                      <a:noFill/>
                      <a:headEnd/>
                      <a:tailEnd/>
                    </a:ln>
                  </pic:spPr>
                </pic:pic>
              </a:graphicData>
            </a:graphic>
          </wp:inline>
        </w:drawing>
      </w:r>
    </w:p>
    <w:p>
      <w:pPr>
        <w:pStyle w:val="Caption"/>
        <w:keepNext w:val="0"/>
        <w:jc w:val="center"/>
      </w:pPr>
      <w:r>
        <w:rPr>
          <w:b/>
          <w:bCs/>
        </w:rPr>
        <w:t xml:space="preserve">Figure 64.</w:t>
      </w:r>
      <w:r>
        <w:t xml:space="preserve"> </w:t>
      </w:r>
      <w:r>
        <w:t xml:space="preserve">A tool-using agent alternates planning, action, observation, and verification.</w:t>
      </w:r>
    </w:p>
    <w:bookmarkEnd w:id="709"/>
    <w:bookmarkStart w:id="710" w:name="reference-table-32"/>
    <w:p>
      <w:pPr>
        <w:pStyle w:val="Heading2"/>
        <w:keepNext/>
      </w:pPr>
      <w:r>
        <w:t>52.7</w:t>
        <w:tab/>
        <w:t>Reference table</w:t>
      </w:r>
    </w:p>
    <w:p>
      <w:pPr>
        <w:pStyle w:val="Caption"/>
        <w:keepNext/>
        <w:jc w:val="center"/>
      </w:pPr>
      <w:r>
        <w:rPr>
          <w:b/>
          <w:bCs/>
        </w:rPr>
        <w:t xml:space="preserve">Table 33. Chapter reference.</w:t>
      </w:r>
    </w:p>
    <w:tbl>
      <w:tblPr>
        <w:tblStyle w:val="Table"/>
        <w:tblW w:type="pct" w:w="5000"/>
        <w:jc w:val="center"/>
        <w:tblLayout w:type="autofit"/>
        <w:tblLook w:firstRow="1" w:lastRow="0" w:firstColumn="0" w:lastColumn="0" w:noHBand="0" w:noVBand="0" w:val="0020"/>
      </w:tblPr>
      <w:tblGrid>
        <w:gridCol w:w="2640"/>
        <w:gridCol w:w="2640"/>
        <w:gridCol w:w="2640"/>
      </w:tblGrid>
      <w:tr>
        <w:trPr>
          <w:tblHeader w:val="on"/>
          <w:tblHeader w:val="true"/>
          <w:cantSplit/>
        </w:trPr>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0A2342" w:val="clear"/>
          </w:tcPr>
          <w:p>
            <w:pPr>
              <w:pStyle w:val="Compact"/>
              <w:spacing w:before="30" w:after="30" w:line="240" w:lineRule="auto"/>
              <w:jc w:val="left"/>
            </w:pPr>
            <w:r>
              <w:rPr>
                <w:rFonts w:ascii="Noto Sans" w:hAnsi="Noto Sans" w:eastAsia="Noto Sans" w:cs="Noto Sans"/>
                <w:b/>
                <w:color w:val="FFFFFF"/>
                <w:sz w:val="16"/>
              </w:rPr>
              <w:t xml:space="preserve">Component</w:t>
            </w:r>
          </w:p>
        </w:tc>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0A2342" w:val="clear"/>
          </w:tcPr>
          <w:p>
            <w:pPr>
              <w:pStyle w:val="Compact"/>
              <w:spacing w:before="30" w:after="30" w:line="240" w:lineRule="auto"/>
              <w:jc w:val="left"/>
            </w:pPr>
            <w:r>
              <w:rPr>
                <w:rFonts w:ascii="Noto Sans" w:hAnsi="Noto Sans" w:eastAsia="Noto Sans" w:cs="Noto Sans"/>
                <w:b/>
                <w:color w:val="FFFFFF"/>
                <w:sz w:val="16"/>
              </w:rPr>
              <w:t xml:space="preserve">Function</w:t>
            </w:r>
          </w:p>
        </w:tc>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0A2342" w:val="clear"/>
          </w:tcPr>
          <w:p>
            <w:pPr>
              <w:pStyle w:val="Compact"/>
              <w:spacing w:before="30" w:after="30" w:line="240" w:lineRule="auto"/>
              <w:jc w:val="left"/>
            </w:pPr>
            <w:r>
              <w:rPr>
                <w:rFonts w:ascii="Noto Sans" w:hAnsi="Noto Sans" w:eastAsia="Noto Sans" w:cs="Noto Sans"/>
                <w:b/>
                <w:color w:val="FFFFFF"/>
                <w:sz w:val="16"/>
              </w:rPr>
              <w:t xml:space="preserve">Failure mode</w:t>
            </w:r>
          </w:p>
        </w:tc>
      </w:tr>
      <w:tr>
        <w:trPr>
          <w:cantSplit/>
        </w:trPr>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EEF4F8" w:val="clear"/>
          </w:tcPr>
          <w:p>
            <w:pPr>
              <w:pStyle w:val="Compact"/>
              <w:spacing w:before="30" w:after="30" w:line="240" w:lineRule="auto"/>
              <w:jc w:val="left"/>
            </w:pPr>
            <w:r>
              <w:rPr>
                <w:rFonts w:ascii="Noto Sans" w:hAnsi="Noto Sans" w:eastAsia="Noto Sans" w:cs="Noto Sans"/>
                <w:b w:val="0"/>
                <w:color w:val="18212B"/>
                <w:sz w:val="16"/>
              </w:rPr>
              <w:t xml:space="preserve">chunker</w:t>
            </w:r>
          </w:p>
        </w:tc>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EEF4F8" w:val="clear"/>
          </w:tcPr>
          <w:p>
            <w:pPr>
              <w:pStyle w:val="Compact"/>
              <w:spacing w:before="30" w:after="30" w:line="240" w:lineRule="auto"/>
              <w:jc w:val="left"/>
            </w:pPr>
            <w:r>
              <w:rPr>
                <w:rFonts w:ascii="Noto Sans" w:hAnsi="Noto Sans" w:eastAsia="Noto Sans" w:cs="Noto Sans"/>
                <w:b w:val="0"/>
                <w:color w:val="18212B"/>
                <w:sz w:val="16"/>
              </w:rPr>
              <w:t xml:space="preserve">divide documents</w:t>
            </w:r>
          </w:p>
        </w:tc>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EEF4F8" w:val="clear"/>
          </w:tcPr>
          <w:p>
            <w:pPr>
              <w:pStyle w:val="Compact"/>
              <w:spacing w:before="30" w:after="30" w:line="240" w:lineRule="auto"/>
              <w:jc w:val="left"/>
            </w:pPr>
            <w:r>
              <w:rPr>
                <w:rFonts w:ascii="Noto Sans" w:hAnsi="Noto Sans" w:eastAsia="Noto Sans" w:cs="Noto Sans"/>
                <w:b w:val="0"/>
                <w:color w:val="18212B"/>
                <w:sz w:val="16"/>
              </w:rPr>
              <w:t xml:space="preserve">cuts crucial context</w:t>
            </w:r>
          </w:p>
        </w:tc>
      </w:tr>
      <w:tr>
        <w:trPr>
          <w:cantSplit/>
        </w:trPr>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FFFFFF" w:val="clear"/>
          </w:tcPr>
          <w:p>
            <w:pPr>
              <w:pStyle w:val="Compact"/>
              <w:spacing w:before="30" w:after="30" w:line="240" w:lineRule="auto"/>
              <w:jc w:val="left"/>
            </w:pPr>
            <w:r>
              <w:rPr>
                <w:rFonts w:ascii="Noto Sans" w:hAnsi="Noto Sans" w:eastAsia="Noto Sans" w:cs="Noto Sans"/>
                <w:b w:val="0"/>
                <w:color w:val="18212B"/>
                <w:sz w:val="16"/>
              </w:rPr>
              <w:t xml:space="preserve">retriever</w:t>
            </w:r>
          </w:p>
        </w:tc>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FFFFFF" w:val="clear"/>
          </w:tcPr>
          <w:p>
            <w:pPr>
              <w:pStyle w:val="Compact"/>
              <w:spacing w:before="30" w:after="30" w:line="240" w:lineRule="auto"/>
              <w:jc w:val="left"/>
            </w:pPr>
            <w:r>
              <w:rPr>
                <w:rFonts w:ascii="Noto Sans" w:hAnsi="Noto Sans" w:eastAsia="Noto Sans" w:cs="Noto Sans"/>
                <w:b w:val="0"/>
                <w:color w:val="18212B"/>
                <w:sz w:val="16"/>
              </w:rPr>
              <w:t xml:space="preserve">rank evidence</w:t>
            </w:r>
          </w:p>
        </w:tc>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FFFFFF" w:val="clear"/>
          </w:tcPr>
          <w:p>
            <w:pPr>
              <w:pStyle w:val="Compact"/>
              <w:spacing w:before="30" w:after="30" w:line="240" w:lineRule="auto"/>
              <w:jc w:val="left"/>
            </w:pPr>
            <w:r>
              <w:rPr>
                <w:rFonts w:ascii="Noto Sans" w:hAnsi="Noto Sans" w:eastAsia="Noto Sans" w:cs="Noto Sans"/>
                <w:b w:val="0"/>
                <w:color w:val="18212B"/>
                <w:sz w:val="16"/>
              </w:rPr>
              <w:t xml:space="preserve">misses relevant source</w:t>
            </w:r>
          </w:p>
        </w:tc>
      </w:tr>
      <w:tr>
        <w:trPr>
          <w:cantSplit/>
        </w:trPr>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EEF4F8" w:val="clear"/>
          </w:tcPr>
          <w:p>
            <w:pPr>
              <w:pStyle w:val="Compact"/>
              <w:spacing w:before="30" w:after="30" w:line="240" w:lineRule="auto"/>
              <w:jc w:val="left"/>
            </w:pPr>
            <w:r>
              <w:rPr>
                <w:rFonts w:ascii="Noto Sans" w:hAnsi="Noto Sans" w:eastAsia="Noto Sans" w:cs="Noto Sans"/>
                <w:b w:val="0"/>
                <w:color w:val="18212B"/>
                <w:sz w:val="16"/>
              </w:rPr>
              <w:t xml:space="preserve">generator</w:t>
            </w:r>
          </w:p>
        </w:tc>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EEF4F8" w:val="clear"/>
          </w:tcPr>
          <w:p>
            <w:pPr>
              <w:pStyle w:val="Compact"/>
              <w:spacing w:before="30" w:after="30" w:line="240" w:lineRule="auto"/>
              <w:jc w:val="left"/>
            </w:pPr>
            <w:r>
              <w:rPr>
                <w:rFonts w:ascii="Noto Sans" w:hAnsi="Noto Sans" w:eastAsia="Noto Sans" w:cs="Noto Sans"/>
                <w:b w:val="0"/>
                <w:color w:val="18212B"/>
                <w:sz w:val="16"/>
              </w:rPr>
              <w:t xml:space="preserve">compose answer</w:t>
            </w:r>
          </w:p>
        </w:tc>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EEF4F8" w:val="clear"/>
          </w:tcPr>
          <w:p>
            <w:pPr>
              <w:pStyle w:val="Compact"/>
              <w:spacing w:before="30" w:after="30" w:line="240" w:lineRule="auto"/>
              <w:jc w:val="left"/>
            </w:pPr>
            <w:r>
              <w:rPr>
                <w:rFonts w:ascii="Noto Sans" w:hAnsi="Noto Sans" w:eastAsia="Noto Sans" w:cs="Noto Sans"/>
                <w:b w:val="0"/>
                <w:color w:val="18212B"/>
                <w:sz w:val="16"/>
              </w:rPr>
              <w:t xml:space="preserve">ignores or distorts evidence</w:t>
            </w:r>
          </w:p>
        </w:tc>
      </w:tr>
      <w:tr>
        <w:trPr>
          <w:cantSplit/>
        </w:trPr>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FFFFFF" w:val="clear"/>
          </w:tcPr>
          <w:p>
            <w:pPr>
              <w:pStyle w:val="Compact"/>
              <w:spacing w:before="30" w:after="30" w:line="240" w:lineRule="auto"/>
              <w:jc w:val="left"/>
            </w:pPr>
            <w:r>
              <w:rPr>
                <w:rFonts w:ascii="Noto Sans" w:hAnsi="Noto Sans" w:eastAsia="Noto Sans" w:cs="Noto Sans"/>
                <w:b w:val="0"/>
                <w:color w:val="18212B"/>
                <w:sz w:val="16"/>
              </w:rPr>
              <w:t xml:space="preserve">tool</w:t>
            </w:r>
          </w:p>
        </w:tc>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FFFFFF" w:val="clear"/>
          </w:tcPr>
          <w:p>
            <w:pPr>
              <w:pStyle w:val="Compact"/>
              <w:spacing w:before="30" w:after="30" w:line="240" w:lineRule="auto"/>
              <w:jc w:val="left"/>
            </w:pPr>
            <w:r>
              <w:rPr>
                <w:rFonts w:ascii="Noto Sans" w:hAnsi="Noto Sans" w:eastAsia="Noto Sans" w:cs="Noto Sans"/>
                <w:b w:val="0"/>
                <w:color w:val="18212B"/>
                <w:sz w:val="16"/>
              </w:rPr>
              <w:t xml:space="preserve">perform action or query</w:t>
            </w:r>
          </w:p>
        </w:tc>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FFFFFF" w:val="clear"/>
          </w:tcPr>
          <w:p>
            <w:pPr>
              <w:pStyle w:val="Compact"/>
              <w:spacing w:before="30" w:after="30" w:line="240" w:lineRule="auto"/>
              <w:jc w:val="left"/>
            </w:pPr>
            <w:r>
              <w:rPr>
                <w:rFonts w:ascii="Noto Sans" w:hAnsi="Noto Sans" w:eastAsia="Noto Sans" w:cs="Noto Sans"/>
                <w:b w:val="0"/>
                <w:color w:val="18212B"/>
                <w:sz w:val="16"/>
              </w:rPr>
              <w:t xml:space="preserve">unsafe/invalid invocation</w:t>
            </w:r>
          </w:p>
        </w:tc>
      </w:tr>
      <w:tr>
        <w:trPr>
          <w:cantSplit/>
        </w:trPr>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EEF4F8" w:val="clear"/>
          </w:tcPr>
          <w:p>
            <w:pPr>
              <w:pStyle w:val="Compact"/>
              <w:spacing w:before="30" w:after="30" w:line="240" w:lineRule="auto"/>
              <w:jc w:val="left"/>
            </w:pPr>
            <w:r>
              <w:rPr>
                <w:rFonts w:ascii="Noto Sans" w:hAnsi="Noto Sans" w:eastAsia="Noto Sans" w:cs="Noto Sans"/>
                <w:b w:val="0"/>
                <w:color w:val="18212B"/>
                <w:sz w:val="16"/>
              </w:rPr>
              <w:t xml:space="preserve">memory</w:t>
            </w:r>
          </w:p>
        </w:tc>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EEF4F8" w:val="clear"/>
          </w:tcPr>
          <w:p>
            <w:pPr>
              <w:pStyle w:val="Compact"/>
              <w:spacing w:before="30" w:after="30" w:line="240" w:lineRule="auto"/>
              <w:jc w:val="left"/>
            </w:pPr>
            <w:r>
              <w:rPr>
                <w:rFonts w:ascii="Noto Sans" w:hAnsi="Noto Sans" w:eastAsia="Noto Sans" w:cs="Noto Sans"/>
                <w:b w:val="0"/>
                <w:color w:val="18212B"/>
                <w:sz w:val="16"/>
              </w:rPr>
              <w:t xml:space="preserve">retain state</w:t>
            </w:r>
          </w:p>
        </w:tc>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EEF4F8" w:val="clear"/>
          </w:tcPr>
          <w:p>
            <w:pPr>
              <w:pStyle w:val="Compact"/>
              <w:spacing w:before="30" w:after="30" w:line="240" w:lineRule="auto"/>
              <w:jc w:val="left"/>
            </w:pPr>
            <w:r>
              <w:rPr>
                <w:rFonts w:ascii="Noto Sans" w:hAnsi="Noto Sans" w:eastAsia="Noto Sans" w:cs="Noto Sans"/>
                <w:b w:val="0"/>
                <w:color w:val="18212B"/>
                <w:sz w:val="16"/>
              </w:rPr>
              <w:t xml:space="preserve">privacy or stale assumptions</w:t>
            </w:r>
          </w:p>
        </w:tc>
      </w:tr>
      <w:tr>
        <w:trPr>
          <w:cantSplit/>
        </w:trPr>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FFFFFF" w:val="clear"/>
          </w:tcPr>
          <w:p>
            <w:pPr>
              <w:pStyle w:val="Compact"/>
              <w:spacing w:before="30" w:after="30" w:line="240" w:lineRule="auto"/>
              <w:jc w:val="left"/>
            </w:pPr>
            <w:r>
              <w:rPr>
                <w:rFonts w:ascii="Noto Sans" w:hAnsi="Noto Sans" w:eastAsia="Noto Sans" w:cs="Noto Sans"/>
                <w:b w:val="0"/>
                <w:color w:val="18212B"/>
                <w:sz w:val="16"/>
              </w:rPr>
              <w:t xml:space="preserve">evaluator</w:t>
            </w:r>
          </w:p>
        </w:tc>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FFFFFF" w:val="clear"/>
          </w:tcPr>
          <w:p>
            <w:pPr>
              <w:pStyle w:val="Compact"/>
              <w:spacing w:before="30" w:after="30" w:line="240" w:lineRule="auto"/>
              <w:jc w:val="left"/>
            </w:pPr>
            <w:r>
              <w:rPr>
                <w:rFonts w:ascii="Noto Sans" w:hAnsi="Noto Sans" w:eastAsia="Noto Sans" w:cs="Noto Sans"/>
                <w:b w:val="0"/>
                <w:color w:val="18212B"/>
                <w:sz w:val="16"/>
              </w:rPr>
              <w:t xml:space="preserve">check answer and process</w:t>
            </w:r>
          </w:p>
        </w:tc>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FFFFFF" w:val="clear"/>
          </w:tcPr>
          <w:p>
            <w:pPr>
              <w:pStyle w:val="Compact"/>
              <w:spacing w:before="30" w:after="30" w:line="240" w:lineRule="auto"/>
              <w:jc w:val="left"/>
            </w:pPr>
            <w:r>
              <w:rPr>
                <w:rFonts w:ascii="Noto Sans" w:hAnsi="Noto Sans" w:eastAsia="Noto Sans" w:cs="Noto Sans"/>
                <w:b w:val="0"/>
                <w:color w:val="18212B"/>
                <w:sz w:val="16"/>
              </w:rPr>
              <w:t xml:space="preserve">weak metric or circular grading</w:t>
            </w:r>
          </w:p>
        </w:tc>
      </w:tr>
    </w:tbl>
    <w:p>
      <w:pPr>
        <w:pStyle w:val="BlockText"/>
        <w:shd w:fill="EAF7F5" w:val="clear"/>
        <w:pBdr>
          <w:left w:val="single" w:sz="18" w:space="8" w:color="008F87"/>
        </w:pBdr>
      </w:pPr>
      <w:r>
        <w:rPr>
          <w:b/>
          <w:bCs/>
        </w:rPr>
        <w:t xml:space="preserve">Why This Matters</w:t>
      </w:r>
    </w:p>
    <w:p>
      <w:pPr>
        <w:pStyle w:val="BlockText"/>
        <w:shd w:fill="EAF7F5" w:val="clear"/>
        <w:pBdr>
          <w:left w:val="single" w:sz="18" w:space="8" w:color="008F87"/>
        </w:pBdr>
      </w:pPr>
      <w:r>
        <w:t xml:space="preserve">Retrieval and tools can improve grounding and capability, but they add new failure surfaces that must be observed and tested.</w:t>
      </w:r>
    </w:p>
    <w:p>
      <w:pPr>
        <w:pStyle w:val="BlockText"/>
        <w:shd w:fill="EAF7F5" w:val="clear"/>
        <w:pBdr>
          <w:left w:val="single" w:sz="18" w:space="8" w:color="008F87"/>
        </w:pBdr>
      </w:pPr>
      <w:r>
        <w:rPr>
          <w:b/>
          <w:bCs/>
        </w:rPr>
        <w:t xml:space="preserve">Common Mistake</w:t>
      </w:r>
    </w:p>
    <w:p>
      <w:pPr>
        <w:pStyle w:val="BlockText"/>
        <w:shd w:fill="EAF7F5" w:val="clear"/>
        <w:pBdr>
          <w:left w:val="single" w:sz="18" w:space="8" w:color="008F87"/>
        </w:pBdr>
      </w:pPr>
      <w:r>
        <w:t xml:space="preserve">Assuming that adding documents to a vector store guarantees that the model will retrieve and cite the correct evidence.</w:t>
      </w:r>
    </w:p>
    <w:p>
      <w:pPr>
        <w:pStyle w:val="BlockText"/>
        <w:shd w:fill="EAF7F5" w:val="clear"/>
        <w:pBdr>
          <w:left w:val="single" w:sz="18" w:space="8" w:color="008F87"/>
        </w:pBdr>
      </w:pPr>
      <w:r>
        <w:rPr>
          <w:b/>
          <w:bCs/>
        </w:rPr>
        <w:t xml:space="preserve">Ceteris LAB Tip</w:t>
      </w:r>
    </w:p>
    <w:p>
      <w:pPr>
        <w:pStyle w:val="BlockText"/>
        <w:shd w:fill="EAF7F5" w:val="clear"/>
        <w:pBdr>
          <w:left w:val="single" w:sz="18" w:space="8" w:color="008F87"/>
        </w:pBdr>
      </w:pPr>
      <w:r>
        <w:t xml:space="preserve">Evaluate retrieval separately from generation: first ask whether the right chunk was found, then whether the answer used it faithfully.</w:t>
      </w:r>
    </w:p>
    <w:p>
      <w:pPr>
        <w:pStyle w:val="BlockText"/>
        <w:shd w:fill="EAF7F5" w:val="clear"/>
        <w:pBdr>
          <w:left w:val="single" w:sz="18" w:space="8" w:color="008F87"/>
        </w:pBdr>
      </w:pPr>
      <w:r>
        <w:rPr>
          <w:b/>
          <w:bCs/>
        </w:rPr>
        <w:t xml:space="preserve">R-to-Python / Source Bridge</w:t>
      </w:r>
    </w:p>
    <w:p>
      <w:pPr>
        <w:pStyle w:val="BlockText"/>
        <w:shd w:fill="EAF7F5" w:val="clear"/>
        <w:pBdr>
          <w:left w:val="single" w:sz="18" w:space="8" w:color="008F87"/>
        </w:pBdr>
      </w:pPr>
      <w:r>
        <w:t xml:space="preserve">The chapter adapts IntroAI session 10 on small language models, chatbots, retrieval, memory, agents, and tool use. The required lab remains local and no-API, with optional extensions clearly separated</w:t>
      </w:r>
      <w:r>
        <w:t xml:space="preserve"> </w:t>
      </w:r>
      <w:r>
        <w:t xml:space="preserve">(Sharifi-Zarchi and contributors 2026)</w:t>
      </w:r>
      <w:r>
        <w:t xml:space="preserve">.</w:t>
      </w:r>
    </w:p>
    <w:bookmarkEnd w:id="710"/>
    <w:bookmarkStart w:id="711" w:name="guided-practice-32"/>
    <w:p>
      <w:pPr>
        <w:pStyle w:val="Heading2"/>
        <w:keepNext/>
      </w:pPr>
      <w:r>
        <w:t>52.8</w:t>
        <w:tab/>
        <w:t>Guided practice</w:t>
      </w:r>
    </w:p>
    <w:p>
      <w:pPr>
        <w:pStyle w:val="Compact"/>
        <w:numPr>
          <w:ilvl w:val="0"/>
          <w:numId w:val="1132"/>
        </w:numPr>
      </w:pPr>
      <w:r>
        <w:t xml:space="preserve">Re-run Demonstration 33.1 and change one input while keeping the analytical question fixed.</w:t>
      </w:r>
    </w:p>
    <w:p>
      <w:pPr>
        <w:pStyle w:val="Compact"/>
        <w:numPr>
          <w:ilvl w:val="0"/>
          <w:numId w:val="1132"/>
        </w:numPr>
      </w:pPr>
      <w:r>
        <w:t xml:space="preserve">Explain in two sentences how the output supports, or fails to support, the chapter opening question.</w:t>
      </w:r>
    </w:p>
    <w:p>
      <w:pPr>
        <w:pStyle w:val="Compact"/>
        <w:numPr>
          <w:ilvl w:val="0"/>
          <w:numId w:val="1132"/>
        </w:numPr>
      </w:pPr>
      <w:r>
        <w:t xml:space="preserve">Add one validation check that would prevent a plausible error.</w:t>
      </w:r>
    </w:p>
    <w:bookmarkEnd w:id="711"/>
    <w:bookmarkStart w:id="712" w:name="exercises-32"/>
    <w:p>
      <w:pPr>
        <w:pStyle w:val="Heading2"/>
        <w:keepNext/>
      </w:pPr>
      <w:r>
        <w:t>52.9</w:t>
        <w:tab/>
        <w:t>Exercises</w:t>
      </w:r>
    </w:p>
    <w:p>
      <w:pPr>
        <w:pStyle w:val="Compact"/>
        <w:numPr>
          <w:ilvl w:val="0"/>
          <w:numId w:val="1133"/>
        </w:numPr>
      </w:pPr>
      <w:r>
        <w:t xml:space="preserve">Create a TF-IDF retriever for five course notes.</w:t>
      </w:r>
    </w:p>
    <w:p>
      <w:pPr>
        <w:pStyle w:val="Compact"/>
        <w:numPr>
          <w:ilvl w:val="0"/>
          <w:numId w:val="1133"/>
        </w:numPr>
      </w:pPr>
      <w:r>
        <w:t xml:space="preserve">Design three chunking strategies and compare them.</w:t>
      </w:r>
    </w:p>
    <w:p>
      <w:pPr>
        <w:pStyle w:val="Compact"/>
        <w:numPr>
          <w:ilvl w:val="0"/>
          <w:numId w:val="1133"/>
        </w:numPr>
      </w:pPr>
      <w:r>
        <w:t xml:space="preserve">Specify tools and permissions for a safe data-analysis agent.</w:t>
      </w:r>
    </w:p>
    <w:p>
      <w:pPr>
        <w:pStyle w:val="Compact"/>
        <w:numPr>
          <w:ilvl w:val="0"/>
          <w:numId w:val="1133"/>
        </w:numPr>
      </w:pPr>
      <w:r>
        <w:t xml:space="preserve">Write a stopping rule and budget for an agent loop.</w:t>
      </w:r>
    </w:p>
    <w:bookmarkEnd w:id="712"/>
    <w:bookmarkStart w:id="713" w:name="chapter-summary-32"/>
    <w:p>
      <w:pPr>
        <w:pStyle w:val="Heading2"/>
        <w:keepNext/>
      </w:pPr>
      <w:r>
        <w:t>52.10</w:t>
        <w:tab/>
        <w:t>Chapter summary</w:t>
      </w:r>
    </w:p>
    <w:p>
      <w:pPr>
        <w:pStyle w:val="Compact"/>
        <w:numPr>
          <w:ilvl w:val="0"/>
          <w:numId w:val="1134"/>
        </w:numPr>
      </w:pPr>
      <w:r>
        <w:t xml:space="preserve">Language models generate token continuations rather than verified facts.</w:t>
      </w:r>
    </w:p>
    <w:p>
      <w:pPr>
        <w:pStyle w:val="Compact"/>
        <w:numPr>
          <w:ilvl w:val="0"/>
          <w:numId w:val="1134"/>
        </w:numPr>
      </w:pPr>
      <w:r>
        <w:t xml:space="preserve">RAG adds a retrievable evidence path.</w:t>
      </w:r>
    </w:p>
    <w:p>
      <w:pPr>
        <w:pStyle w:val="Compact"/>
        <w:numPr>
          <w:ilvl w:val="0"/>
          <w:numId w:val="1134"/>
        </w:numPr>
      </w:pPr>
      <w:r>
        <w:t xml:space="preserve">Agents require bounded tools, memory controls, and stopping conditions.</w:t>
      </w:r>
    </w:p>
    <w:bookmarkEnd w:id="713"/>
    <w:bookmarkStart w:id="714" w:name="key-python-commands-32"/>
    <w:p>
      <w:pPr>
        <w:pStyle w:val="Heading2"/>
        <w:keepNext/>
      </w:pPr>
      <w:r>
        <w:t>52.11</w:t>
        <w:tab/>
        <w:t>Key Python commands</w:t>
      </w:r>
    </w:p>
    <w:p>
      <w:pPr>
        <w:pStyle w:val="SourceCode"/>
        <w:shd w:fill="F6F8FA" w:val="clear"/>
      </w:pPr>
      <w:r>
        <w:rPr>
          <w:rStyle w:val="ImportTok"/>
        </w:rPr>
        <w:t xml:space="preserve">from</w:t>
      </w:r>
      <w:r>
        <w:rPr>
          <w:rStyle w:val="NormalTok"/>
        </w:rPr>
        <w:t xml:space="preserve"> sklearn.feature_extraction.text </w:t>
      </w:r>
      <w:r>
        <w:rPr>
          <w:rStyle w:val="ImportTok"/>
        </w:rPr>
        <w:t xml:space="preserve">import</w:t>
      </w:r>
      <w:r>
        <w:rPr>
          <w:rStyle w:val="NormalTok"/>
        </w:rPr>
        <w:t xml:space="preserve"> TfidfVectorizer</w:t>
      </w:r>
      <w:r>
        <w:br/>
      </w:r>
      <w:r>
        <w:rPr>
          <w:rStyle w:val="ImportTok"/>
        </w:rPr>
        <w:t xml:space="preserve">from</w:t>
      </w:r>
      <w:r>
        <w:rPr>
          <w:rStyle w:val="NormalTok"/>
        </w:rPr>
        <w:t xml:space="preserve"> sklearn.metrics.pairwise </w:t>
      </w:r>
      <w:r>
        <w:rPr>
          <w:rStyle w:val="ImportTok"/>
        </w:rPr>
        <w:t xml:space="preserve">import</w:t>
      </w:r>
      <w:r>
        <w:rPr>
          <w:rStyle w:val="NormalTok"/>
        </w:rPr>
        <w:t xml:space="preserve"> cosine_similarity</w:t>
      </w:r>
      <w:r>
        <w:br/>
      </w:r>
      <w:r>
        <w:rPr>
          <w:rStyle w:val="NormalTok"/>
        </w:rPr>
        <w:t xml:space="preserve">vec </w:t>
      </w:r>
      <w:r>
        <w:rPr>
          <w:rStyle w:val="OperatorTok"/>
        </w:rPr>
        <w:t xml:space="preserve">=</w:t>
      </w:r>
      <w:r>
        <w:rPr>
          <w:rStyle w:val="NormalTok"/>
        </w:rPr>
        <w:t xml:space="preserve"> TfidfVectorizer().fit(chunks </w:t>
      </w:r>
      <w:r>
        <w:rPr>
          <w:rStyle w:val="OperatorTok"/>
        </w:rPr>
        <w:t xml:space="preserve">+</w:t>
      </w:r>
      <w:r>
        <w:rPr>
          <w:rStyle w:val="NormalTok"/>
        </w:rPr>
        <w:t xml:space="preserve"> [query])</w:t>
      </w:r>
      <w:r>
        <w:br/>
      </w:r>
      <w:r>
        <w:rPr>
          <w:rStyle w:val="NormalTok"/>
        </w:rPr>
        <w:t xml:space="preserve">X </w:t>
      </w:r>
      <w:r>
        <w:rPr>
          <w:rStyle w:val="OperatorTok"/>
        </w:rPr>
        <w:t xml:space="preserve">=</w:t>
      </w:r>
      <w:r>
        <w:rPr>
          <w:rStyle w:val="NormalTok"/>
        </w:rPr>
        <w:t xml:space="preserve"> vec.transform(chunks </w:t>
      </w:r>
      <w:r>
        <w:rPr>
          <w:rStyle w:val="OperatorTok"/>
        </w:rPr>
        <w:t xml:space="preserve">+</w:t>
      </w:r>
      <w:r>
        <w:rPr>
          <w:rStyle w:val="NormalTok"/>
        </w:rPr>
        <w:t xml:space="preserve"> [query])</w:t>
      </w:r>
      <w:r>
        <w:br/>
      </w:r>
      <w:r>
        <w:rPr>
          <w:rStyle w:val="NormalTok"/>
        </w:rPr>
        <w:t xml:space="preserve">scores </w:t>
      </w:r>
      <w:r>
        <w:rPr>
          <w:rStyle w:val="OperatorTok"/>
        </w:rPr>
        <w:t xml:space="preserve">=</w:t>
      </w:r>
      <w:r>
        <w:rPr>
          <w:rStyle w:val="NormalTok"/>
        </w:rPr>
        <w:t xml:space="preserve"> cosine_similarity(X[</w:t>
      </w:r>
      <w:r>
        <w:rPr>
          <w:rStyle w:val="OperatorTok"/>
        </w:rPr>
        <w:t xml:space="preserve">-</w:t>
      </w:r>
      <w:r>
        <w:rPr>
          <w:rStyle w:val="DecValTok"/>
        </w:rPr>
        <w:t xml:space="preserve">1</w:t>
      </w:r>
      <w:r>
        <w:rPr>
          <w:rStyle w:val="NormalTok"/>
        </w:rPr>
        <w:t xml:space="preserve">], X[:</w:t>
      </w:r>
      <w:r>
        <w:rPr>
          <w:rStyle w:val="OperatorTok"/>
        </w:rPr>
        <w:t xml:space="preserve">-</w:t>
      </w:r>
      <w:r>
        <w:rPr>
          <w:rStyle w:val="DecValTok"/>
        </w:rPr>
        <w:t xml:space="preserve">1</w:t>
      </w:r>
      <w:r>
        <w:rPr>
          <w:rStyle w:val="NormalTok"/>
        </w:rPr>
        <w:t xml:space="preserve">]).ravel()</w:t>
      </w:r>
      <w:r>
        <w:br/>
      </w:r>
      <w:r>
        <w:rPr>
          <w:rStyle w:val="BuiltInTok"/>
        </w:rPr>
        <w:t xml:space="preserve">print</w:t>
      </w:r>
      <w:r>
        <w:rPr>
          <w:rStyle w:val="NormalTok"/>
        </w:rPr>
        <w:t xml:space="preserve">(scores.argmax(), chunks[scores.argmax()])</w:t>
      </w:r>
    </w:p>
    <w:bookmarkEnd w:id="714"/>
    <w:bookmarkEnd w:id="715"/>
    <w:bookmarkStart w:id="740" w:name="capstone-projects-and-student-portfolio"/>
    <w:p>
      <w:pPr>
        <w:pStyle w:val="Heading1"/>
        <w:keepNext/>
        <w:pageBreakBefore/>
      </w:pPr>
      <w:r>
        <w:t>53</w:t>
        <w:tab/>
        <w:t>Capstone Projects and Student Portfolio</w:t>
      </w:r>
    </w:p>
    <w:p>
      <w:pPr>
        <w:pStyle w:val="FirstParagraph"/>
      </w:pPr>
      <w:r>
        <w:rPr>
          <w:i/>
          <w:iCs/>
        </w:rPr>
        <w:t xml:space="preserve">Opening question:</w:t>
      </w:r>
      <w:r>
        <w:t xml:space="preserve"> </w:t>
      </w:r>
      <w:r>
        <w:rPr>
          <w:b/>
          <w:bCs/>
        </w:rPr>
        <w:t xml:space="preserve">How can a student transform code fragments into a defensible, reproducible analytical product for the Ceteris LAB website or a professional portfolio?</w:t>
      </w:r>
    </w:p>
    <w:bookmarkStart w:id="716" w:name="learning-objectives-33"/>
    <w:p>
      <w:pPr>
        <w:pStyle w:val="Heading2"/>
        <w:keepNext/>
      </w:pPr>
      <w:r>
        <w:t>53.1</w:t>
        <w:tab/>
        <w:t>Learning objectives</w:t>
      </w:r>
    </w:p>
    <w:p>
      <w:pPr>
        <w:pStyle w:val="Compact"/>
        <w:numPr>
          <w:ilvl w:val="0"/>
          <w:numId w:val="1135"/>
        </w:numPr>
      </w:pPr>
      <w:r>
        <w:t xml:space="preserve">Plan a complete project from question to communication.</w:t>
      </w:r>
    </w:p>
    <w:p>
      <w:pPr>
        <w:pStyle w:val="Compact"/>
        <w:numPr>
          <w:ilvl w:val="0"/>
          <w:numId w:val="1135"/>
        </w:numPr>
      </w:pPr>
      <w:r>
        <w:t xml:space="preserve">Use authoritative data and a data dictionary.</w:t>
      </w:r>
    </w:p>
    <w:p>
      <w:pPr>
        <w:pStyle w:val="Compact"/>
        <w:numPr>
          <w:ilvl w:val="0"/>
          <w:numId w:val="1135"/>
        </w:numPr>
      </w:pPr>
      <w:r>
        <w:t xml:space="preserve">Compare baseline and advanced models out of sample.</w:t>
      </w:r>
    </w:p>
    <w:p>
      <w:pPr>
        <w:pStyle w:val="Compact"/>
        <w:numPr>
          <w:ilvl w:val="0"/>
          <w:numId w:val="1135"/>
        </w:numPr>
      </w:pPr>
      <w:r>
        <w:t xml:space="preserve">Package code, figures, limitations, and reproducibility files.</w:t>
      </w:r>
    </w:p>
    <w:p>
      <w:pPr>
        <w:pStyle w:val="FirstParagraph"/>
      </w:pPr>
      <w:r>
        <w:rPr>
          <w:b/>
          <w:bCs/>
        </w:rPr>
        <w:t xml:space="preserve">Prerequisites:</w:t>
      </w:r>
      <w:r>
        <w:t xml:space="preserve"> </w:t>
      </w:r>
      <w:r>
        <w:t xml:space="preserve">All previous chapters.</w:t>
      </w:r>
    </w:p>
    <w:p>
      <w:pPr>
        <w:pStyle w:val="BodyText"/>
      </w:pPr>
      <w:r>
        <w:rPr>
          <w:b/>
          <w:bCs/>
        </w:rPr>
        <w:t xml:space="preserve">Key terms:</w:t>
      </w:r>
      <w:r>
        <w:t xml:space="preserve"> </w:t>
      </w:r>
      <w:r>
        <w:t xml:space="preserve">capstone, data dictionary, benchmark, model comparison, reproducible report, portfolio.</w:t>
      </w:r>
    </w:p>
    <w:bookmarkEnd w:id="716"/>
    <w:bookmarkStart w:id="717" w:name="X4c430964a751ab48303bc59848bb102c0aa9ed2"/>
    <w:p>
      <w:pPr>
        <w:pStyle w:val="Heading2"/>
        <w:keepNext/>
      </w:pPr>
      <w:r>
        <w:t>53.2</w:t>
        <w:tab/>
        <w:t>Capstone A: Canadian exchange-rate forecasting</w:t>
      </w:r>
    </w:p>
    <w:p>
      <w:pPr>
        <w:pStyle w:val="FirstParagraph"/>
      </w:pPr>
      <w:r>
        <w:t xml:space="preserve">Use the Bank of Canada FXUSDCAD series or another official Canadian series. State a forecast question and horizon, preserve the frozen raw extract, document units and frequency, transform the series, compare a naive benchmark with at least two models, and evaluate on a later period. Discuss revisions, market closures, short samples, and the difference between statistical forecast accuracy and economic value.</w:t>
      </w:r>
    </w:p>
    <w:bookmarkEnd w:id="717"/>
    <w:bookmarkStart w:id="718" w:name="Xea2075c445d44e470902e85a206e085ef05e6cb"/>
    <w:p>
      <w:pPr>
        <w:pStyle w:val="Heading2"/>
        <w:keepNext/>
      </w:pPr>
      <w:r>
        <w:t>53.3</w:t>
        <w:tab/>
        <w:t>Capstone B: inflation and interest-rate dashboard</w:t>
      </w:r>
    </w:p>
    <w:p>
      <w:pPr>
        <w:pStyle w:val="FirstParagraph"/>
      </w:pPr>
      <w:r>
        <w:t xml:space="preserve">Build a reproducible dashboard from official Canadian CPI and policy-rate sources. Distinguish headline, core, monthly, and year-over-year measures. Add source notes, retrieval dates, and an explanation of revisions. Use charts to communicate trends, not to imply that co-movement proves a policy effect. Include a plain-language summary and a technical appendix.</w:t>
      </w:r>
    </w:p>
    <w:bookmarkEnd w:id="718"/>
    <w:bookmarkStart w:id="719" w:name="capstones-c-and-d-risk-and-ai"/>
    <w:p>
      <w:pPr>
        <w:pStyle w:val="Heading2"/>
        <w:keepNext/>
      </w:pPr>
      <w:r>
        <w:t>53.4</w:t>
        <w:tab/>
        <w:t>Capstones C and D: risk and AI</w:t>
      </w:r>
    </w:p>
    <w:p>
      <w:pPr>
        <w:pStyle w:val="FirstParagraph"/>
      </w:pPr>
      <w:r>
        <w:t xml:space="preserve">A financial-risk project can compare historical, parametric, and GARCH-based VaR and ES with an expanding-window backtest. An AI project can compare baseline and advanced models on a clearly licensed dataset, preserve a final test set, inspect errors, and discuss fairness, privacy, and deployment shift. Every portfolio project should include a README, environment file, notebook, script, data instructions, figures, and an honest limitations section.</w:t>
      </w:r>
    </w:p>
    <w:bookmarkEnd w:id="719"/>
    <w:bookmarkStart w:id="722" w:name="python-demonstrations-33"/>
    <w:p>
      <w:pPr>
        <w:pStyle w:val="Heading2"/>
        <w:keepNext/>
      </w:pPr>
      <w:r>
        <w:t>53.5</w:t>
        <w:tab/>
        <w:t>Python demonstrations</w:t>
      </w:r>
    </w:p>
    <w:bookmarkStart w:id="720" w:name="X3007f2b6b48eb7e631db3e0605c6d66bb6ee00a"/>
    <w:p>
      <w:pPr>
        <w:pStyle w:val="Heading3"/>
        <w:keepNext/>
      </w:pPr>
      <w:r>
        <w:t>53.5.1</w:t>
        <w:tab/>
        <w:t>Demonstration 34.1: A simple model-comparison table</w:t>
      </w:r>
    </w:p>
    <w:p>
      <w:pPr>
        <w:pStyle w:val="SourceCode"/>
        <w:shd w:fill="F6F8FA" w:val="clear"/>
      </w:pPr>
      <w:r>
        <w:rPr>
          <w:rStyle w:val="ImportTok"/>
        </w:rPr>
        <w:t xml:space="preserve">import</w:t>
      </w:r>
      <w:r>
        <w:rPr>
          <w:rStyle w:val="NormalTok"/>
        </w:rPr>
        <w:t xml:space="preserve"> pandas </w:t>
      </w:r>
      <w:r>
        <w:rPr>
          <w:rStyle w:val="ImportTok"/>
        </w:rPr>
        <w:t xml:space="preserve">as</w:t>
      </w:r>
      <w:r>
        <w:rPr>
          <w:rStyle w:val="NormalTok"/>
        </w:rPr>
        <w:t xml:space="preserve"> pd</w:t>
      </w:r>
      <w:r>
        <w:br/>
      </w:r>
      <w:r>
        <w:br/>
      </w:r>
      <w:r>
        <w:rPr>
          <w:rStyle w:val="NormalTok"/>
        </w:rPr>
        <w:t xml:space="preserve">results </w:t>
      </w:r>
      <w:r>
        <w:rPr>
          <w:rStyle w:val="OperatorTok"/>
        </w:rPr>
        <w:t xml:space="preserve">=</w:t>
      </w:r>
      <w:r>
        <w:rPr>
          <w:rStyle w:val="NormalTok"/>
        </w:rPr>
        <w:t xml:space="preserve"> pd.DataFrame({</w:t>
      </w:r>
      <w:r>
        <w:br/>
      </w:r>
      <w:r>
        <w:rPr>
          <w:rStyle w:val="NormalTok"/>
        </w:rPr>
        <w:t xml:space="preserve">    </w:t>
      </w:r>
      <w:r>
        <w:rPr>
          <w:rStyle w:val="StringTok"/>
        </w:rPr>
        <w:t xml:space="preserve">"model"</w:t>
      </w:r>
      <w:r>
        <w:rPr>
          <w:rStyle w:val="NormalTok"/>
        </w:rPr>
        <w:t xml:space="preserve">: [</w:t>
      </w:r>
      <w:r>
        <w:rPr>
          <w:rStyle w:val="StringTok"/>
        </w:rPr>
        <w:t xml:space="preserve">"naive"</w:t>
      </w:r>
      <w:r>
        <w:rPr>
          <w:rStyle w:val="NormalTok"/>
        </w:rPr>
        <w:t xml:space="preserve">, </w:t>
      </w:r>
      <w:r>
        <w:rPr>
          <w:rStyle w:val="StringTok"/>
        </w:rPr>
        <w:t xml:space="preserve">"ARIMA"</w:t>
      </w:r>
      <w:r>
        <w:rPr>
          <w:rStyle w:val="NormalTok"/>
        </w:rPr>
        <w:t xml:space="preserve">, </w:t>
      </w:r>
      <w:r>
        <w:rPr>
          <w:rStyle w:val="StringTok"/>
        </w:rPr>
        <w:t xml:space="preserve">"random_forest"</w:t>
      </w:r>
      <w:r>
        <w:rPr>
          <w:rStyle w:val="NormalTok"/>
        </w:rPr>
        <w:t xml:space="preserve">],</w:t>
      </w:r>
      <w:r>
        <w:br/>
      </w:r>
      <w:r>
        <w:rPr>
          <w:rStyle w:val="NormalTok"/>
        </w:rPr>
        <w:t xml:space="preserve">    </w:t>
      </w:r>
      <w:r>
        <w:rPr>
          <w:rStyle w:val="StringTok"/>
        </w:rPr>
        <w:t xml:space="preserve">"MAE"</w:t>
      </w:r>
      <w:r>
        <w:rPr>
          <w:rStyle w:val="NormalTok"/>
        </w:rPr>
        <w:t xml:space="preserve">: [</w:t>
      </w:r>
      <w:r>
        <w:rPr>
          <w:rStyle w:val="FloatTok"/>
        </w:rPr>
        <w:t xml:space="preserve">0.0124</w:t>
      </w:r>
      <w:r>
        <w:rPr>
          <w:rStyle w:val="NormalTok"/>
        </w:rPr>
        <w:t xml:space="preserve">, </w:t>
      </w:r>
      <w:r>
        <w:rPr>
          <w:rStyle w:val="FloatTok"/>
        </w:rPr>
        <w:t xml:space="preserve">0.0118</w:t>
      </w:r>
      <w:r>
        <w:rPr>
          <w:rStyle w:val="NormalTok"/>
        </w:rPr>
        <w:t xml:space="preserve">, </w:t>
      </w:r>
      <w:r>
        <w:rPr>
          <w:rStyle w:val="FloatTok"/>
        </w:rPr>
        <w:t xml:space="preserve">0.0121</w:t>
      </w:r>
      <w:r>
        <w:rPr>
          <w:rStyle w:val="NormalTok"/>
        </w:rPr>
        <w:t xml:space="preserve">],</w:t>
      </w:r>
      <w:r>
        <w:br/>
      </w:r>
      <w:r>
        <w:rPr>
          <w:rStyle w:val="NormalTok"/>
        </w:rPr>
        <w:t xml:space="preserve">    </w:t>
      </w:r>
      <w:r>
        <w:rPr>
          <w:rStyle w:val="StringTok"/>
        </w:rPr>
        <w:t xml:space="preserve">"RMSE"</w:t>
      </w:r>
      <w:r>
        <w:rPr>
          <w:rStyle w:val="NormalTok"/>
        </w:rPr>
        <w:t xml:space="preserve">: [</w:t>
      </w:r>
      <w:r>
        <w:rPr>
          <w:rStyle w:val="FloatTok"/>
        </w:rPr>
        <w:t xml:space="preserve">0.0168</w:t>
      </w:r>
      <w:r>
        <w:rPr>
          <w:rStyle w:val="NormalTok"/>
        </w:rPr>
        <w:t xml:space="preserve">, </w:t>
      </w:r>
      <w:r>
        <w:rPr>
          <w:rStyle w:val="FloatTok"/>
        </w:rPr>
        <w:t xml:space="preserve">0.0160</w:t>
      </w:r>
      <w:r>
        <w:rPr>
          <w:rStyle w:val="NormalTok"/>
        </w:rPr>
        <w:t xml:space="preserve">, </w:t>
      </w:r>
      <w:r>
        <w:rPr>
          <w:rStyle w:val="FloatTok"/>
        </w:rPr>
        <w:t xml:space="preserve">0.0164</w:t>
      </w:r>
      <w:r>
        <w:rPr>
          <w:rStyle w:val="NormalTok"/>
        </w:rPr>
        <w:t xml:space="preserve">],</w:t>
      </w:r>
      <w:r>
        <w:br/>
      </w:r>
      <w:r>
        <w:rPr>
          <w:rStyle w:val="NormalTok"/>
        </w:rPr>
        <w:t xml:space="preserve">})</w:t>
      </w:r>
      <w:r>
        <w:br/>
      </w:r>
      <w:r>
        <w:rPr>
          <w:rStyle w:val="NormalTok"/>
        </w:rPr>
        <w:t xml:space="preserve">results[</w:t>
      </w:r>
      <w:r>
        <w:rPr>
          <w:rStyle w:val="StringTok"/>
        </w:rPr>
        <w:t xml:space="preserve">"MAE_rank"</w:t>
      </w:r>
      <w:r>
        <w:rPr>
          <w:rStyle w:val="NormalTok"/>
        </w:rPr>
        <w:t xml:space="preserve">] </w:t>
      </w:r>
      <w:r>
        <w:rPr>
          <w:rStyle w:val="OperatorTok"/>
        </w:rPr>
        <w:t xml:space="preserve">=</w:t>
      </w:r>
      <w:r>
        <w:rPr>
          <w:rStyle w:val="NormalTok"/>
        </w:rPr>
        <w:t xml:space="preserve"> results[</w:t>
      </w:r>
      <w:r>
        <w:rPr>
          <w:rStyle w:val="StringTok"/>
        </w:rPr>
        <w:t xml:space="preserve">"MAE"</w:t>
      </w:r>
      <w:r>
        <w:rPr>
          <w:rStyle w:val="NormalTok"/>
        </w:rPr>
        <w:t xml:space="preserve">].rank(method</w:t>
      </w:r>
      <w:r>
        <w:rPr>
          <w:rStyle w:val="OperatorTok"/>
        </w:rPr>
        <w:t xml:space="preserve">=</w:t>
      </w:r>
      <w:r>
        <w:rPr>
          <w:rStyle w:val="StringTok"/>
        </w:rPr>
        <w:t xml:space="preserve">"min"</w:t>
      </w:r>
      <w:r>
        <w:rPr>
          <w:rStyle w:val="NormalTok"/>
        </w:rPr>
        <w:t xml:space="preserve">).astype(</w:t>
      </w:r>
      <w:r>
        <w:rPr>
          <w:rStyle w:val="BuiltInTok"/>
        </w:rPr>
        <w:t xml:space="preserve">int</w:t>
      </w:r>
      <w:r>
        <w:rPr>
          <w:rStyle w:val="NormalTok"/>
        </w:rPr>
        <w:t xml:space="preserve">)</w:t>
      </w:r>
      <w:r>
        <w:br/>
      </w:r>
      <w:r>
        <w:rPr>
          <w:rStyle w:val="BuiltInTok"/>
        </w:rPr>
        <w:t xml:space="preserve">print</w:t>
      </w:r>
      <w:r>
        <w:rPr>
          <w:rStyle w:val="NormalTok"/>
        </w:rPr>
        <w:t xml:space="preserve">(results.sort_values(</w:t>
      </w:r>
      <w:r>
        <w:rPr>
          <w:rStyle w:val="StringTok"/>
        </w:rPr>
        <w:t xml:space="preserve">"MAE"</w:t>
      </w:r>
      <w:r>
        <w:rPr>
          <w:rStyle w:val="NormalTok"/>
        </w:rPr>
        <w:t xml:space="preserve">))</w:t>
      </w:r>
    </w:p>
    <w:p>
      <w:pPr>
        <w:pStyle w:val="FirstParagraph"/>
      </w:pPr>
      <w:r>
        <w:rPr>
          <w:b/>
          <w:bCs/>
        </w:rPr>
        <w:t xml:space="preserve">Verified output</w:t>
      </w:r>
    </w:p>
    <w:p>
      <w:pPr>
        <w:pStyle w:val="SourceCode"/>
        <w:keepLines/>
        <w:shd w:fill="F6F8FA" w:val="clear"/>
      </w:pPr>
      <w:r>
        <w:rPr>
          <w:rStyle w:val="VerbatimChar"/>
        </w:rPr>
        <w:t xml:space="preserve">model     MAE    RMSE  MAE_rank</w:t>
      </w:r>
      <w:r>
        <w:br/>
      </w:r>
      <w:r>
        <w:rPr>
          <w:rStyle w:val="VerbatimChar"/>
        </w:rPr>
        <w:t xml:space="preserve">1          ARIMA  0.0118  0.0160         1</w:t>
      </w:r>
      <w:r>
        <w:br/>
      </w:r>
      <w:r>
        <w:rPr>
          <w:rStyle w:val="VerbatimChar"/>
        </w:rPr>
        <w:t xml:space="preserve">2  random_forest  0.0121  0.0164         2</w:t>
      </w:r>
      <w:r>
        <w:br/>
      </w:r>
      <w:r>
        <w:rPr>
          <w:rStyle w:val="VerbatimChar"/>
        </w:rPr>
        <w:t xml:space="preserve">0          naive  0.0124  0.0168         3</w:t>
      </w:r>
    </w:p>
    <w:p>
      <w:pPr>
        <w:pStyle w:val="FirstParagraph"/>
      </w:pPr>
      <w:r>
        <w:rPr>
          <w:b/>
          <w:bCs/>
        </w:rPr>
        <w:t xml:space="preserve">Interpretation.</w:t>
      </w:r>
      <w:r>
        <w:t xml:space="preserve"> </w:t>
      </w:r>
      <w:r>
        <w:t xml:space="preserve">The advanced model improves only modestly over the naive benchmark, so uncertainty and practical relevance should accompany the ranking.</w:t>
      </w:r>
    </w:p>
    <w:bookmarkEnd w:id="720"/>
    <w:bookmarkStart w:id="721" w:name="X853bde2f3ea71f69647872dcd55f0607d3c0be0"/>
    <w:p>
      <w:pPr>
        <w:pStyle w:val="Heading3"/>
        <w:keepNext/>
      </w:pPr>
      <w:r>
        <w:t>53.5.2</w:t>
        <w:tab/>
        <w:t>Demonstration 34.2: A reproducibility manifest</w:t>
      </w:r>
    </w:p>
    <w:p>
      <w:pPr>
        <w:pStyle w:val="SourceCode"/>
        <w:keepLines/>
        <w:shd w:fill="F6F8FA" w:val="clear"/>
      </w:pPr>
      <w:r>
        <w:rPr>
          <w:rStyle w:val="ImportTok"/>
        </w:rPr>
        <w:t xml:space="preserve">from</w:t>
      </w:r>
      <w:r>
        <w:rPr>
          <w:rStyle w:val="NormalTok"/>
        </w:rPr>
        <w:t xml:space="preserve"> pathlib </w:t>
      </w:r>
      <w:r>
        <w:rPr>
          <w:rStyle w:val="ImportTok"/>
        </w:rPr>
        <w:t xml:space="preserve">import</w:t>
      </w:r>
      <w:r>
        <w:rPr>
          <w:rStyle w:val="NormalTok"/>
        </w:rPr>
        <w:t xml:space="preserve"> Path</w:t>
      </w:r>
      <w:r>
        <w:br/>
      </w:r>
      <w:r>
        <w:br/>
      </w:r>
      <w:r>
        <w:rPr>
          <w:rStyle w:val="NormalTok"/>
        </w:rPr>
        <w:t xml:space="preserve">required </w:t>
      </w:r>
      <w:r>
        <w:rPr>
          <w:rStyle w:val="OperatorTok"/>
        </w:rPr>
        <w:t xml:space="preserve">=</w:t>
      </w:r>
      <w:r>
        <w:rPr>
          <w:rStyle w:val="NormalTok"/>
        </w:rPr>
        <w:t xml:space="preserve"> [</w:t>
      </w:r>
      <w:r>
        <w:rPr>
          <w:rStyle w:val="StringTok"/>
        </w:rPr>
        <w:t xml:space="preserve">"README.md"</w:t>
      </w:r>
      <w:r>
        <w:rPr>
          <w:rStyle w:val="NormalTok"/>
        </w:rPr>
        <w:t xml:space="preserve">, </w:t>
      </w:r>
      <w:r>
        <w:rPr>
          <w:rStyle w:val="StringTok"/>
        </w:rPr>
        <w:t xml:space="preserve">"requirements.txt"</w:t>
      </w:r>
      <w:r>
        <w:rPr>
          <w:rStyle w:val="NormalTok"/>
        </w:rPr>
        <w:t xml:space="preserve">, </w:t>
      </w:r>
      <w:r>
        <w:rPr>
          <w:rStyle w:val="StringTok"/>
        </w:rPr>
        <w:t xml:space="preserve">"data"</w:t>
      </w:r>
      <w:r>
        <w:rPr>
          <w:rStyle w:val="NormalTok"/>
        </w:rPr>
        <w:t xml:space="preserve">, </w:t>
      </w:r>
      <w:r>
        <w:rPr>
          <w:rStyle w:val="StringTok"/>
        </w:rPr>
        <w:t xml:space="preserve">"notebooks"</w:t>
      </w:r>
      <w:r>
        <w:rPr>
          <w:rStyle w:val="NormalTok"/>
        </w:rPr>
        <w:t xml:space="preserve">, </w:t>
      </w:r>
      <w:r>
        <w:rPr>
          <w:rStyle w:val="StringTok"/>
        </w:rPr>
        <w:t xml:space="preserve">"scripts"</w:t>
      </w:r>
      <w:r>
        <w:rPr>
          <w:rStyle w:val="NormalTok"/>
        </w:rPr>
        <w:t xml:space="preserve">, </w:t>
      </w:r>
      <w:r>
        <w:rPr>
          <w:rStyle w:val="StringTok"/>
        </w:rPr>
        <w:t xml:space="preserve">"figures"</w:t>
      </w:r>
      <w:r>
        <w:rPr>
          <w:rStyle w:val="NormalTok"/>
        </w:rPr>
        <w:t xml:space="preserve">]</w:t>
      </w:r>
      <w:r>
        <w:br/>
      </w:r>
      <w:r>
        <w:rPr>
          <w:rStyle w:val="NormalTok"/>
        </w:rPr>
        <w:t xml:space="preserve">root </w:t>
      </w:r>
      <w:r>
        <w:rPr>
          <w:rStyle w:val="OperatorTok"/>
        </w:rPr>
        <w:t xml:space="preserve">=</w:t>
      </w:r>
      <w:r>
        <w:rPr>
          <w:rStyle w:val="NormalTok"/>
        </w:rPr>
        <w:t xml:space="preserve"> Path.cwd()</w:t>
      </w:r>
      <w:r>
        <w:br/>
      </w:r>
      <w:r>
        <w:rPr>
          <w:rStyle w:val="NormalTok"/>
        </w:rPr>
        <w:t xml:space="preserve">manifest </w:t>
      </w:r>
      <w:r>
        <w:rPr>
          <w:rStyle w:val="OperatorTok"/>
        </w:rPr>
        <w:t xml:space="preserve">=</w:t>
      </w:r>
      <w:r>
        <w:rPr>
          <w:rStyle w:val="NormalTok"/>
        </w:rPr>
        <w:t xml:space="preserve"> {item: (root</w:t>
      </w:r>
      <w:r>
        <w:rPr>
          <w:rStyle w:val="OperatorTok"/>
        </w:rPr>
        <w:t xml:space="preserve">/</w:t>
      </w:r>
      <w:r>
        <w:rPr>
          <w:rStyle w:val="NormalTok"/>
        </w:rPr>
        <w:t xml:space="preserve">item).exists() </w:t>
      </w:r>
      <w:r>
        <w:rPr>
          <w:rStyle w:val="ControlFlowTok"/>
        </w:rPr>
        <w:t xml:space="preserve">for</w:t>
      </w:r>
      <w:r>
        <w:rPr>
          <w:rStyle w:val="NormalTok"/>
        </w:rPr>
        <w:t xml:space="preserve"> item </w:t>
      </w:r>
      <w:r>
        <w:rPr>
          <w:rStyle w:val="KeywordTok"/>
        </w:rPr>
        <w:t xml:space="preserve">in</w:t>
      </w:r>
      <w:r>
        <w:rPr>
          <w:rStyle w:val="NormalTok"/>
        </w:rPr>
        <w:t xml:space="preserve"> required}</w:t>
      </w:r>
      <w:r>
        <w:br/>
      </w:r>
      <w:r>
        <w:rPr>
          <w:rStyle w:val="BuiltInTok"/>
        </w:rPr>
        <w:t xml:space="preserve">print</w:t>
      </w:r>
      <w:r>
        <w:rPr>
          <w:rStyle w:val="NormalTok"/>
        </w:rPr>
        <w:t xml:space="preserve">(manifest)</w:t>
      </w:r>
    </w:p>
    <w:p>
      <w:pPr>
        <w:pStyle w:val="FirstParagraph"/>
      </w:pPr>
      <w:r>
        <w:rPr>
          <w:b/>
          <w:bCs/>
        </w:rPr>
        <w:t xml:space="preserve">Verified output</w:t>
      </w:r>
    </w:p>
    <w:p>
      <w:pPr>
        <w:pStyle w:val="SourceCode"/>
        <w:keepLines/>
        <w:shd w:fill="F6F8FA" w:val="clear"/>
      </w:pPr>
      <w:r>
        <w:rPr>
          <w:rStyle w:val="VerbatimChar"/>
        </w:rPr>
        <w:t xml:space="preserve">{'README.md': True, 'requirements.txt': True, 'data': True, 'notebooks': True, 'scripts': True, 'figures': True}</w:t>
      </w:r>
    </w:p>
    <w:p>
      <w:pPr>
        <w:pStyle w:val="FirstParagraph"/>
      </w:pPr>
      <w:r>
        <w:rPr>
          <w:b/>
          <w:bCs/>
        </w:rPr>
        <w:t xml:space="preserve">Interpretation.</w:t>
      </w:r>
      <w:r>
        <w:t xml:space="preserve"> </w:t>
      </w:r>
      <w:r>
        <w:t xml:space="preserve">A manifest is not proof of quality, but it catches missing package components before publication.</w:t>
      </w:r>
    </w:p>
    <w:bookmarkEnd w:id="721"/>
    <w:bookmarkEnd w:id="722"/>
    <w:bookmarkStart w:id="734" w:name="visual-evidence-33"/>
    <w:p>
      <w:pPr>
        <w:pStyle w:val="Heading2"/>
        <w:keepNext/>
      </w:pPr>
      <w:r>
        <w:t>53.6</w:t>
        <w:tab/>
        <w:t>Visual evidence</w:t>
      </w:r>
    </w:p>
    <w:p>
      <w:pPr>
        <w:pStyle w:val="FirstParagraph"/>
      </w:pPr>
      <w:r>
        <w:drawing>
          <wp:inline>
            <wp:extent cx="4907280" cy="2732903"/>
            <wp:effectExtent b="0" l="0" r="0" t="0"/>
            <wp:docPr descr="Image: rId310.png" title="" id="723" name="Picture"/>
            <a:graphic>
              <a:graphicData uri="http://schemas.openxmlformats.org/drawingml/2006/picture">
                <pic:pic>
                  <pic:nvPicPr>
                    <pic:cNvPr descr="figures/fig_65_boc_fx.png" id="724" name="Picture"/>
                    <pic:cNvPicPr>
                      <a:picLocks noChangeArrowheads="1" noChangeAspect="1"/>
                    </pic:cNvPicPr>
                  </pic:nvPicPr>
                  <pic:blipFill>
                    <a:blip r:embed="rId310"/>
                    <a:stretch>
                      <a:fillRect/>
                    </a:stretch>
                  </pic:blipFill>
                  <pic:spPr bwMode="auto">
                    <a:xfrm>
                      <a:off x="0" y="0"/>
                      <a:ext cx="4907280" cy="2732903"/>
                    </a:xfrm>
                    <a:prstGeom prst="rect">
                      <a:avLst/>
                    </a:prstGeom>
                    <a:noFill/>
                    <a:ln w="9525">
                      <a:noFill/>
                      <a:headEnd/>
                      <a:tailEnd/>
                    </a:ln>
                  </pic:spPr>
                </pic:pic>
              </a:graphicData>
            </a:graphic>
          </wp:inline>
        </w:drawing>
      </w:r>
    </w:p>
    <w:p>
      <w:pPr>
        <w:pStyle w:val="Caption"/>
        <w:keepNext w:val="0"/>
        <w:jc w:val="center"/>
      </w:pPr>
      <w:r>
        <w:rPr>
          <w:b/>
          <w:bCs/>
        </w:rPr>
        <w:t xml:space="preserve">Figure 65.</w:t>
      </w:r>
      <w:r>
        <w:t xml:space="preserve"> </w:t>
      </w:r>
      <w:r>
        <w:t xml:space="preserve">Official Bank of Canada FXUSDCAD observations from 15 April to 15 May 2024.</w:t>
      </w:r>
    </w:p>
    <w:p>
      <w:pPr>
        <w:pStyle w:val="BodyText"/>
      </w:pPr>
      <w:r>
        <w:drawing>
          <wp:inline>
            <wp:extent cx="4907280" cy="2861472"/>
            <wp:effectExtent b="0" l="0" r="0" t="0"/>
            <wp:docPr descr="Image: rId725.png" title="" id="726" name="Picture"/>
            <a:graphic>
              <a:graphicData uri="http://schemas.openxmlformats.org/drawingml/2006/picture">
                <pic:pic>
                  <pic:nvPicPr>
                    <pic:cNvPr descr="figures/fig_66_fx_returns_volatility.png" id="727" name="Picture"/>
                    <pic:cNvPicPr>
                      <a:picLocks noChangeArrowheads="1" noChangeAspect="1"/>
                    </pic:cNvPicPr>
                  </pic:nvPicPr>
                  <pic:blipFill>
                    <a:blip r:embed="rId725"/>
                    <a:stretch>
                      <a:fillRect/>
                    </a:stretch>
                  </pic:blipFill>
                  <pic:spPr bwMode="auto">
                    <a:xfrm>
                      <a:off x="0" y="0"/>
                      <a:ext cx="4907280" cy="2861472"/>
                    </a:xfrm>
                    <a:prstGeom prst="rect">
                      <a:avLst/>
                    </a:prstGeom>
                    <a:noFill/>
                    <a:ln w="9525">
                      <a:noFill/>
                      <a:headEnd/>
                      <a:tailEnd/>
                    </a:ln>
                  </pic:spPr>
                </pic:pic>
              </a:graphicData>
            </a:graphic>
          </wp:inline>
        </w:drawing>
      </w:r>
    </w:p>
    <w:p>
      <w:pPr>
        <w:pStyle w:val="Caption"/>
        <w:keepNext w:val="0"/>
        <w:jc w:val="center"/>
      </w:pPr>
      <w:r>
        <w:rPr>
          <w:b/>
          <w:bCs/>
        </w:rPr>
        <w:t xml:space="preserve">Figure 66.</w:t>
      </w:r>
      <w:r>
        <w:t xml:space="preserve"> </w:t>
      </w:r>
      <w:r>
        <w:t xml:space="preserve">USD/CAD log changes and a short-window annualized volatility estimate.</w:t>
      </w:r>
    </w:p>
    <w:p>
      <w:pPr>
        <w:pStyle w:val="BodyText"/>
      </w:pPr>
      <w:r>
        <w:drawing>
          <wp:inline>
            <wp:extent cx="4907280" cy="2981500"/>
            <wp:effectExtent b="0" l="0" r="0" t="0"/>
            <wp:docPr descr="Image: rId728.png" title="" id="729" name="Picture"/>
            <a:graphic>
              <a:graphicData uri="http://schemas.openxmlformats.org/drawingml/2006/picture">
                <pic:pic>
                  <pic:nvPicPr>
                    <pic:cNvPr descr="figures/fig_67_model_comparison.png" id="730" name="Picture"/>
                    <pic:cNvPicPr>
                      <a:picLocks noChangeArrowheads="1" noChangeAspect="1"/>
                    </pic:cNvPicPr>
                  </pic:nvPicPr>
                  <pic:blipFill>
                    <a:blip r:embed="rId728"/>
                    <a:stretch>
                      <a:fillRect/>
                    </a:stretch>
                  </pic:blipFill>
                  <pic:spPr bwMode="auto">
                    <a:xfrm>
                      <a:off x="0" y="0"/>
                      <a:ext cx="4907280" cy="2981500"/>
                    </a:xfrm>
                    <a:prstGeom prst="rect">
                      <a:avLst/>
                    </a:prstGeom>
                    <a:noFill/>
                    <a:ln w="9525">
                      <a:noFill/>
                      <a:headEnd/>
                      <a:tailEnd/>
                    </a:ln>
                  </pic:spPr>
                </pic:pic>
              </a:graphicData>
            </a:graphic>
          </wp:inline>
        </w:drawing>
      </w:r>
    </w:p>
    <w:p>
      <w:pPr>
        <w:pStyle w:val="Caption"/>
        <w:keepNext w:val="0"/>
        <w:jc w:val="center"/>
      </w:pPr>
      <w:r>
        <w:rPr>
          <w:b/>
          <w:bCs/>
        </w:rPr>
        <w:t xml:space="preserve">Figure 67.</w:t>
      </w:r>
      <w:r>
        <w:t xml:space="preserve"> </w:t>
      </w:r>
      <w:r>
        <w:t xml:space="preserve">Out-of-sample mean absolute error for three illustrative GDP-growth forecasts.</w:t>
      </w:r>
    </w:p>
    <w:p>
      <w:pPr>
        <w:pStyle w:val="BodyText"/>
      </w:pPr>
      <w:r>
        <w:drawing>
          <wp:inline>
            <wp:extent cx="4907280" cy="3370188"/>
            <wp:effectExtent b="0" l="0" r="0" t="0"/>
            <wp:docPr descr="Image: rId731.png" title="" id="732" name="Picture"/>
            <a:graphic>
              <a:graphicData uri="http://schemas.openxmlformats.org/drawingml/2006/picture">
                <pic:pic>
                  <pic:nvPicPr>
                    <pic:cNvPr descr="figures/fig_68_portfolio_frontier.png" id="733" name="Picture"/>
                    <pic:cNvPicPr>
                      <a:picLocks noChangeArrowheads="1" noChangeAspect="1"/>
                    </pic:cNvPicPr>
                  </pic:nvPicPr>
                  <pic:blipFill>
                    <a:blip r:embed="rId731"/>
                    <a:stretch>
                      <a:fillRect/>
                    </a:stretch>
                  </pic:blipFill>
                  <pic:spPr bwMode="auto">
                    <a:xfrm>
                      <a:off x="0" y="0"/>
                      <a:ext cx="4907280" cy="3370188"/>
                    </a:xfrm>
                    <a:prstGeom prst="rect">
                      <a:avLst/>
                    </a:prstGeom>
                    <a:noFill/>
                    <a:ln w="9525">
                      <a:noFill/>
                      <a:headEnd/>
                      <a:tailEnd/>
                    </a:ln>
                  </pic:spPr>
                </pic:pic>
              </a:graphicData>
            </a:graphic>
          </wp:inline>
        </w:drawing>
      </w:r>
    </w:p>
    <w:p>
      <w:pPr>
        <w:pStyle w:val="Caption"/>
        <w:keepNext w:val="0"/>
        <w:jc w:val="center"/>
      </w:pPr>
      <w:r>
        <w:rPr>
          <w:b/>
          <w:bCs/>
        </w:rPr>
        <w:t xml:space="preserve">Figure 68.</w:t>
      </w:r>
      <w:r>
        <w:t xml:space="preserve"> </w:t>
      </w:r>
      <w:r>
        <w:t xml:space="preserve">A simulated three-asset opportunity set generated from random portfolio weights.</w:t>
      </w:r>
    </w:p>
    <w:bookmarkEnd w:id="734"/>
    <w:bookmarkStart w:id="735" w:name="reference-table-33"/>
    <w:p>
      <w:pPr>
        <w:pStyle w:val="Heading2"/>
        <w:keepNext/>
      </w:pPr>
      <w:r>
        <w:t>53.7</w:t>
        <w:tab/>
        <w:t>Reference table</w:t>
      </w:r>
    </w:p>
    <w:p>
      <w:pPr>
        <w:pStyle w:val="Caption"/>
        <w:keepNext/>
        <w:jc w:val="center"/>
      </w:pPr>
      <w:r>
        <w:rPr>
          <w:b/>
          <w:bCs/>
        </w:rPr>
        <w:t xml:space="preserve">Table 34. Chapter reference.</w:t>
      </w:r>
    </w:p>
    <w:tbl>
      <w:tblPr>
        <w:tblStyle w:val="Table"/>
        <w:tblW w:type="pct" w:w="5000"/>
        <w:jc w:val="center"/>
        <w:tblLayout w:type="autofit"/>
        <w:tblLook w:firstRow="1" w:lastRow="0" w:firstColumn="0" w:lastColumn="0" w:noHBand="0" w:noVBand="0" w:val="0020"/>
      </w:tblPr>
      <w:tblGrid>
        <w:gridCol w:w="2640"/>
        <w:gridCol w:w="2640"/>
        <w:gridCol w:w="2640"/>
      </w:tblGrid>
      <w:tr>
        <w:trPr>
          <w:tblHeader w:val="on"/>
          <w:tblHeader w:val="true"/>
          <w:cantSplit/>
        </w:trPr>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0A2342" w:val="clear"/>
          </w:tcPr>
          <w:p>
            <w:pPr>
              <w:pStyle w:val="Compact"/>
              <w:spacing w:before="30" w:after="30" w:line="240" w:lineRule="auto"/>
              <w:jc w:val="left"/>
            </w:pPr>
            <w:r>
              <w:rPr>
                <w:rFonts w:ascii="Noto Sans" w:hAnsi="Noto Sans" w:eastAsia="Noto Sans" w:cs="Noto Sans"/>
                <w:b/>
                <w:color w:val="FFFFFF"/>
                <w:sz w:val="16"/>
              </w:rPr>
              <w:t xml:space="preserve">Deliverable</w:t>
            </w:r>
          </w:p>
        </w:tc>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0A2342" w:val="clear"/>
          </w:tcPr>
          <w:p>
            <w:pPr>
              <w:pStyle w:val="Compact"/>
              <w:spacing w:before="30" w:after="30" w:line="240" w:lineRule="auto"/>
              <w:jc w:val="left"/>
            </w:pPr>
            <w:r>
              <w:rPr>
                <w:rFonts w:ascii="Noto Sans" w:hAnsi="Noto Sans" w:eastAsia="Noto Sans" w:cs="Noto Sans"/>
                <w:b/>
                <w:color w:val="FFFFFF"/>
                <w:sz w:val="16"/>
              </w:rPr>
              <w:t xml:space="preserve">Minimum content</w:t>
            </w:r>
          </w:p>
        </w:tc>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0A2342" w:val="clear"/>
          </w:tcPr>
          <w:p>
            <w:pPr>
              <w:pStyle w:val="Compact"/>
              <w:spacing w:before="30" w:after="30" w:line="240" w:lineRule="auto"/>
              <w:jc w:val="left"/>
            </w:pPr>
            <w:r>
              <w:rPr>
                <w:rFonts w:ascii="Noto Sans" w:hAnsi="Noto Sans" w:eastAsia="Noto Sans" w:cs="Noto Sans"/>
                <w:b/>
                <w:color w:val="FFFFFF"/>
                <w:sz w:val="16"/>
              </w:rPr>
              <w:t xml:space="preserve">Acceptance question</w:t>
            </w:r>
          </w:p>
        </w:tc>
      </w:tr>
      <w:tr>
        <w:trPr>
          <w:cantSplit/>
        </w:trPr>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EEF4F8" w:val="clear"/>
          </w:tcPr>
          <w:p>
            <w:pPr>
              <w:pStyle w:val="Compact"/>
              <w:spacing w:before="30" w:after="30" w:line="240" w:lineRule="auto"/>
              <w:jc w:val="left"/>
            </w:pPr>
            <w:r>
              <w:rPr>
                <w:rFonts w:ascii="Noto Sans" w:hAnsi="Noto Sans" w:eastAsia="Noto Sans" w:cs="Noto Sans"/>
                <w:b w:val="0"/>
                <w:color w:val="18212B"/>
                <w:sz w:val="16"/>
              </w:rPr>
              <w:t xml:space="preserve">research question</w:t>
            </w:r>
          </w:p>
        </w:tc>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EEF4F8" w:val="clear"/>
          </w:tcPr>
          <w:p>
            <w:pPr>
              <w:pStyle w:val="Compact"/>
              <w:spacing w:before="30" w:after="30" w:line="240" w:lineRule="auto"/>
              <w:jc w:val="left"/>
            </w:pPr>
            <w:r>
              <w:rPr>
                <w:rFonts w:ascii="Noto Sans" w:hAnsi="Noto Sans" w:eastAsia="Noto Sans" w:cs="Noto Sans"/>
                <w:b w:val="0"/>
                <w:color w:val="18212B"/>
                <w:sz w:val="16"/>
              </w:rPr>
              <w:t xml:space="preserve">population, outcome, horizon</w:t>
            </w:r>
          </w:p>
        </w:tc>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EEF4F8" w:val="clear"/>
          </w:tcPr>
          <w:p>
            <w:pPr>
              <w:pStyle w:val="Compact"/>
              <w:spacing w:before="30" w:after="30" w:line="240" w:lineRule="auto"/>
              <w:jc w:val="left"/>
            </w:pPr>
            <w:r>
              <w:rPr>
                <w:rFonts w:ascii="Noto Sans" w:hAnsi="Noto Sans" w:eastAsia="Noto Sans" w:cs="Noto Sans"/>
                <w:b w:val="0"/>
                <w:color w:val="18212B"/>
                <w:sz w:val="16"/>
              </w:rPr>
              <w:t xml:space="preserve">Is it answerable with available data?</w:t>
            </w:r>
          </w:p>
        </w:tc>
      </w:tr>
      <w:tr>
        <w:trPr>
          <w:cantSplit/>
        </w:trPr>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FFFFFF" w:val="clear"/>
          </w:tcPr>
          <w:p>
            <w:pPr>
              <w:pStyle w:val="Compact"/>
              <w:spacing w:before="30" w:after="30" w:line="240" w:lineRule="auto"/>
              <w:jc w:val="left"/>
            </w:pPr>
            <w:r>
              <w:rPr>
                <w:rFonts w:ascii="Noto Sans" w:hAnsi="Noto Sans" w:eastAsia="Noto Sans" w:cs="Noto Sans"/>
                <w:b w:val="0"/>
                <w:color w:val="18212B"/>
                <w:sz w:val="16"/>
              </w:rPr>
              <w:t xml:space="preserve">data package</w:t>
            </w:r>
          </w:p>
        </w:tc>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FFFFFF" w:val="clear"/>
          </w:tcPr>
          <w:p>
            <w:pPr>
              <w:pStyle w:val="Compact"/>
              <w:spacing w:before="30" w:after="30" w:line="240" w:lineRule="auto"/>
              <w:jc w:val="left"/>
            </w:pPr>
            <w:r>
              <w:rPr>
                <w:rFonts w:ascii="Noto Sans" w:hAnsi="Noto Sans" w:eastAsia="Noto Sans" w:cs="Noto Sans"/>
                <w:b w:val="0"/>
                <w:color w:val="18212B"/>
                <w:sz w:val="16"/>
              </w:rPr>
              <w:t xml:space="preserve">source, licence, dictionary, retrieval</w:t>
            </w:r>
          </w:p>
        </w:tc>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FFFFFF" w:val="clear"/>
          </w:tcPr>
          <w:p>
            <w:pPr>
              <w:pStyle w:val="Compact"/>
              <w:spacing w:before="30" w:after="30" w:line="240" w:lineRule="auto"/>
              <w:jc w:val="left"/>
            </w:pPr>
            <w:r>
              <w:rPr>
                <w:rFonts w:ascii="Noto Sans" w:hAnsi="Noto Sans" w:eastAsia="Noto Sans" w:cs="Noto Sans"/>
                <w:b w:val="0"/>
                <w:color w:val="18212B"/>
                <w:sz w:val="16"/>
              </w:rPr>
              <w:t xml:space="preserve">Can another student obtain it?</w:t>
            </w:r>
          </w:p>
        </w:tc>
      </w:tr>
      <w:tr>
        <w:trPr>
          <w:cantSplit/>
        </w:trPr>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EEF4F8" w:val="clear"/>
          </w:tcPr>
          <w:p>
            <w:pPr>
              <w:pStyle w:val="Compact"/>
              <w:spacing w:before="30" w:after="30" w:line="240" w:lineRule="auto"/>
              <w:jc w:val="left"/>
            </w:pPr>
            <w:r>
              <w:rPr>
                <w:rFonts w:ascii="Noto Sans" w:hAnsi="Noto Sans" w:eastAsia="Noto Sans" w:cs="Noto Sans"/>
                <w:b w:val="0"/>
                <w:color w:val="18212B"/>
                <w:sz w:val="16"/>
              </w:rPr>
              <w:t xml:space="preserve">analysis</w:t>
            </w:r>
          </w:p>
        </w:tc>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EEF4F8" w:val="clear"/>
          </w:tcPr>
          <w:p>
            <w:pPr>
              <w:pStyle w:val="Compact"/>
              <w:spacing w:before="30" w:after="30" w:line="240" w:lineRule="auto"/>
              <w:jc w:val="left"/>
            </w:pPr>
            <w:r>
              <w:rPr>
                <w:rFonts w:ascii="Noto Sans" w:hAnsi="Noto Sans" w:eastAsia="Noto Sans" w:cs="Noto Sans"/>
                <w:b w:val="0"/>
                <w:color w:val="18212B"/>
                <w:sz w:val="16"/>
              </w:rPr>
              <w:t xml:space="preserve">baseline, model, diagnostics</w:t>
            </w:r>
          </w:p>
        </w:tc>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EEF4F8" w:val="clear"/>
          </w:tcPr>
          <w:p>
            <w:pPr>
              <w:pStyle w:val="Compact"/>
              <w:spacing w:before="30" w:after="30" w:line="240" w:lineRule="auto"/>
              <w:jc w:val="left"/>
            </w:pPr>
            <w:r>
              <w:rPr>
                <w:rFonts w:ascii="Noto Sans" w:hAnsi="Noto Sans" w:eastAsia="Noto Sans" w:cs="Noto Sans"/>
                <w:b w:val="0"/>
                <w:color w:val="18212B"/>
                <w:sz w:val="16"/>
              </w:rPr>
              <w:t xml:space="preserve">Does code run top to bottom?</w:t>
            </w:r>
          </w:p>
        </w:tc>
      </w:tr>
      <w:tr>
        <w:trPr>
          <w:cantSplit/>
        </w:trPr>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FFFFFF" w:val="clear"/>
          </w:tcPr>
          <w:p>
            <w:pPr>
              <w:pStyle w:val="Compact"/>
              <w:spacing w:before="30" w:after="30" w:line="240" w:lineRule="auto"/>
              <w:jc w:val="left"/>
            </w:pPr>
            <w:r>
              <w:rPr>
                <w:rFonts w:ascii="Noto Sans" w:hAnsi="Noto Sans" w:eastAsia="Noto Sans" w:cs="Noto Sans"/>
                <w:b w:val="0"/>
                <w:color w:val="18212B"/>
                <w:sz w:val="16"/>
              </w:rPr>
              <w:t xml:space="preserve">evaluation</w:t>
            </w:r>
          </w:p>
        </w:tc>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FFFFFF" w:val="clear"/>
          </w:tcPr>
          <w:p>
            <w:pPr>
              <w:pStyle w:val="Compact"/>
              <w:spacing w:before="30" w:after="30" w:line="240" w:lineRule="auto"/>
              <w:jc w:val="left"/>
            </w:pPr>
            <w:r>
              <w:rPr>
                <w:rFonts w:ascii="Noto Sans" w:hAnsi="Noto Sans" w:eastAsia="Noto Sans" w:cs="Noto Sans"/>
                <w:b w:val="0"/>
                <w:color w:val="18212B"/>
                <w:sz w:val="16"/>
              </w:rPr>
              <w:t xml:space="preserve">held-out design and metrics</w:t>
            </w:r>
          </w:p>
        </w:tc>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FFFFFF" w:val="clear"/>
          </w:tcPr>
          <w:p>
            <w:pPr>
              <w:pStyle w:val="Compact"/>
              <w:spacing w:before="30" w:after="30" w:line="240" w:lineRule="auto"/>
              <w:jc w:val="left"/>
            </w:pPr>
            <w:r>
              <w:rPr>
                <w:rFonts w:ascii="Noto Sans" w:hAnsi="Noto Sans" w:eastAsia="Noto Sans" w:cs="Noto Sans"/>
                <w:b w:val="0"/>
                <w:color w:val="18212B"/>
                <w:sz w:val="16"/>
              </w:rPr>
              <w:t xml:space="preserve">Does it mimic deployment?</w:t>
            </w:r>
          </w:p>
        </w:tc>
      </w:tr>
      <w:tr>
        <w:trPr>
          <w:cantSplit/>
        </w:trPr>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EEF4F8" w:val="clear"/>
          </w:tcPr>
          <w:p>
            <w:pPr>
              <w:pStyle w:val="Compact"/>
              <w:spacing w:before="30" w:after="30" w:line="240" w:lineRule="auto"/>
              <w:jc w:val="left"/>
            </w:pPr>
            <w:r>
              <w:rPr>
                <w:rFonts w:ascii="Noto Sans" w:hAnsi="Noto Sans" w:eastAsia="Noto Sans" w:cs="Noto Sans"/>
                <w:b w:val="0"/>
                <w:color w:val="18212B"/>
                <w:sz w:val="16"/>
              </w:rPr>
              <w:t xml:space="preserve">communication</w:t>
            </w:r>
          </w:p>
        </w:tc>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EEF4F8" w:val="clear"/>
          </w:tcPr>
          <w:p>
            <w:pPr>
              <w:pStyle w:val="Compact"/>
              <w:spacing w:before="30" w:after="30" w:line="240" w:lineRule="auto"/>
              <w:jc w:val="left"/>
            </w:pPr>
            <w:r>
              <w:rPr>
                <w:rFonts w:ascii="Noto Sans" w:hAnsi="Noto Sans" w:eastAsia="Noto Sans" w:cs="Noto Sans"/>
                <w:b w:val="0"/>
                <w:color w:val="18212B"/>
                <w:sz w:val="16"/>
              </w:rPr>
              <w:t xml:space="preserve">figures, interpretation, limits</w:t>
            </w:r>
          </w:p>
        </w:tc>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EEF4F8" w:val="clear"/>
          </w:tcPr>
          <w:p>
            <w:pPr>
              <w:pStyle w:val="Compact"/>
              <w:spacing w:before="30" w:after="30" w:line="240" w:lineRule="auto"/>
              <w:jc w:val="left"/>
            </w:pPr>
            <w:r>
              <w:rPr>
                <w:rFonts w:ascii="Noto Sans" w:hAnsi="Noto Sans" w:eastAsia="Noto Sans" w:cs="Noto Sans"/>
                <w:b w:val="0"/>
                <w:color w:val="18212B"/>
                <w:sz w:val="16"/>
              </w:rPr>
              <w:t xml:space="preserve">Are claims proportional to evidence?</w:t>
            </w:r>
          </w:p>
        </w:tc>
      </w:tr>
      <w:tr>
        <w:trPr>
          <w:cantSplit/>
        </w:trPr>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FFFFFF" w:val="clear"/>
          </w:tcPr>
          <w:p>
            <w:pPr>
              <w:pStyle w:val="Compact"/>
              <w:spacing w:before="30" w:after="30" w:line="240" w:lineRule="auto"/>
              <w:jc w:val="left"/>
            </w:pPr>
            <w:r>
              <w:rPr>
                <w:rFonts w:ascii="Noto Sans" w:hAnsi="Noto Sans" w:eastAsia="Noto Sans" w:cs="Noto Sans"/>
                <w:b w:val="0"/>
                <w:color w:val="18212B"/>
                <w:sz w:val="16"/>
              </w:rPr>
              <w:t xml:space="preserve">reproducibility</w:t>
            </w:r>
          </w:p>
        </w:tc>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FFFFFF" w:val="clear"/>
          </w:tcPr>
          <w:p>
            <w:pPr>
              <w:pStyle w:val="Compact"/>
              <w:spacing w:before="30" w:after="30" w:line="240" w:lineRule="auto"/>
              <w:jc w:val="left"/>
            </w:pPr>
            <w:r>
              <w:rPr>
                <w:rFonts w:ascii="Noto Sans" w:hAnsi="Noto Sans" w:eastAsia="Noto Sans" w:cs="Noto Sans"/>
                <w:b w:val="0"/>
                <w:color w:val="18212B"/>
                <w:sz w:val="16"/>
              </w:rPr>
              <w:t xml:space="preserve">README and environment</w:t>
            </w:r>
          </w:p>
        </w:tc>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FFFFFF" w:val="clear"/>
          </w:tcPr>
          <w:p>
            <w:pPr>
              <w:pStyle w:val="Compact"/>
              <w:spacing w:before="30" w:after="30" w:line="240" w:lineRule="auto"/>
              <w:jc w:val="left"/>
            </w:pPr>
            <w:r>
              <w:rPr>
                <w:rFonts w:ascii="Noto Sans" w:hAnsi="Noto Sans" w:eastAsia="Noto Sans" w:cs="Noto Sans"/>
                <w:b w:val="0"/>
                <w:color w:val="18212B"/>
                <w:sz w:val="16"/>
              </w:rPr>
              <w:t xml:space="preserve">Can the result be rebuilt?</w:t>
            </w:r>
          </w:p>
        </w:tc>
      </w:tr>
    </w:tbl>
    <w:p>
      <w:pPr>
        <w:pStyle w:val="BlockText"/>
        <w:shd w:fill="EAF7F5" w:val="clear"/>
        <w:pBdr>
          <w:left w:val="single" w:sz="18" w:space="8" w:color="008F87"/>
        </w:pBdr>
      </w:pPr>
      <w:r>
        <w:rPr>
          <w:b/>
          <w:bCs/>
        </w:rPr>
        <w:t xml:space="preserve">Why This Matters</w:t>
      </w:r>
    </w:p>
    <w:p>
      <w:pPr>
        <w:pStyle w:val="BlockText"/>
        <w:shd w:fill="EAF7F5" w:val="clear"/>
        <w:pBdr>
          <w:left w:val="single" w:sz="18" w:space="8" w:color="008F87"/>
        </w:pBdr>
      </w:pPr>
      <w:r>
        <w:t xml:space="preserve">A capstone becomes professional when the data, code, evaluation, communication, and limitations form one auditable argument.</w:t>
      </w:r>
    </w:p>
    <w:p>
      <w:pPr>
        <w:pStyle w:val="BlockText"/>
        <w:shd w:fill="EAF7F5" w:val="clear"/>
        <w:pBdr>
          <w:left w:val="single" w:sz="18" w:space="8" w:color="008F87"/>
        </w:pBdr>
      </w:pPr>
      <w:r>
        <w:rPr>
          <w:b/>
          <w:bCs/>
        </w:rPr>
        <w:t xml:space="preserve">Common Mistake</w:t>
      </w:r>
    </w:p>
    <w:p>
      <w:pPr>
        <w:pStyle w:val="BlockText"/>
        <w:shd w:fill="EAF7F5" w:val="clear"/>
        <w:pBdr>
          <w:left w:val="single" w:sz="18" w:space="8" w:color="008F87"/>
        </w:pBdr>
      </w:pPr>
      <w:r>
        <w:t xml:space="preserve">Choosing a project because a complex model is available rather than because the question matters and the data can support it.</w:t>
      </w:r>
    </w:p>
    <w:p>
      <w:pPr>
        <w:pStyle w:val="BlockText"/>
        <w:shd w:fill="EAF7F5" w:val="clear"/>
        <w:pBdr>
          <w:left w:val="single" w:sz="18" w:space="8" w:color="008F87"/>
        </w:pBdr>
      </w:pPr>
      <w:r>
        <w:rPr>
          <w:b/>
          <w:bCs/>
        </w:rPr>
        <w:t xml:space="preserve">Ceteris LAB Tip</w:t>
      </w:r>
    </w:p>
    <w:p>
      <w:pPr>
        <w:pStyle w:val="BlockText"/>
        <w:shd w:fill="EAF7F5" w:val="clear"/>
        <w:pBdr>
          <w:left w:val="single" w:sz="18" w:space="8" w:color="008F87"/>
        </w:pBdr>
      </w:pPr>
      <w:r>
        <w:t xml:space="preserve">Begin the README on the first day. It will expose missing decisions while they are still easy to correct.</w:t>
      </w:r>
    </w:p>
    <w:p>
      <w:pPr>
        <w:pStyle w:val="BlockText"/>
        <w:shd w:fill="EAF7F5" w:val="clear"/>
        <w:pBdr>
          <w:left w:val="single" w:sz="18" w:space="8" w:color="008F87"/>
        </w:pBdr>
      </w:pPr>
      <w:r>
        <w:rPr>
          <w:b/>
          <w:bCs/>
        </w:rPr>
        <w:t xml:space="preserve">R-to-Python / Source Bridge</w:t>
      </w:r>
    </w:p>
    <w:p>
      <w:pPr>
        <w:pStyle w:val="BlockText"/>
        <w:shd w:fill="EAF7F5" w:val="clear"/>
        <w:pBdr>
          <w:left w:val="single" w:sz="18" w:space="8" w:color="008F87"/>
        </w:pBdr>
      </w:pPr>
      <w:r>
        <w:t xml:space="preserve">The capstones combine the strongest elements of the financial-time-series lectures, the IntroAI projects, and new Canadian applications into website-ready student work.</w:t>
      </w:r>
    </w:p>
    <w:bookmarkEnd w:id="735"/>
    <w:bookmarkStart w:id="736" w:name="guided-practice-33"/>
    <w:p>
      <w:pPr>
        <w:pStyle w:val="Heading2"/>
        <w:keepNext/>
      </w:pPr>
      <w:r>
        <w:t>53.8</w:t>
        <w:tab/>
        <w:t>Guided practice</w:t>
      </w:r>
    </w:p>
    <w:p>
      <w:pPr>
        <w:pStyle w:val="Compact"/>
        <w:numPr>
          <w:ilvl w:val="0"/>
          <w:numId w:val="1136"/>
        </w:numPr>
      </w:pPr>
      <w:r>
        <w:t xml:space="preserve">Re-run Demonstration 34.1 and change one input while keeping the analytical question fixed.</w:t>
      </w:r>
    </w:p>
    <w:p>
      <w:pPr>
        <w:pStyle w:val="Compact"/>
        <w:numPr>
          <w:ilvl w:val="0"/>
          <w:numId w:val="1136"/>
        </w:numPr>
      </w:pPr>
      <w:r>
        <w:t xml:space="preserve">Explain in two sentences how the output supports, or fails to support, the chapter opening question.</w:t>
      </w:r>
    </w:p>
    <w:p>
      <w:pPr>
        <w:pStyle w:val="Compact"/>
        <w:numPr>
          <w:ilvl w:val="0"/>
          <w:numId w:val="1136"/>
        </w:numPr>
      </w:pPr>
      <w:r>
        <w:t xml:space="preserve">Add one validation check that would prevent a plausible error.</w:t>
      </w:r>
    </w:p>
    <w:bookmarkEnd w:id="736"/>
    <w:bookmarkStart w:id="737" w:name="exercises-33"/>
    <w:p>
      <w:pPr>
        <w:pStyle w:val="Heading2"/>
        <w:keepNext/>
      </w:pPr>
      <w:r>
        <w:t>53.9</w:t>
        <w:tab/>
        <w:t>Exercises</w:t>
      </w:r>
    </w:p>
    <w:p>
      <w:pPr>
        <w:pStyle w:val="Compact"/>
        <w:numPr>
          <w:ilvl w:val="0"/>
          <w:numId w:val="1137"/>
        </w:numPr>
      </w:pPr>
      <w:r>
        <w:t xml:space="preserve">Draft a one-paragraph project question and scope.</w:t>
      </w:r>
    </w:p>
    <w:p>
      <w:pPr>
        <w:pStyle w:val="Compact"/>
        <w:numPr>
          <w:ilvl w:val="0"/>
          <w:numId w:val="1137"/>
        </w:numPr>
      </w:pPr>
      <w:r>
        <w:t xml:space="preserve">Create a data dictionary before modeling.</w:t>
      </w:r>
    </w:p>
    <w:p>
      <w:pPr>
        <w:pStyle w:val="Compact"/>
        <w:numPr>
          <w:ilvl w:val="0"/>
          <w:numId w:val="1137"/>
        </w:numPr>
      </w:pPr>
      <w:r>
        <w:t xml:space="preserve">Define a naive benchmark and final test design.</w:t>
      </w:r>
    </w:p>
    <w:p>
      <w:pPr>
        <w:pStyle w:val="Compact"/>
        <w:numPr>
          <w:ilvl w:val="0"/>
          <w:numId w:val="1137"/>
        </w:numPr>
      </w:pPr>
      <w:r>
        <w:t xml:space="preserve">Build a publication checklist covering data rights, code execution, figures, and claims.</w:t>
      </w:r>
    </w:p>
    <w:bookmarkEnd w:id="737"/>
    <w:bookmarkStart w:id="738" w:name="chapter-summary-33"/>
    <w:p>
      <w:pPr>
        <w:pStyle w:val="Heading2"/>
        <w:keepNext/>
      </w:pPr>
      <w:r>
        <w:t>53.10</w:t>
        <w:tab/>
        <w:t>Chapter summary</w:t>
      </w:r>
    </w:p>
    <w:p>
      <w:pPr>
        <w:pStyle w:val="Compact"/>
        <w:numPr>
          <w:ilvl w:val="0"/>
          <w:numId w:val="1138"/>
        </w:numPr>
      </w:pPr>
      <w:r>
        <w:t xml:space="preserve">Capstones integrate question, data, model, evaluation, and communication.</w:t>
      </w:r>
    </w:p>
    <w:p>
      <w:pPr>
        <w:pStyle w:val="Compact"/>
        <w:numPr>
          <w:ilvl w:val="0"/>
          <w:numId w:val="1138"/>
        </w:numPr>
      </w:pPr>
      <w:r>
        <w:t xml:space="preserve">Benchmarks and held-out tests keep complexity honest.</w:t>
      </w:r>
    </w:p>
    <w:p>
      <w:pPr>
        <w:pStyle w:val="Compact"/>
        <w:numPr>
          <w:ilvl w:val="0"/>
          <w:numId w:val="1138"/>
        </w:numPr>
      </w:pPr>
      <w:r>
        <w:t xml:space="preserve">A portfolio artifact includes reproducibility and limitations, not only attractive charts.</w:t>
      </w:r>
    </w:p>
    <w:bookmarkEnd w:id="738"/>
    <w:bookmarkStart w:id="739" w:name="key-python-commands-33"/>
    <w:p>
      <w:pPr>
        <w:pStyle w:val="Heading2"/>
        <w:keepNext/>
      </w:pPr>
      <w:r>
        <w:t>53.11</w:t>
        <w:tab/>
        <w:t>Key Python commands</w:t>
      </w:r>
    </w:p>
    <w:p>
      <w:pPr>
        <w:pStyle w:val="SourceCode"/>
        <w:keepLines/>
        <w:shd w:fill="F6F8FA" w:val="clear"/>
      </w:pPr>
      <w:r>
        <w:rPr>
          <w:rStyle w:val="ImportTok"/>
        </w:rPr>
        <w:t xml:space="preserve">import</w:t>
      </w:r>
      <w:r>
        <w:rPr>
          <w:rStyle w:val="NormalTok"/>
        </w:rPr>
        <w:t xml:space="preserve"> pandas </w:t>
      </w:r>
      <w:r>
        <w:rPr>
          <w:rStyle w:val="ImportTok"/>
        </w:rPr>
        <w:t xml:space="preserve">as</w:t>
      </w:r>
      <w:r>
        <w:rPr>
          <w:rStyle w:val="NormalTok"/>
        </w:rPr>
        <w:t xml:space="preserve"> pd</w:t>
      </w:r>
      <w:r>
        <w:br/>
      </w:r>
      <w:r>
        <w:rPr>
          <w:rStyle w:val="NormalTok"/>
        </w:rPr>
        <w:t xml:space="preserve">results </w:t>
      </w:r>
      <w:r>
        <w:rPr>
          <w:rStyle w:val="OperatorTok"/>
        </w:rPr>
        <w:t xml:space="preserve">=</w:t>
      </w:r>
      <w:r>
        <w:rPr>
          <w:rStyle w:val="NormalTok"/>
        </w:rPr>
        <w:t xml:space="preserve"> pd.DataFrame({</w:t>
      </w:r>
      <w:r>
        <w:br/>
      </w:r>
      <w:r>
        <w:rPr>
          <w:rStyle w:val="NormalTok"/>
        </w:rPr>
        <w:t xml:space="preserve">results[</w:t>
      </w:r>
      <w:r>
        <w:rPr>
          <w:rStyle w:val="StringTok"/>
        </w:rPr>
        <w:t xml:space="preserve">"MAE_rank"</w:t>
      </w:r>
      <w:r>
        <w:rPr>
          <w:rStyle w:val="NormalTok"/>
        </w:rPr>
        <w:t xml:space="preserve">] </w:t>
      </w:r>
      <w:r>
        <w:rPr>
          <w:rStyle w:val="OperatorTok"/>
        </w:rPr>
        <w:t xml:space="preserve">=</w:t>
      </w:r>
      <w:r>
        <w:rPr>
          <w:rStyle w:val="NormalTok"/>
        </w:rPr>
        <w:t xml:space="preserve"> results[</w:t>
      </w:r>
      <w:r>
        <w:rPr>
          <w:rStyle w:val="StringTok"/>
        </w:rPr>
        <w:t xml:space="preserve">"MAE"</w:t>
      </w:r>
      <w:r>
        <w:rPr>
          <w:rStyle w:val="NormalTok"/>
        </w:rPr>
        <w:t xml:space="preserve">].rank(method</w:t>
      </w:r>
      <w:r>
        <w:rPr>
          <w:rStyle w:val="OperatorTok"/>
        </w:rPr>
        <w:t xml:space="preserve">=</w:t>
      </w:r>
      <w:r>
        <w:rPr>
          <w:rStyle w:val="StringTok"/>
        </w:rPr>
        <w:t xml:space="preserve">"min"</w:t>
      </w:r>
      <w:r>
        <w:rPr>
          <w:rStyle w:val="NormalTok"/>
        </w:rPr>
        <w:t xml:space="preserve">).astype(</w:t>
      </w:r>
      <w:r>
        <w:rPr>
          <w:rStyle w:val="BuiltInTok"/>
        </w:rPr>
        <w:t xml:space="preserve">int</w:t>
      </w:r>
      <w:r>
        <w:rPr>
          <w:rStyle w:val="NormalTok"/>
        </w:rPr>
        <w:t xml:space="preserve">)</w:t>
      </w:r>
      <w:r>
        <w:br/>
      </w:r>
      <w:r>
        <w:rPr>
          <w:rStyle w:val="BuiltInTok"/>
        </w:rPr>
        <w:t xml:space="preserve">print</w:t>
      </w:r>
      <w:r>
        <w:rPr>
          <w:rStyle w:val="NormalTok"/>
        </w:rPr>
        <w:t xml:space="preserve">(results.sort_values(</w:t>
      </w:r>
      <w:r>
        <w:rPr>
          <w:rStyle w:val="StringTok"/>
        </w:rPr>
        <w:t xml:space="preserve">"MAE"</w:t>
      </w:r>
      <w:r>
        <w:rPr>
          <w:rStyle w:val="NormalTok"/>
        </w:rPr>
        <w:t xml:space="preserve">))</w:t>
      </w:r>
      <w:r>
        <w:br/>
      </w:r>
      <w:r>
        <w:rPr>
          <w:rStyle w:val="ImportTok"/>
        </w:rPr>
        <w:t xml:space="preserve">from</w:t>
      </w:r>
      <w:r>
        <w:rPr>
          <w:rStyle w:val="NormalTok"/>
        </w:rPr>
        <w:t xml:space="preserve"> pathlib </w:t>
      </w:r>
      <w:r>
        <w:rPr>
          <w:rStyle w:val="ImportTok"/>
        </w:rPr>
        <w:t xml:space="preserve">import</w:t>
      </w:r>
      <w:r>
        <w:rPr>
          <w:rStyle w:val="NormalTok"/>
        </w:rPr>
        <w:t xml:space="preserve"> Path</w:t>
      </w:r>
      <w:r>
        <w:br/>
      </w:r>
      <w:r>
        <w:rPr>
          <w:rStyle w:val="NormalTok"/>
        </w:rPr>
        <w:t xml:space="preserve">root </w:t>
      </w:r>
      <w:r>
        <w:rPr>
          <w:rStyle w:val="OperatorTok"/>
        </w:rPr>
        <w:t xml:space="preserve">=</w:t>
      </w:r>
      <w:r>
        <w:rPr>
          <w:rStyle w:val="NormalTok"/>
        </w:rPr>
        <w:t xml:space="preserve"> Path.cwd()</w:t>
      </w:r>
    </w:p>
    <w:bookmarkEnd w:id="739"/>
    <w:bookmarkEnd w:id="740"/>
    <w:bookmarkStart w:id="741" w:name="appendix-a.-python-quick-reference"/>
    <w:p>
      <w:pPr>
        <w:pStyle w:val="Heading1"/>
        <w:keepNext/>
        <w:pageBreakBefore/>
      </w:pPr>
      <w:r>
        <w:rPr>
          <w:rStyle w:val="SectionNumber"/>
          <w:rFonts w:ascii="Noto Sans" w:hAnsi="Noto Sans" w:eastAsia="Noto Sans" w:cs="Noto Sans"/>
          <w:b/>
          <w:color w:val="0A2342"/>
          <w:sz w:val="43"/>
        </w:rPr>
        <w:t xml:space="preserve">35</w:t>
      </w:r>
      <w:r>
        <w:rPr>
          <w:rFonts w:ascii="Noto Sans" w:hAnsi="Noto Sans" w:eastAsia="Noto Sans" w:cs="Noto Sans"/>
          <w:b/>
          <w:color w:val="0A2342"/>
          <w:sz w:val="43"/>
        </w:rPr>
        <w:tab/>
      </w:r>
      <w:r>
        <w:rPr>
          <w:rFonts w:ascii="Noto Sans" w:hAnsi="Noto Sans" w:eastAsia="Noto Sans" w:cs="Noto Sans"/>
          <w:b/>
          <w:color w:val="0A2342"/>
          <w:sz w:val="43"/>
        </w:rPr>
        <w:t xml:space="preserve">Appendix A. Python Quick Reference</w:t>
      </w:r>
    </w:p>
    <w:tbl>
      <w:tblPr>
        <w:tblStyle w:val="Table"/>
        <w:tblW w:type="auto" w:w="0"/>
        <w:jc w:val="center"/>
        <w:tblLayout w:type="autofit"/>
        <w:tblLook w:firstRow="1" w:lastRow="0" w:firstColumn="0" w:lastColumn="0" w:noHBand="0" w:noVBand="0" w:val="0020"/>
      </w:tblPr>
      <w:tblGrid>
        <w:gridCol w:w="3960"/>
        <w:gridCol w:w="3960"/>
      </w:tblGrid>
      <w:tr>
        <w:trPr>
          <w:tblHeader w:val="on"/>
          <w:tblHeader w:val="true"/>
          <w:cantSplit/>
        </w:trPr>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0A2342" w:val="clear"/>
          </w:tcPr>
          <w:p>
            <w:pPr>
              <w:pStyle w:val="Compact"/>
              <w:spacing w:before="30" w:after="30" w:line="240" w:lineRule="auto"/>
              <w:jc w:val="left"/>
            </w:pPr>
            <w:r>
              <w:rPr>
                <w:rFonts w:ascii="Noto Sans" w:hAnsi="Noto Sans" w:eastAsia="Noto Sans" w:cs="Noto Sans"/>
                <w:b/>
                <w:color w:val="FFFFFF"/>
                <w:sz w:val="16"/>
              </w:rPr>
              <w:t xml:space="preserve">Task</w:t>
            </w:r>
          </w:p>
        </w:tc>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0A2342" w:val="clear"/>
          </w:tcPr>
          <w:p>
            <w:pPr>
              <w:pStyle w:val="Compact"/>
              <w:spacing w:before="30" w:after="30" w:line="240" w:lineRule="auto"/>
              <w:jc w:val="left"/>
            </w:pPr>
            <w:r>
              <w:rPr>
                <w:rFonts w:ascii="Noto Sans" w:hAnsi="Noto Sans" w:eastAsia="Noto Sans" w:cs="Noto Sans"/>
                <w:b/>
                <w:color w:val="FFFFFF"/>
                <w:sz w:val="16"/>
              </w:rPr>
              <w:t xml:space="preserve">Example</w:t>
            </w:r>
          </w:p>
        </w:tc>
      </w:tr>
      <w:tr>
        <w:trPr>
          <w:cantSplit/>
        </w:trPr>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EEF4F8" w:val="clear"/>
          </w:tcPr>
          <w:p>
            <w:pPr>
              <w:pStyle w:val="Compact"/>
              <w:spacing w:before="30" w:after="30" w:line="240" w:lineRule="auto"/>
              <w:jc w:val="left"/>
            </w:pPr>
            <w:r>
              <w:rPr>
                <w:rFonts w:ascii="Noto Sans" w:hAnsi="Noto Sans" w:eastAsia="Noto Sans" w:cs="Noto Sans"/>
                <w:b w:val="0"/>
                <w:color w:val="18212B"/>
                <w:sz w:val="16"/>
              </w:rPr>
              <w:t xml:space="preserve">Assignment</w:t>
            </w:r>
          </w:p>
        </w:tc>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EEF4F8" w:val="clear"/>
          </w:tcPr>
          <w:p>
            <w:pPr>
              <w:pStyle w:val="Compact"/>
              <w:spacing w:before="30" w:after="30" w:line="240" w:lineRule="auto"/>
              <w:jc w:val="left"/>
            </w:pPr>
            <w:r>
              <w:rPr>
                <w:rStyle w:val="VerbatimChar"/>
                <w:rFonts w:ascii="Noto Sans" w:hAnsi="Noto Sans" w:eastAsia="Noto Sans" w:cs="Noto Sans"/>
                <w:b w:val="0"/>
                <w:color w:val="18212B"/>
                <w:sz w:val="16"/>
              </w:rPr>
              <w:t xml:space="preserve">rate = 0.03</w:t>
            </w:r>
          </w:p>
        </w:tc>
      </w:tr>
      <w:tr>
        <w:trPr>
          <w:cantSplit/>
        </w:trPr>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FFFFFF" w:val="clear"/>
          </w:tcPr>
          <w:p>
            <w:pPr>
              <w:pStyle w:val="Compact"/>
              <w:spacing w:before="30" w:after="30" w:line="240" w:lineRule="auto"/>
              <w:jc w:val="left"/>
            </w:pPr>
            <w:r>
              <w:rPr>
                <w:rFonts w:ascii="Noto Sans" w:hAnsi="Noto Sans" w:eastAsia="Noto Sans" w:cs="Noto Sans"/>
                <w:b w:val="0"/>
                <w:color w:val="18212B"/>
                <w:sz w:val="16"/>
              </w:rPr>
              <w:t xml:space="preserve">Type check</w:t>
            </w:r>
          </w:p>
        </w:tc>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FFFFFF" w:val="clear"/>
          </w:tcPr>
          <w:p>
            <w:pPr>
              <w:pStyle w:val="Compact"/>
              <w:spacing w:before="30" w:after="30" w:line="240" w:lineRule="auto"/>
              <w:jc w:val="left"/>
            </w:pPr>
            <w:r>
              <w:rPr>
                <w:rStyle w:val="VerbatimChar"/>
                <w:rFonts w:ascii="Noto Sans" w:hAnsi="Noto Sans" w:eastAsia="Noto Sans" w:cs="Noto Sans"/>
                <w:b w:val="0"/>
                <w:color w:val="18212B"/>
                <w:sz w:val="16"/>
              </w:rPr>
              <w:t xml:space="preserve">type(rate)</w:t>
            </w:r>
          </w:p>
        </w:tc>
      </w:tr>
      <w:tr>
        <w:trPr>
          <w:cantSplit/>
        </w:trPr>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EEF4F8" w:val="clear"/>
          </w:tcPr>
          <w:p>
            <w:pPr>
              <w:pStyle w:val="Compact"/>
              <w:spacing w:before="30" w:after="30" w:line="240" w:lineRule="auto"/>
              <w:jc w:val="left"/>
            </w:pPr>
            <w:r>
              <w:rPr>
                <w:rFonts w:ascii="Noto Sans" w:hAnsi="Noto Sans" w:eastAsia="Noto Sans" w:cs="Noto Sans"/>
                <w:b w:val="0"/>
                <w:color w:val="18212B"/>
                <w:sz w:val="16"/>
              </w:rPr>
              <w:t xml:space="preserve">List slice</w:t>
            </w:r>
          </w:p>
        </w:tc>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EEF4F8" w:val="clear"/>
          </w:tcPr>
          <w:p>
            <w:pPr>
              <w:pStyle w:val="Compact"/>
              <w:spacing w:before="30" w:after="30" w:line="240" w:lineRule="auto"/>
              <w:jc w:val="left"/>
            </w:pPr>
            <w:r>
              <w:rPr>
                <w:rStyle w:val="VerbatimChar"/>
                <w:rFonts w:ascii="Noto Sans" w:hAnsi="Noto Sans" w:eastAsia="Noto Sans" w:cs="Noto Sans"/>
                <w:b w:val="0"/>
                <w:color w:val="18212B"/>
                <w:sz w:val="16"/>
              </w:rPr>
              <w:t xml:space="preserve">values[1:4]</w:t>
            </w:r>
          </w:p>
        </w:tc>
      </w:tr>
      <w:tr>
        <w:trPr>
          <w:cantSplit/>
        </w:trPr>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FFFFFF" w:val="clear"/>
          </w:tcPr>
          <w:p>
            <w:pPr>
              <w:pStyle w:val="Compact"/>
              <w:spacing w:before="30" w:after="30" w:line="240" w:lineRule="auto"/>
              <w:jc w:val="left"/>
            </w:pPr>
            <w:r>
              <w:rPr>
                <w:rFonts w:ascii="Noto Sans" w:hAnsi="Noto Sans" w:eastAsia="Noto Sans" w:cs="Noto Sans"/>
                <w:b w:val="0"/>
                <w:color w:val="18212B"/>
                <w:sz w:val="16"/>
              </w:rPr>
              <w:t xml:space="preserve">Dictionary lookup</w:t>
            </w:r>
          </w:p>
        </w:tc>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FFFFFF" w:val="clear"/>
          </w:tcPr>
          <w:p>
            <w:pPr>
              <w:pStyle w:val="Compact"/>
              <w:spacing w:before="30" w:after="30" w:line="240" w:lineRule="auto"/>
              <w:jc w:val="left"/>
            </w:pPr>
            <w:r>
              <w:rPr>
                <w:rStyle w:val="VerbatimChar"/>
                <w:rFonts w:ascii="Noto Sans" w:hAnsi="Noto Sans" w:eastAsia="Noto Sans" w:cs="Noto Sans"/>
                <w:b w:val="0"/>
                <w:color w:val="18212B"/>
                <w:sz w:val="16"/>
              </w:rPr>
              <w:t xml:space="preserve">units["CPI"]</w:t>
            </w:r>
          </w:p>
        </w:tc>
      </w:tr>
      <w:tr>
        <w:trPr>
          <w:cantSplit/>
        </w:trPr>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EEF4F8" w:val="clear"/>
          </w:tcPr>
          <w:p>
            <w:pPr>
              <w:pStyle w:val="Compact"/>
              <w:spacing w:before="30" w:after="30" w:line="240" w:lineRule="auto"/>
              <w:jc w:val="left"/>
            </w:pPr>
            <w:r>
              <w:rPr>
                <w:rFonts w:ascii="Noto Sans" w:hAnsi="Noto Sans" w:eastAsia="Noto Sans" w:cs="Noto Sans"/>
                <w:b w:val="0"/>
                <w:color w:val="18212B"/>
                <w:sz w:val="16"/>
              </w:rPr>
              <w:t xml:space="preserve">Loop</w:t>
            </w:r>
          </w:p>
        </w:tc>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EEF4F8" w:val="clear"/>
          </w:tcPr>
          <w:p>
            <w:pPr>
              <w:pStyle w:val="Compact"/>
              <w:spacing w:before="30" w:after="30" w:line="240" w:lineRule="auto"/>
              <w:jc w:val="left"/>
            </w:pPr>
            <w:r>
              <w:rPr>
                <w:rStyle w:val="VerbatimChar"/>
                <w:rFonts w:ascii="Noto Sans" w:hAnsi="Noto Sans" w:eastAsia="Noto Sans" w:cs="Noto Sans"/>
                <w:b w:val="0"/>
                <w:color w:val="18212B"/>
                <w:sz w:val="16"/>
              </w:rPr>
              <w:t xml:space="preserve">for value in values:</w:t>
            </w:r>
          </w:p>
        </w:tc>
      </w:tr>
      <w:tr>
        <w:trPr>
          <w:cantSplit/>
        </w:trPr>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FFFFFF" w:val="clear"/>
          </w:tcPr>
          <w:p>
            <w:pPr>
              <w:pStyle w:val="Compact"/>
              <w:spacing w:before="30" w:after="30" w:line="240" w:lineRule="auto"/>
              <w:jc w:val="left"/>
            </w:pPr>
            <w:r>
              <w:rPr>
                <w:rFonts w:ascii="Noto Sans" w:hAnsi="Noto Sans" w:eastAsia="Noto Sans" w:cs="Noto Sans"/>
                <w:b w:val="0"/>
                <w:color w:val="18212B"/>
                <w:sz w:val="16"/>
              </w:rPr>
              <w:t xml:space="preserve">Function</w:t>
            </w:r>
          </w:p>
        </w:tc>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FFFFFF" w:val="clear"/>
          </w:tcPr>
          <w:p>
            <w:pPr>
              <w:pStyle w:val="Compact"/>
              <w:spacing w:before="30" w:after="30" w:line="240" w:lineRule="auto"/>
              <w:jc w:val="left"/>
            </w:pPr>
            <w:r>
              <w:rPr>
                <w:rStyle w:val="VerbatimChar"/>
                <w:rFonts w:ascii="Noto Sans" w:hAnsi="Noto Sans" w:eastAsia="Noto Sans" w:cs="Noto Sans"/>
                <w:b w:val="0"/>
                <w:color w:val="18212B"/>
                <w:sz w:val="16"/>
              </w:rPr>
              <w:t xml:space="preserve">def transform(x): return ...</w:t>
            </w:r>
          </w:p>
        </w:tc>
      </w:tr>
      <w:tr>
        <w:trPr>
          <w:cantSplit/>
        </w:trPr>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EEF4F8" w:val="clear"/>
          </w:tcPr>
          <w:p>
            <w:pPr>
              <w:pStyle w:val="Compact"/>
              <w:spacing w:before="30" w:after="30" w:line="240" w:lineRule="auto"/>
              <w:jc w:val="left"/>
            </w:pPr>
            <w:r>
              <w:rPr>
                <w:rFonts w:ascii="Noto Sans" w:hAnsi="Noto Sans" w:eastAsia="Noto Sans" w:cs="Noto Sans"/>
                <w:b w:val="0"/>
                <w:color w:val="18212B"/>
                <w:sz w:val="16"/>
              </w:rPr>
              <w:t xml:space="preserve">Project path</w:t>
            </w:r>
          </w:p>
        </w:tc>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EEF4F8" w:val="clear"/>
          </w:tcPr>
          <w:p>
            <w:pPr>
              <w:pStyle w:val="Compact"/>
              <w:spacing w:before="30" w:after="30" w:line="240" w:lineRule="auto"/>
              <w:jc w:val="left"/>
            </w:pPr>
            <w:r>
              <w:rPr>
                <w:rStyle w:val="VerbatimChar"/>
                <w:rFonts w:ascii="Noto Sans" w:hAnsi="Noto Sans" w:eastAsia="Noto Sans" w:cs="Noto Sans"/>
                <w:b w:val="0"/>
                <w:color w:val="18212B"/>
                <w:sz w:val="16"/>
              </w:rPr>
              <w:t xml:space="preserve">Path("data") / "file.csv"</w:t>
            </w:r>
          </w:p>
        </w:tc>
      </w:tr>
      <w:tr>
        <w:trPr>
          <w:cantSplit/>
        </w:trPr>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FFFFFF" w:val="clear"/>
          </w:tcPr>
          <w:p>
            <w:pPr>
              <w:pStyle w:val="Compact"/>
              <w:spacing w:before="30" w:after="30" w:line="240" w:lineRule="auto"/>
              <w:jc w:val="left"/>
            </w:pPr>
            <w:r>
              <w:rPr>
                <w:rFonts w:ascii="Noto Sans" w:hAnsi="Noto Sans" w:eastAsia="Noto Sans" w:cs="Noto Sans"/>
                <w:b w:val="0"/>
                <w:color w:val="18212B"/>
                <w:sz w:val="16"/>
              </w:rPr>
              <w:t xml:space="preserve">NumPy array</w:t>
            </w:r>
          </w:p>
        </w:tc>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FFFFFF" w:val="clear"/>
          </w:tcPr>
          <w:p>
            <w:pPr>
              <w:pStyle w:val="Compact"/>
              <w:spacing w:before="30" w:after="30" w:line="240" w:lineRule="auto"/>
              <w:jc w:val="left"/>
            </w:pPr>
            <w:r>
              <w:rPr>
                <w:rStyle w:val="VerbatimChar"/>
                <w:rFonts w:ascii="Noto Sans" w:hAnsi="Noto Sans" w:eastAsia="Noto Sans" w:cs="Noto Sans"/>
                <w:b w:val="0"/>
                <w:color w:val="18212B"/>
                <w:sz w:val="16"/>
              </w:rPr>
              <w:t xml:space="preserve">np.array(values)</w:t>
            </w:r>
          </w:p>
        </w:tc>
      </w:tr>
      <w:tr>
        <w:trPr>
          <w:cantSplit/>
        </w:trPr>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EEF4F8" w:val="clear"/>
          </w:tcPr>
          <w:p>
            <w:pPr>
              <w:pStyle w:val="Compact"/>
              <w:spacing w:before="30" w:after="30" w:line="240" w:lineRule="auto"/>
              <w:jc w:val="left"/>
            </w:pPr>
            <w:r>
              <w:rPr>
                <w:rFonts w:ascii="Noto Sans" w:hAnsi="Noto Sans" w:eastAsia="Noto Sans" w:cs="Noto Sans"/>
                <w:b w:val="0"/>
                <w:color w:val="18212B"/>
                <w:sz w:val="16"/>
              </w:rPr>
              <w:t xml:space="preserve">pandas import</w:t>
            </w:r>
          </w:p>
        </w:tc>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EEF4F8" w:val="clear"/>
          </w:tcPr>
          <w:p>
            <w:pPr>
              <w:pStyle w:val="Compact"/>
              <w:spacing w:before="30" w:after="30" w:line="240" w:lineRule="auto"/>
              <w:jc w:val="left"/>
            </w:pPr>
            <w:r>
              <w:rPr>
                <w:rStyle w:val="VerbatimChar"/>
                <w:rFonts w:ascii="Noto Sans" w:hAnsi="Noto Sans" w:eastAsia="Noto Sans" w:cs="Noto Sans"/>
                <w:b w:val="0"/>
                <w:color w:val="18212B"/>
                <w:sz w:val="16"/>
              </w:rPr>
              <w:t xml:space="preserve">pd.read_csv(path)</w:t>
            </w:r>
          </w:p>
        </w:tc>
      </w:tr>
      <w:tr>
        <w:trPr>
          <w:cantSplit/>
        </w:trPr>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FFFFFF" w:val="clear"/>
          </w:tcPr>
          <w:p>
            <w:pPr>
              <w:pStyle w:val="Compact"/>
              <w:spacing w:before="30" w:after="30" w:line="240" w:lineRule="auto"/>
              <w:jc w:val="left"/>
            </w:pPr>
            <w:r>
              <w:rPr>
                <w:rFonts w:ascii="Noto Sans" w:hAnsi="Noto Sans" w:eastAsia="Noto Sans" w:cs="Noto Sans"/>
                <w:b w:val="0"/>
                <w:color w:val="18212B"/>
                <w:sz w:val="16"/>
              </w:rPr>
              <w:t xml:space="preserve">Filter</w:t>
            </w:r>
          </w:p>
        </w:tc>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FFFFFF" w:val="clear"/>
          </w:tcPr>
          <w:p>
            <w:pPr>
              <w:pStyle w:val="Compact"/>
              <w:spacing w:before="30" w:after="30" w:line="240" w:lineRule="auto"/>
              <w:jc w:val="left"/>
            </w:pPr>
            <w:r>
              <w:rPr>
                <w:rStyle w:val="VerbatimChar"/>
                <w:rFonts w:ascii="Noto Sans" w:hAnsi="Noto Sans" w:eastAsia="Noto Sans" w:cs="Noto Sans"/>
                <w:b w:val="0"/>
                <w:color w:val="18212B"/>
                <w:sz w:val="16"/>
              </w:rPr>
              <w:t xml:space="preserve">df.loc[df["x"] &gt; 0]</w:t>
            </w:r>
          </w:p>
        </w:tc>
      </w:tr>
      <w:tr>
        <w:trPr>
          <w:cantSplit/>
        </w:trPr>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EEF4F8" w:val="clear"/>
          </w:tcPr>
          <w:p>
            <w:pPr>
              <w:pStyle w:val="Compact"/>
              <w:spacing w:before="30" w:after="30" w:line="240" w:lineRule="auto"/>
              <w:jc w:val="left"/>
            </w:pPr>
            <w:r>
              <w:rPr>
                <w:rFonts w:ascii="Noto Sans" w:hAnsi="Noto Sans" w:eastAsia="Noto Sans" w:cs="Noto Sans"/>
                <w:b w:val="0"/>
                <w:color w:val="18212B"/>
                <w:sz w:val="16"/>
              </w:rPr>
              <w:t xml:space="preserve">Group</w:t>
            </w:r>
          </w:p>
        </w:tc>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EEF4F8" w:val="clear"/>
          </w:tcPr>
          <w:p>
            <w:pPr>
              <w:pStyle w:val="Compact"/>
              <w:spacing w:before="30" w:after="30" w:line="240" w:lineRule="auto"/>
              <w:jc w:val="left"/>
            </w:pPr>
            <w:r>
              <w:rPr>
                <w:rStyle w:val="VerbatimChar"/>
                <w:rFonts w:ascii="Noto Sans" w:hAnsi="Noto Sans" w:eastAsia="Noto Sans" w:cs="Noto Sans"/>
                <w:b w:val="0"/>
                <w:color w:val="18212B"/>
                <w:sz w:val="16"/>
              </w:rPr>
              <w:t xml:space="preserve">df.groupby("group").agg(...)</w:t>
            </w:r>
          </w:p>
        </w:tc>
      </w:tr>
      <w:tr>
        <w:trPr>
          <w:cantSplit/>
        </w:trPr>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FFFFFF" w:val="clear"/>
          </w:tcPr>
          <w:p>
            <w:pPr>
              <w:pStyle w:val="Compact"/>
              <w:spacing w:before="30" w:after="30" w:line="240" w:lineRule="auto"/>
              <w:jc w:val="left"/>
            </w:pPr>
            <w:r>
              <w:rPr>
                <w:rFonts w:ascii="Noto Sans" w:hAnsi="Noto Sans" w:eastAsia="Noto Sans" w:cs="Noto Sans"/>
                <w:b w:val="0"/>
                <w:color w:val="18212B"/>
                <w:sz w:val="16"/>
              </w:rPr>
              <w:t xml:space="preserve">Plot</w:t>
            </w:r>
          </w:p>
        </w:tc>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FFFFFF" w:val="clear"/>
          </w:tcPr>
          <w:p>
            <w:pPr>
              <w:pStyle w:val="Compact"/>
              <w:spacing w:before="30" w:after="30" w:line="240" w:lineRule="auto"/>
              <w:jc w:val="left"/>
            </w:pPr>
            <w:r>
              <w:rPr>
                <w:rStyle w:val="VerbatimChar"/>
                <w:rFonts w:ascii="Noto Sans" w:hAnsi="Noto Sans" w:eastAsia="Noto Sans" w:cs="Noto Sans"/>
                <w:b w:val="0"/>
                <w:color w:val="18212B"/>
                <w:sz w:val="16"/>
              </w:rPr>
              <w:t xml:space="preserve">fig, ax = plt.subplots()</w:t>
            </w:r>
          </w:p>
        </w:tc>
      </w:tr>
      <w:tr>
        <w:trPr>
          <w:cantSplit/>
        </w:trPr>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EEF4F8" w:val="clear"/>
          </w:tcPr>
          <w:p>
            <w:pPr>
              <w:pStyle w:val="Compact"/>
              <w:spacing w:before="30" w:after="30" w:line="240" w:lineRule="auto"/>
              <w:jc w:val="left"/>
            </w:pPr>
            <w:r>
              <w:rPr>
                <w:rFonts w:ascii="Noto Sans" w:hAnsi="Noto Sans" w:eastAsia="Noto Sans" w:cs="Noto Sans"/>
                <w:b w:val="0"/>
                <w:color w:val="18212B"/>
                <w:sz w:val="16"/>
              </w:rPr>
              <w:t xml:space="preserve">Regression</w:t>
            </w:r>
          </w:p>
        </w:tc>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EEF4F8" w:val="clear"/>
          </w:tcPr>
          <w:p>
            <w:pPr>
              <w:pStyle w:val="Compact"/>
              <w:spacing w:before="30" w:after="30" w:line="240" w:lineRule="auto"/>
              <w:jc w:val="left"/>
            </w:pPr>
            <w:r>
              <w:rPr>
                <w:rStyle w:val="VerbatimChar"/>
                <w:rFonts w:ascii="Noto Sans" w:hAnsi="Noto Sans" w:eastAsia="Noto Sans" w:cs="Noto Sans"/>
                <w:b w:val="0"/>
                <w:color w:val="18212B"/>
                <w:sz w:val="16"/>
              </w:rPr>
              <w:t xml:space="preserve">smf.ols("y ~ x", data=df).fit()</w:t>
            </w:r>
          </w:p>
        </w:tc>
      </w:tr>
      <w:tr>
        <w:trPr>
          <w:cantSplit/>
        </w:trPr>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FFFFFF" w:val="clear"/>
          </w:tcPr>
          <w:p>
            <w:pPr>
              <w:pStyle w:val="Compact"/>
              <w:spacing w:before="30" w:after="30" w:line="240" w:lineRule="auto"/>
              <w:jc w:val="left"/>
            </w:pPr>
            <w:r>
              <w:rPr>
                <w:rFonts w:ascii="Noto Sans" w:hAnsi="Noto Sans" w:eastAsia="Noto Sans" w:cs="Noto Sans"/>
                <w:b w:val="0"/>
                <w:color w:val="18212B"/>
                <w:sz w:val="16"/>
              </w:rPr>
              <w:t xml:space="preserve">ARIMA</w:t>
            </w:r>
          </w:p>
        </w:tc>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FFFFFF" w:val="clear"/>
          </w:tcPr>
          <w:p>
            <w:pPr>
              <w:pStyle w:val="Compact"/>
              <w:spacing w:before="30" w:after="30" w:line="240" w:lineRule="auto"/>
              <w:jc w:val="left"/>
            </w:pPr>
            <w:r>
              <w:rPr>
                <w:rStyle w:val="VerbatimChar"/>
                <w:rFonts w:ascii="Noto Sans" w:hAnsi="Noto Sans" w:eastAsia="Noto Sans" w:cs="Noto Sans"/>
                <w:b w:val="0"/>
                <w:color w:val="18212B"/>
                <w:sz w:val="16"/>
              </w:rPr>
              <w:t xml:space="preserve">ARIMA(y, order=(p,d,q)).fit()</w:t>
            </w:r>
          </w:p>
        </w:tc>
      </w:tr>
      <w:tr>
        <w:trPr>
          <w:cantSplit/>
        </w:trPr>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EEF4F8" w:val="clear"/>
          </w:tcPr>
          <w:p>
            <w:pPr>
              <w:pStyle w:val="Compact"/>
              <w:spacing w:before="30" w:after="30" w:line="240" w:lineRule="auto"/>
              <w:jc w:val="left"/>
            </w:pPr>
            <w:r>
              <w:rPr>
                <w:rFonts w:ascii="Noto Sans" w:hAnsi="Noto Sans" w:eastAsia="Noto Sans" w:cs="Noto Sans"/>
                <w:b w:val="0"/>
                <w:color w:val="18212B"/>
                <w:sz w:val="16"/>
              </w:rPr>
              <w:t xml:space="preserve">VAR</w:t>
            </w:r>
          </w:p>
        </w:tc>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EEF4F8" w:val="clear"/>
          </w:tcPr>
          <w:p>
            <w:pPr>
              <w:pStyle w:val="Compact"/>
              <w:spacing w:before="30" w:after="30" w:line="240" w:lineRule="auto"/>
              <w:jc w:val="left"/>
            </w:pPr>
            <w:r>
              <w:rPr>
                <w:rStyle w:val="VerbatimChar"/>
                <w:rFonts w:ascii="Noto Sans" w:hAnsi="Noto Sans" w:eastAsia="Noto Sans" w:cs="Noto Sans"/>
                <w:b w:val="0"/>
                <w:color w:val="18212B"/>
                <w:sz w:val="16"/>
              </w:rPr>
              <w:t xml:space="preserve">VAR(df).fit(lags)</w:t>
            </w:r>
          </w:p>
        </w:tc>
      </w:tr>
      <w:tr>
        <w:trPr>
          <w:cantSplit/>
        </w:trPr>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FFFFFF" w:val="clear"/>
          </w:tcPr>
          <w:p>
            <w:pPr>
              <w:pStyle w:val="Compact"/>
              <w:spacing w:before="30" w:after="30" w:line="240" w:lineRule="auto"/>
              <w:jc w:val="left"/>
            </w:pPr>
            <w:r>
              <w:rPr>
                <w:rFonts w:ascii="Noto Sans" w:hAnsi="Noto Sans" w:eastAsia="Noto Sans" w:cs="Noto Sans"/>
                <w:b w:val="0"/>
                <w:color w:val="18212B"/>
                <w:sz w:val="16"/>
              </w:rPr>
              <w:t xml:space="preserve">Pipeline</w:t>
            </w:r>
          </w:p>
        </w:tc>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FFFFFF" w:val="clear"/>
          </w:tcPr>
          <w:p>
            <w:pPr>
              <w:pStyle w:val="Compact"/>
              <w:spacing w:before="30" w:after="30" w:line="240" w:lineRule="auto"/>
              <w:jc w:val="left"/>
            </w:pPr>
            <w:r>
              <w:rPr>
                <w:rStyle w:val="VerbatimChar"/>
                <w:rFonts w:ascii="Noto Sans" w:hAnsi="Noto Sans" w:eastAsia="Noto Sans" w:cs="Noto Sans"/>
                <w:b w:val="0"/>
                <w:color w:val="18212B"/>
                <w:sz w:val="16"/>
              </w:rPr>
              <w:t xml:space="preserve">Pipeline([...]).fit(X, y)</w:t>
            </w:r>
          </w:p>
        </w:tc>
      </w:tr>
    </w:tbl>
    <w:bookmarkEnd w:id="741"/>
    <w:bookmarkStart w:id="742" w:name="Xb2cefef0c1159f12927f64e3a9ee800fa20e733"/>
    <w:p>
      <w:pPr>
        <w:pStyle w:val="Heading1"/>
        <w:keepNext/>
        <w:pageBreakBefore/>
      </w:pPr>
      <w:r>
        <w:rPr>
          <w:rStyle w:val="SectionNumber"/>
          <w:rFonts w:ascii="Noto Sans" w:hAnsi="Noto Sans" w:eastAsia="Noto Sans" w:cs="Noto Sans"/>
          <w:b/>
          <w:color w:val="0A2342"/>
          <w:sz w:val="43"/>
        </w:rPr>
        <w:t xml:space="preserve">36</w:t>
      </w:r>
      <w:r>
        <w:rPr>
          <w:rFonts w:ascii="Noto Sans" w:hAnsi="Noto Sans" w:eastAsia="Noto Sans" w:cs="Noto Sans"/>
          <w:b/>
          <w:color w:val="0A2342"/>
          <w:sz w:val="43"/>
        </w:rPr>
        <w:tab/>
      </w:r>
      <w:r>
        <w:rPr>
          <w:rFonts w:ascii="Noto Sans" w:hAnsi="Noto Sans" w:eastAsia="Noto Sans" w:cs="Noto Sans"/>
          <w:b/>
          <w:color w:val="0A2342"/>
          <w:sz w:val="43"/>
        </w:rPr>
        <w:t xml:space="preserve">Appendix B. Installation and Troubleshooting</w:t>
      </w:r>
    </w:p>
    <w:p>
      <w:pPr>
        <w:pStyle w:val="Compact"/>
        <w:numPr>
          <w:ilvl w:val="0"/>
          <w:numId w:val="1139"/>
        </w:numPr>
      </w:pPr>
      <w:r>
        <w:t xml:space="preserve">Install Python 3.13 or 3.14 from the official Python distribution, or use Google Colab.</w:t>
      </w:r>
    </w:p>
    <w:p>
      <w:pPr>
        <w:pStyle w:val="Compact"/>
        <w:numPr>
          <w:ilvl w:val="0"/>
          <w:numId w:val="1139"/>
        </w:numPr>
      </w:pPr>
      <w:r>
        <w:t xml:space="preserve">From the project root, create a virtual environment:</w:t>
      </w:r>
      <w:r>
        <w:t xml:space="preserve"> </w:t>
      </w:r>
      <w:r>
        <w:rPr>
          <w:rStyle w:val="VerbatimChar"/>
        </w:rPr>
        <w:t xml:space="preserve">python -m venv .venv</w:t>
      </w:r>
      <w:r>
        <w:t xml:space="preserve">.</w:t>
      </w:r>
    </w:p>
    <w:p>
      <w:pPr>
        <w:pStyle w:val="Compact"/>
        <w:numPr>
          <w:ilvl w:val="0"/>
          <w:numId w:val="1139"/>
        </w:numPr>
      </w:pPr>
      <w:r>
        <w:t xml:space="preserve">Activate it. Windows PowerShell:</w:t>
      </w:r>
      <w:r>
        <w:t xml:space="preserve"> </w:t>
      </w:r>
      <w:r>
        <w:rPr>
          <w:rStyle w:val="VerbatimChar"/>
        </w:rPr>
        <w:t xml:space="preserve">.venv\Scripts\Activate.ps1</w:t>
      </w:r>
      <w:r>
        <w:t xml:space="preserve">. macOS/Linux:</w:t>
      </w:r>
      <w:r>
        <w:t xml:space="preserve"> </w:t>
      </w:r>
      <w:r>
        <w:rPr>
          <w:rStyle w:val="VerbatimChar"/>
        </w:rPr>
        <w:t xml:space="preserve">source .venv/bin/activate</w:t>
      </w:r>
      <w:r>
        <w:t xml:space="preserve">.</w:t>
      </w:r>
    </w:p>
    <w:p>
      <w:pPr>
        <w:pStyle w:val="Compact"/>
        <w:numPr>
          <w:ilvl w:val="0"/>
          <w:numId w:val="1139"/>
        </w:numPr>
      </w:pPr>
      <w:r>
        <w:t xml:space="preserve">Install the tested dependencies:</w:t>
      </w:r>
      <w:r>
        <w:t xml:space="preserve"> </w:t>
      </w:r>
      <w:r>
        <w:rPr>
          <w:rStyle w:val="VerbatimChar"/>
        </w:rPr>
        <w:t xml:space="preserve">python -m pip install -r requirements.txt</w:t>
      </w:r>
      <w:r>
        <w:t xml:space="preserve">.</w:t>
      </w:r>
    </w:p>
    <w:p>
      <w:pPr>
        <w:pStyle w:val="Compact"/>
        <w:numPr>
          <w:ilvl w:val="0"/>
          <w:numId w:val="1139"/>
        </w:numPr>
      </w:pPr>
      <w:r>
        <w:t xml:space="preserve">Verify the environment:</w:t>
      </w:r>
      <w:r>
        <w:t xml:space="preserve"> </w:t>
      </w:r>
      <w:r>
        <w:rPr>
          <w:rStyle w:val="VerbatimChar"/>
        </w:rPr>
        <w:t xml:space="preserve">python scripts/verify_environment.py</w:t>
      </w:r>
      <w:r>
        <w:t xml:space="preserve">.</w:t>
      </w:r>
    </w:p>
    <w:p>
      <w:pPr>
        <w:pStyle w:val="Compact"/>
        <w:numPr>
          <w:ilvl w:val="0"/>
          <w:numId w:val="1139"/>
        </w:numPr>
      </w:pPr>
      <w:r>
        <w:t xml:space="preserve">Start JupyterLab:</w:t>
      </w:r>
      <w:r>
        <w:t xml:space="preserve"> </w:t>
      </w:r>
      <w:r>
        <w:rPr>
          <w:rStyle w:val="VerbatimChar"/>
        </w:rPr>
        <w:t xml:space="preserve">jupyter lab</w:t>
      </w:r>
      <w:r>
        <w:t xml:space="preserve">.</w:t>
      </w:r>
    </w:p>
    <w:p>
      <w:pPr>
        <w:pStyle w:val="Compact"/>
        <w:numPr>
          <w:ilvl w:val="0"/>
          <w:numId w:val="1139"/>
        </w:numPr>
      </w:pPr>
      <w:r>
        <w:t xml:space="preserve">Open notebooks in numerical order and use</w:t>
      </w:r>
      <w:r>
        <w:t xml:space="preserve"> </w:t>
      </w:r>
      <w:r>
        <w:rPr>
          <w:b/>
          <w:bCs/>
        </w:rPr>
        <w:t xml:space="preserve">Restart Kernel and Run All</w:t>
      </w:r>
      <w:r>
        <w:t xml:space="preserve">.</w:t>
      </w:r>
    </w:p>
    <w:p>
      <w:pPr>
        <w:pStyle w:val="FirstParagraph"/>
      </w:pPr>
      <w:r>
        <w:rPr>
          <w:b/>
          <w:bCs/>
        </w:rPr>
        <w:t xml:space="preserve">Troubleshooting sequence:</w:t>
      </w:r>
      <w:r>
        <w:t xml:space="preserve"> </w:t>
      </w:r>
      <w:r>
        <w:t xml:space="preserve">print</w:t>
      </w:r>
      <w:r>
        <w:t xml:space="preserve"> </w:t>
      </w:r>
      <w:r>
        <w:rPr>
          <w:rStyle w:val="VerbatimChar"/>
        </w:rPr>
        <w:t xml:space="preserve">sys.executable</w:t>
      </w:r>
      <w:r>
        <w:t xml:space="preserve">; confirm the active kernel; verify the project root; inspect the missing package name; reinstall from the requirements file; avoid installing packages into random notebook cells.</w:t>
      </w:r>
    </w:p>
    <w:bookmarkEnd w:id="742"/>
    <w:bookmarkStart w:id="761" w:name="appendix-c.-r-to-python-crosswalk"/>
    <w:p>
      <w:pPr>
        <w:pStyle w:val="Heading1"/>
        <w:keepNext/>
        <w:pageBreakBefore/>
      </w:pPr>
      <w:r>
        <w:rPr>
          <w:rStyle w:val="SectionNumber"/>
          <w:rFonts w:ascii="Noto Sans" w:hAnsi="Noto Sans" w:eastAsia="Noto Sans" w:cs="Noto Sans"/>
          <w:b/>
          <w:color w:val="0A2342"/>
          <w:sz w:val="43"/>
        </w:rPr>
        <w:t xml:space="preserve">37</w:t>
      </w:r>
      <w:r>
        <w:rPr>
          <w:rFonts w:ascii="Noto Sans" w:hAnsi="Noto Sans" w:eastAsia="Noto Sans" w:cs="Noto Sans"/>
          <w:b/>
          <w:color w:val="0A2342"/>
          <w:sz w:val="43"/>
        </w:rPr>
        <w:tab/>
      </w:r>
      <w:r>
        <w:rPr>
          <w:rFonts w:ascii="Noto Sans" w:hAnsi="Noto Sans" w:eastAsia="Noto Sans" w:cs="Noto Sans"/>
          <w:b/>
          <w:color w:val="0A2342"/>
          <w:sz w:val="43"/>
        </w:rPr>
        <w:t xml:space="preserve">Appendix C. R-to-Python Crosswalk</w:t>
      </w:r>
    </w:p>
    <w:p>
      <w:pPr>
        <w:pStyle w:val="FirstParagraph"/>
      </w:pPr>
      <w:r>
        <w:t xml:space="preserve">The complete conversion ledger contains every substantive detected R/code segment and its disposition. The following table summarizes the most common bridges.</w:t>
      </w:r>
    </w:p>
    <w:bookmarkStart w:id="743" w:name="read.table-read.csv-to-pandas.read_csv"/>
    <w:p>
      <w:pPr>
        <w:pStyle w:val="Heading3"/>
        <w:keepNext/>
      </w:pPr>
      <w:r>
        <w:rPr>
          <w:rStyle w:val="SectionNumber"/>
          <w:rFonts w:ascii="Noto Sans" w:hAnsi="Noto Sans" w:eastAsia="Noto Sans" w:cs="Noto Sans"/>
          <w:b/>
          <w:color w:val="0A2342"/>
          <w:sz w:val="23"/>
        </w:rPr>
        <w:t xml:space="preserve">37.0.1</w:t>
      </w:r>
      <w:r>
        <w:rPr>
          <w:rFonts w:ascii="Noto Sans" w:hAnsi="Noto Sans" w:eastAsia="Noto Sans" w:cs="Noto Sans"/>
          <w:b/>
          <w:color w:val="0A2342"/>
          <w:sz w:val="23"/>
        </w:rPr>
        <w:tab/>
      </w:r>
      <w:r>
        <w:rPr>
          <w:rStyle w:val="VerbatimChar"/>
          <w:rFonts w:ascii="Noto Sans" w:hAnsi="Noto Sans" w:eastAsia="Noto Sans" w:cs="Noto Sans"/>
          <w:b/>
          <w:color w:val="0A2342"/>
          <w:sz w:val="23"/>
        </w:rPr>
        <w:t xml:space="preserve">read.table()</w:t>
      </w:r>
      <w:r>
        <w:rPr>
          <w:rFonts w:ascii="Noto Sans" w:hAnsi="Noto Sans" w:eastAsia="Noto Sans" w:cs="Noto Sans"/>
          <w:b/>
          <w:color w:val="0A2342"/>
          <w:sz w:val="23"/>
        </w:rPr>
        <w:t xml:space="preserve"> </w:t>
      </w:r>
      <w:r>
        <w:rPr>
          <w:rFonts w:ascii="Noto Sans" w:hAnsi="Noto Sans" w:eastAsia="Noto Sans" w:cs="Noto Sans"/>
          <w:b/>
          <w:color w:val="0A2342"/>
          <w:sz w:val="23"/>
        </w:rPr>
        <w:t xml:space="preserve">/</w:t>
      </w:r>
      <w:r>
        <w:rPr>
          <w:rFonts w:ascii="Noto Sans" w:hAnsi="Noto Sans" w:eastAsia="Noto Sans" w:cs="Noto Sans"/>
          <w:b/>
          <w:color w:val="0A2342"/>
          <w:sz w:val="23"/>
        </w:rPr>
        <w:t xml:space="preserve"> </w:t>
      </w:r>
      <w:r>
        <w:rPr>
          <w:rStyle w:val="VerbatimChar"/>
          <w:rFonts w:ascii="Noto Sans" w:hAnsi="Noto Sans" w:eastAsia="Noto Sans" w:cs="Noto Sans"/>
          <w:b/>
          <w:color w:val="0A2342"/>
          <w:sz w:val="23"/>
        </w:rPr>
        <w:t xml:space="preserve">read.csv()</w:t>
      </w:r>
      <w:r>
        <w:rPr>
          <w:rFonts w:ascii="Noto Sans" w:hAnsi="Noto Sans" w:eastAsia="Noto Sans" w:cs="Noto Sans"/>
          <w:b/>
          <w:color w:val="0A2342"/>
          <w:sz w:val="23"/>
        </w:rPr>
        <w:t xml:space="preserve"> </w:t>
      </w:r>
      <w:r>
        <w:rPr>
          <w:rFonts w:ascii="Noto Sans" w:hAnsi="Noto Sans" w:eastAsia="Noto Sans" w:cs="Noto Sans"/>
          <w:b/>
          <w:color w:val="0A2342"/>
          <w:sz w:val="23"/>
        </w:rPr>
        <w:t xml:space="preserve">to</w:t>
      </w:r>
      <w:r>
        <w:rPr>
          <w:rFonts w:ascii="Noto Sans" w:hAnsi="Noto Sans" w:eastAsia="Noto Sans" w:cs="Noto Sans"/>
          <w:b/>
          <w:color w:val="0A2342"/>
          <w:sz w:val="23"/>
        </w:rPr>
        <w:t xml:space="preserve"> </w:t>
      </w:r>
      <w:r>
        <w:rPr>
          <w:rStyle w:val="VerbatimChar"/>
          <w:rFonts w:ascii="Noto Sans" w:hAnsi="Noto Sans" w:eastAsia="Noto Sans" w:cs="Noto Sans"/>
          <w:b/>
          <w:color w:val="0A2342"/>
          <w:sz w:val="23"/>
        </w:rPr>
        <w:t xml:space="preserve">pandas.read_csv()</w:t>
      </w:r>
    </w:p>
    <w:p>
      <w:pPr>
        <w:pStyle w:val="FirstParagraph"/>
      </w:pPr>
      <w:r>
        <w:t xml:space="preserve">Specify separators, dates, missing markers, and dtypes explicitly.</w:t>
      </w:r>
    </w:p>
    <w:bookmarkEnd w:id="743"/>
    <w:bookmarkStart w:id="744" w:name="head-tail-to-.head-.tail"/>
    <w:p>
      <w:pPr>
        <w:pStyle w:val="Heading3"/>
        <w:keepNext/>
      </w:pPr>
      <w:r>
        <w:rPr>
          <w:rStyle w:val="SectionNumber"/>
          <w:rFonts w:ascii="Noto Sans" w:hAnsi="Noto Sans" w:eastAsia="Noto Sans" w:cs="Noto Sans"/>
          <w:b/>
          <w:color w:val="0A2342"/>
          <w:sz w:val="23"/>
        </w:rPr>
        <w:t xml:space="preserve">37.0.2</w:t>
      </w:r>
      <w:r>
        <w:rPr>
          <w:rFonts w:ascii="Noto Sans" w:hAnsi="Noto Sans" w:eastAsia="Noto Sans" w:cs="Noto Sans"/>
          <w:b/>
          <w:color w:val="0A2342"/>
          <w:sz w:val="23"/>
        </w:rPr>
        <w:tab/>
      </w:r>
      <w:r>
        <w:rPr>
          <w:rStyle w:val="VerbatimChar"/>
          <w:rFonts w:ascii="Noto Sans" w:hAnsi="Noto Sans" w:eastAsia="Noto Sans" w:cs="Noto Sans"/>
          <w:b/>
          <w:color w:val="0A2342"/>
          <w:sz w:val="23"/>
        </w:rPr>
        <w:t xml:space="preserve">head()</w:t>
      </w:r>
      <w:r>
        <w:rPr>
          <w:rFonts w:ascii="Noto Sans" w:hAnsi="Noto Sans" w:eastAsia="Noto Sans" w:cs="Noto Sans"/>
          <w:b/>
          <w:color w:val="0A2342"/>
          <w:sz w:val="23"/>
        </w:rPr>
        <w:t xml:space="preserve"> </w:t>
      </w:r>
      <w:r>
        <w:rPr>
          <w:rFonts w:ascii="Noto Sans" w:hAnsi="Noto Sans" w:eastAsia="Noto Sans" w:cs="Noto Sans"/>
          <w:b/>
          <w:color w:val="0A2342"/>
          <w:sz w:val="23"/>
        </w:rPr>
        <w:t xml:space="preserve">/</w:t>
      </w:r>
      <w:r>
        <w:rPr>
          <w:rFonts w:ascii="Noto Sans" w:hAnsi="Noto Sans" w:eastAsia="Noto Sans" w:cs="Noto Sans"/>
          <w:b/>
          <w:color w:val="0A2342"/>
          <w:sz w:val="23"/>
        </w:rPr>
        <w:t xml:space="preserve"> </w:t>
      </w:r>
      <w:r>
        <w:rPr>
          <w:rStyle w:val="VerbatimChar"/>
          <w:rFonts w:ascii="Noto Sans" w:hAnsi="Noto Sans" w:eastAsia="Noto Sans" w:cs="Noto Sans"/>
          <w:b/>
          <w:color w:val="0A2342"/>
          <w:sz w:val="23"/>
        </w:rPr>
        <w:t xml:space="preserve">tail()</w:t>
      </w:r>
      <w:r>
        <w:rPr>
          <w:rFonts w:ascii="Noto Sans" w:hAnsi="Noto Sans" w:eastAsia="Noto Sans" w:cs="Noto Sans"/>
          <w:b/>
          <w:color w:val="0A2342"/>
          <w:sz w:val="23"/>
        </w:rPr>
        <w:t xml:space="preserve"> </w:t>
      </w:r>
      <w:r>
        <w:rPr>
          <w:rFonts w:ascii="Noto Sans" w:hAnsi="Noto Sans" w:eastAsia="Noto Sans" w:cs="Noto Sans"/>
          <w:b/>
          <w:color w:val="0A2342"/>
          <w:sz w:val="23"/>
        </w:rPr>
        <w:t xml:space="preserve">to</w:t>
      </w:r>
      <w:r>
        <w:rPr>
          <w:rFonts w:ascii="Noto Sans" w:hAnsi="Noto Sans" w:eastAsia="Noto Sans" w:cs="Noto Sans"/>
          <w:b/>
          <w:color w:val="0A2342"/>
          <w:sz w:val="23"/>
        </w:rPr>
        <w:t xml:space="preserve"> </w:t>
      </w:r>
      <w:r>
        <w:rPr>
          <w:rStyle w:val="VerbatimChar"/>
          <w:rFonts w:ascii="Noto Sans" w:hAnsi="Noto Sans" w:eastAsia="Noto Sans" w:cs="Noto Sans"/>
          <w:b/>
          <w:color w:val="0A2342"/>
          <w:sz w:val="23"/>
        </w:rPr>
        <w:t xml:space="preserve">.head()</w:t>
      </w:r>
      <w:r>
        <w:rPr>
          <w:rFonts w:ascii="Noto Sans" w:hAnsi="Noto Sans" w:eastAsia="Noto Sans" w:cs="Noto Sans"/>
          <w:b/>
          <w:color w:val="0A2342"/>
          <w:sz w:val="23"/>
        </w:rPr>
        <w:t xml:space="preserve"> </w:t>
      </w:r>
      <w:r>
        <w:rPr>
          <w:rFonts w:ascii="Noto Sans" w:hAnsi="Noto Sans" w:eastAsia="Noto Sans" w:cs="Noto Sans"/>
          <w:b/>
          <w:color w:val="0A2342"/>
          <w:sz w:val="23"/>
        </w:rPr>
        <w:t xml:space="preserve">/</w:t>
      </w:r>
      <w:r>
        <w:rPr>
          <w:rFonts w:ascii="Noto Sans" w:hAnsi="Noto Sans" w:eastAsia="Noto Sans" w:cs="Noto Sans"/>
          <w:b/>
          <w:color w:val="0A2342"/>
          <w:sz w:val="23"/>
        </w:rPr>
        <w:t xml:space="preserve"> </w:t>
      </w:r>
      <w:r>
        <w:rPr>
          <w:rStyle w:val="VerbatimChar"/>
          <w:rFonts w:ascii="Noto Sans" w:hAnsi="Noto Sans" w:eastAsia="Noto Sans" w:cs="Noto Sans"/>
          <w:b/>
          <w:color w:val="0A2342"/>
          <w:sz w:val="23"/>
        </w:rPr>
        <w:t xml:space="preserve">.tail()</w:t>
      </w:r>
    </w:p>
    <w:p>
      <w:pPr>
        <w:pStyle w:val="FirstParagraph"/>
      </w:pPr>
      <w:r>
        <w:t xml:space="preserve">Methods belong to Series/DataFrame objects.</w:t>
      </w:r>
    </w:p>
    <w:bookmarkEnd w:id="744"/>
    <w:bookmarkStart w:id="745" w:name="dim-to-.shape"/>
    <w:p>
      <w:pPr>
        <w:pStyle w:val="Heading3"/>
        <w:keepNext/>
      </w:pPr>
      <w:r>
        <w:rPr>
          <w:rStyle w:val="SectionNumber"/>
          <w:rFonts w:ascii="Noto Sans" w:hAnsi="Noto Sans" w:eastAsia="Noto Sans" w:cs="Noto Sans"/>
          <w:b/>
          <w:color w:val="0A2342"/>
          <w:sz w:val="23"/>
        </w:rPr>
        <w:t xml:space="preserve">37.0.3</w:t>
      </w:r>
      <w:r>
        <w:rPr>
          <w:rFonts w:ascii="Noto Sans" w:hAnsi="Noto Sans" w:eastAsia="Noto Sans" w:cs="Noto Sans"/>
          <w:b/>
          <w:color w:val="0A2342"/>
          <w:sz w:val="23"/>
        </w:rPr>
        <w:tab/>
      </w:r>
      <w:r>
        <w:rPr>
          <w:rStyle w:val="VerbatimChar"/>
          <w:rFonts w:ascii="Noto Sans" w:hAnsi="Noto Sans" w:eastAsia="Noto Sans" w:cs="Noto Sans"/>
          <w:b/>
          <w:color w:val="0A2342"/>
          <w:sz w:val="23"/>
        </w:rPr>
        <w:t xml:space="preserve">dim()</w:t>
      </w:r>
      <w:r>
        <w:rPr>
          <w:rFonts w:ascii="Noto Sans" w:hAnsi="Noto Sans" w:eastAsia="Noto Sans" w:cs="Noto Sans"/>
          <w:b/>
          <w:color w:val="0A2342"/>
          <w:sz w:val="23"/>
        </w:rPr>
        <w:t xml:space="preserve"> </w:t>
      </w:r>
      <w:r>
        <w:rPr>
          <w:rFonts w:ascii="Noto Sans" w:hAnsi="Noto Sans" w:eastAsia="Noto Sans" w:cs="Noto Sans"/>
          <w:b/>
          <w:color w:val="0A2342"/>
          <w:sz w:val="23"/>
        </w:rPr>
        <w:t xml:space="preserve">to</w:t>
      </w:r>
      <w:r>
        <w:rPr>
          <w:rFonts w:ascii="Noto Sans" w:hAnsi="Noto Sans" w:eastAsia="Noto Sans" w:cs="Noto Sans"/>
          <w:b/>
          <w:color w:val="0A2342"/>
          <w:sz w:val="23"/>
        </w:rPr>
        <w:t xml:space="preserve"> </w:t>
      </w:r>
      <w:r>
        <w:rPr>
          <w:rStyle w:val="VerbatimChar"/>
          <w:rFonts w:ascii="Noto Sans" w:hAnsi="Noto Sans" w:eastAsia="Noto Sans" w:cs="Noto Sans"/>
          <w:b/>
          <w:color w:val="0A2342"/>
          <w:sz w:val="23"/>
        </w:rPr>
        <w:t xml:space="preserve">.shape</w:t>
      </w:r>
    </w:p>
    <w:p>
      <w:pPr>
        <w:pStyle w:val="FirstParagraph"/>
      </w:pPr>
      <w:r>
        <w:t xml:space="preserve">Attribute, not function call.</w:t>
      </w:r>
    </w:p>
    <w:bookmarkEnd w:id="745"/>
    <w:bookmarkStart w:id="746" w:name="Xfaf6d311853be13c618f567675dd721fe13c22d"/>
    <w:p>
      <w:pPr>
        <w:pStyle w:val="Heading3"/>
        <w:keepNext/>
      </w:pPr>
      <w:r>
        <w:rPr>
          <w:rStyle w:val="SectionNumber"/>
          <w:rFonts w:ascii="Noto Sans" w:hAnsi="Noto Sans" w:eastAsia="Noto Sans" w:cs="Noto Sans"/>
          <w:b/>
          <w:color w:val="0A2342"/>
          <w:sz w:val="23"/>
        </w:rPr>
        <w:t xml:space="preserve">37.0.4</w:t>
      </w:r>
      <w:r>
        <w:rPr>
          <w:rFonts w:ascii="Noto Sans" w:hAnsi="Noto Sans" w:eastAsia="Noto Sans" w:cs="Noto Sans"/>
          <w:b/>
          <w:color w:val="0A2342"/>
          <w:sz w:val="23"/>
        </w:rPr>
        <w:tab/>
      </w:r>
      <w:r>
        <w:rPr>
          <w:rFonts w:ascii="Noto Sans" w:hAnsi="Noto Sans" w:eastAsia="Noto Sans" w:cs="Noto Sans"/>
          <w:b/>
          <w:color w:val="0A2342"/>
          <w:sz w:val="23"/>
        </w:rPr>
        <w:t xml:space="preserve">R vector to list, NumPy array, or pandas Series</w:t>
      </w:r>
    </w:p>
    <w:p>
      <w:pPr>
        <w:pStyle w:val="FirstParagraph"/>
      </w:pPr>
      <w:r>
        <w:t xml:space="preserve">Choose structure according to labels and numerical operations.</w:t>
      </w:r>
    </w:p>
    <w:bookmarkEnd w:id="746"/>
    <w:bookmarkStart w:id="747" w:name="X2f4faefd883ea6fbe01b33e4f3f0874b3dff13b"/>
    <w:p>
      <w:pPr>
        <w:pStyle w:val="Heading3"/>
        <w:keepNext/>
      </w:pPr>
      <w:r>
        <w:rPr>
          <w:rStyle w:val="SectionNumber"/>
          <w:rFonts w:ascii="Noto Sans" w:hAnsi="Noto Sans" w:eastAsia="Noto Sans" w:cs="Noto Sans"/>
          <w:b/>
          <w:color w:val="0A2342"/>
          <w:sz w:val="23"/>
        </w:rPr>
        <w:t xml:space="preserve">37.0.5</w:t>
      </w:r>
      <w:r>
        <w:rPr>
          <w:rFonts w:ascii="Noto Sans" w:hAnsi="Noto Sans" w:eastAsia="Noto Sans" w:cs="Noto Sans"/>
          <w:b/>
          <w:color w:val="0A2342"/>
          <w:sz w:val="23"/>
        </w:rPr>
        <w:tab/>
      </w:r>
      <w:r>
        <w:rPr>
          <w:rStyle w:val="VerbatimChar"/>
          <w:rFonts w:ascii="Noto Sans" w:hAnsi="Noto Sans" w:eastAsia="Noto Sans" w:cs="Noto Sans"/>
          <w:b/>
          <w:color w:val="0A2342"/>
          <w:sz w:val="23"/>
        </w:rPr>
        <w:t xml:space="preserve">ts()</w:t>
      </w:r>
      <w:r>
        <w:rPr>
          <w:rFonts w:ascii="Noto Sans" w:hAnsi="Noto Sans" w:eastAsia="Noto Sans" w:cs="Noto Sans"/>
          <w:b/>
          <w:color w:val="0A2342"/>
          <w:sz w:val="23"/>
        </w:rPr>
        <w:t xml:space="preserve"> </w:t>
      </w:r>
      <w:r>
        <w:rPr>
          <w:rFonts w:ascii="Noto Sans" w:hAnsi="Noto Sans" w:eastAsia="Noto Sans" w:cs="Noto Sans"/>
          <w:b/>
          <w:color w:val="0A2342"/>
          <w:sz w:val="23"/>
        </w:rPr>
        <w:t xml:space="preserve">to pandas Series with DatetimeIndex/PeriodIndex</w:t>
      </w:r>
    </w:p>
    <w:p>
      <w:pPr>
        <w:pStyle w:val="FirstParagraph"/>
      </w:pPr>
      <w:r>
        <w:t xml:space="preserve">Frequency and calendar metadata are explicit.</w:t>
      </w:r>
    </w:p>
    <w:bookmarkEnd w:id="747"/>
    <w:bookmarkStart w:id="748" w:name="diff-to-.diff-or-numpy.diff"/>
    <w:p>
      <w:pPr>
        <w:pStyle w:val="Heading3"/>
        <w:keepNext/>
      </w:pPr>
      <w:r>
        <w:rPr>
          <w:rStyle w:val="SectionNumber"/>
          <w:rFonts w:ascii="Noto Sans" w:hAnsi="Noto Sans" w:eastAsia="Noto Sans" w:cs="Noto Sans"/>
          <w:b/>
          <w:color w:val="0A2342"/>
          <w:sz w:val="23"/>
        </w:rPr>
        <w:t xml:space="preserve">37.0.6</w:t>
      </w:r>
      <w:r>
        <w:rPr>
          <w:rFonts w:ascii="Noto Sans" w:hAnsi="Noto Sans" w:eastAsia="Noto Sans" w:cs="Noto Sans"/>
          <w:b/>
          <w:color w:val="0A2342"/>
          <w:sz w:val="23"/>
        </w:rPr>
        <w:tab/>
      </w:r>
      <w:r>
        <w:rPr>
          <w:rStyle w:val="VerbatimChar"/>
          <w:rFonts w:ascii="Noto Sans" w:hAnsi="Noto Sans" w:eastAsia="Noto Sans" w:cs="Noto Sans"/>
          <w:b/>
          <w:color w:val="0A2342"/>
          <w:sz w:val="23"/>
        </w:rPr>
        <w:t xml:space="preserve">diff()</w:t>
      </w:r>
      <w:r>
        <w:rPr>
          <w:rFonts w:ascii="Noto Sans" w:hAnsi="Noto Sans" w:eastAsia="Noto Sans" w:cs="Noto Sans"/>
          <w:b/>
          <w:color w:val="0A2342"/>
          <w:sz w:val="23"/>
        </w:rPr>
        <w:t xml:space="preserve"> </w:t>
      </w:r>
      <w:r>
        <w:rPr>
          <w:rFonts w:ascii="Noto Sans" w:hAnsi="Noto Sans" w:eastAsia="Noto Sans" w:cs="Noto Sans"/>
          <w:b/>
          <w:color w:val="0A2342"/>
          <w:sz w:val="23"/>
        </w:rPr>
        <w:t xml:space="preserve">to</w:t>
      </w:r>
      <w:r>
        <w:rPr>
          <w:rFonts w:ascii="Noto Sans" w:hAnsi="Noto Sans" w:eastAsia="Noto Sans" w:cs="Noto Sans"/>
          <w:b/>
          <w:color w:val="0A2342"/>
          <w:sz w:val="23"/>
        </w:rPr>
        <w:t xml:space="preserve"> </w:t>
      </w:r>
      <w:r>
        <w:rPr>
          <w:rStyle w:val="VerbatimChar"/>
          <w:rFonts w:ascii="Noto Sans" w:hAnsi="Noto Sans" w:eastAsia="Noto Sans" w:cs="Noto Sans"/>
          <w:b/>
          <w:color w:val="0A2342"/>
          <w:sz w:val="23"/>
        </w:rPr>
        <w:t xml:space="preserve">.diff()</w:t>
      </w:r>
      <w:r>
        <w:rPr>
          <w:rFonts w:ascii="Noto Sans" w:hAnsi="Noto Sans" w:eastAsia="Noto Sans" w:cs="Noto Sans"/>
          <w:b/>
          <w:color w:val="0A2342"/>
          <w:sz w:val="23"/>
        </w:rPr>
        <w:t xml:space="preserve"> </w:t>
      </w:r>
      <w:r>
        <w:rPr>
          <w:rFonts w:ascii="Noto Sans" w:hAnsi="Noto Sans" w:eastAsia="Noto Sans" w:cs="Noto Sans"/>
          <w:b/>
          <w:color w:val="0A2342"/>
          <w:sz w:val="23"/>
        </w:rPr>
        <w:t xml:space="preserve">or</w:t>
      </w:r>
      <w:r>
        <w:rPr>
          <w:rFonts w:ascii="Noto Sans" w:hAnsi="Noto Sans" w:eastAsia="Noto Sans" w:cs="Noto Sans"/>
          <w:b/>
          <w:color w:val="0A2342"/>
          <w:sz w:val="23"/>
        </w:rPr>
        <w:t xml:space="preserve"> </w:t>
      </w:r>
      <w:r>
        <w:rPr>
          <w:rStyle w:val="VerbatimChar"/>
          <w:rFonts w:ascii="Noto Sans" w:hAnsi="Noto Sans" w:eastAsia="Noto Sans" w:cs="Noto Sans"/>
          <w:b/>
          <w:color w:val="0A2342"/>
          <w:sz w:val="23"/>
        </w:rPr>
        <w:t xml:space="preserve">numpy.diff()</w:t>
      </w:r>
    </w:p>
    <w:p>
      <w:pPr>
        <w:pStyle w:val="FirstParagraph"/>
      </w:pPr>
      <w:r>
        <w:t xml:space="preserve">pandas preserves index and inserts missing first value.</w:t>
      </w:r>
    </w:p>
    <w:bookmarkEnd w:id="748"/>
    <w:bookmarkStart w:id="749" w:name="X09972e7e07bc4a32e9c6d6df8651e34922967ef"/>
    <w:p>
      <w:pPr>
        <w:pStyle w:val="Heading3"/>
        <w:keepNext/>
      </w:pPr>
      <w:r>
        <w:rPr>
          <w:rStyle w:val="SectionNumber"/>
          <w:rFonts w:ascii="Noto Sans" w:hAnsi="Noto Sans" w:eastAsia="Noto Sans" w:cs="Noto Sans"/>
          <w:b/>
          <w:color w:val="0A2342"/>
          <w:sz w:val="23"/>
        </w:rPr>
        <w:t xml:space="preserve">37.0.7</w:t>
      </w:r>
      <w:r>
        <w:rPr>
          <w:rFonts w:ascii="Noto Sans" w:hAnsi="Noto Sans" w:eastAsia="Noto Sans" w:cs="Noto Sans"/>
          <w:b/>
          <w:color w:val="0A2342"/>
          <w:sz w:val="23"/>
        </w:rPr>
        <w:tab/>
      </w:r>
      <w:r>
        <w:rPr>
          <w:rStyle w:val="VerbatimChar"/>
          <w:rFonts w:ascii="Noto Sans" w:hAnsi="Noto Sans" w:eastAsia="Noto Sans" w:cs="Noto Sans"/>
          <w:b/>
          <w:color w:val="0A2342"/>
          <w:sz w:val="23"/>
        </w:rPr>
        <w:t xml:space="preserve">acf()</w:t>
      </w:r>
      <w:r>
        <w:rPr>
          <w:rFonts w:ascii="Noto Sans" w:hAnsi="Noto Sans" w:eastAsia="Noto Sans" w:cs="Noto Sans"/>
          <w:b/>
          <w:color w:val="0A2342"/>
          <w:sz w:val="23"/>
        </w:rPr>
        <w:t xml:space="preserve"> </w:t>
      </w:r>
      <w:r>
        <w:rPr>
          <w:rFonts w:ascii="Noto Sans" w:hAnsi="Noto Sans" w:eastAsia="Noto Sans" w:cs="Noto Sans"/>
          <w:b/>
          <w:color w:val="0A2342"/>
          <w:sz w:val="23"/>
        </w:rPr>
        <w:t xml:space="preserve">/</w:t>
      </w:r>
      <w:r>
        <w:rPr>
          <w:rFonts w:ascii="Noto Sans" w:hAnsi="Noto Sans" w:eastAsia="Noto Sans" w:cs="Noto Sans"/>
          <w:b/>
          <w:color w:val="0A2342"/>
          <w:sz w:val="23"/>
        </w:rPr>
        <w:t xml:space="preserve"> </w:t>
      </w:r>
      <w:r>
        <w:rPr>
          <w:rStyle w:val="VerbatimChar"/>
          <w:rFonts w:ascii="Noto Sans" w:hAnsi="Noto Sans" w:eastAsia="Noto Sans" w:cs="Noto Sans"/>
          <w:b/>
          <w:color w:val="0A2342"/>
          <w:sz w:val="23"/>
        </w:rPr>
        <w:t xml:space="preserve">pacf()</w:t>
      </w:r>
      <w:r>
        <w:rPr>
          <w:rFonts w:ascii="Noto Sans" w:hAnsi="Noto Sans" w:eastAsia="Noto Sans" w:cs="Noto Sans"/>
          <w:b/>
          <w:color w:val="0A2342"/>
          <w:sz w:val="23"/>
        </w:rPr>
        <w:t xml:space="preserve"> </w:t>
      </w:r>
      <w:r>
        <w:rPr>
          <w:rFonts w:ascii="Noto Sans" w:hAnsi="Noto Sans" w:eastAsia="Noto Sans" w:cs="Noto Sans"/>
          <w:b/>
          <w:color w:val="0A2342"/>
          <w:sz w:val="23"/>
        </w:rPr>
        <w:t xml:space="preserve">to</w:t>
      </w:r>
      <w:r>
        <w:rPr>
          <w:rFonts w:ascii="Noto Sans" w:hAnsi="Noto Sans" w:eastAsia="Noto Sans" w:cs="Noto Sans"/>
          <w:b/>
          <w:color w:val="0A2342"/>
          <w:sz w:val="23"/>
        </w:rPr>
        <w:t xml:space="preserve"> </w:t>
      </w:r>
      <w:r>
        <w:rPr>
          <w:rStyle w:val="VerbatimChar"/>
          <w:rFonts w:ascii="Noto Sans" w:hAnsi="Noto Sans" w:eastAsia="Noto Sans" w:cs="Noto Sans"/>
          <w:b/>
          <w:color w:val="0A2342"/>
          <w:sz w:val="23"/>
        </w:rPr>
        <w:t xml:space="preserve">statsmodels.tsa.stattools.acf/pacf</w:t>
      </w:r>
    </w:p>
    <w:p>
      <w:pPr>
        <w:pStyle w:val="FirstParagraph"/>
      </w:pPr>
      <w:r>
        <w:t xml:space="preserve">Default estimators and confidence intervals can differ.</w:t>
      </w:r>
    </w:p>
    <w:bookmarkEnd w:id="749"/>
    <w:bookmarkStart w:id="750" w:name="box.test...-typeljung-to-acorr_ljungbox"/>
    <w:p>
      <w:pPr>
        <w:pStyle w:val="Heading3"/>
        <w:keepNext/>
      </w:pPr>
      <w:r>
        <w:rPr>
          <w:rStyle w:val="SectionNumber"/>
          <w:rFonts w:ascii="Noto Sans" w:hAnsi="Noto Sans" w:eastAsia="Noto Sans" w:cs="Noto Sans"/>
          <w:b/>
          <w:color w:val="0A2342"/>
          <w:sz w:val="23"/>
        </w:rPr>
        <w:t xml:space="preserve">37.0.8</w:t>
      </w:r>
      <w:r>
        <w:rPr>
          <w:rFonts w:ascii="Noto Sans" w:hAnsi="Noto Sans" w:eastAsia="Noto Sans" w:cs="Noto Sans"/>
          <w:b/>
          <w:color w:val="0A2342"/>
          <w:sz w:val="23"/>
        </w:rPr>
        <w:tab/>
      </w:r>
      <w:r>
        <w:rPr>
          <w:rStyle w:val="VerbatimChar"/>
          <w:rFonts w:ascii="Noto Sans" w:hAnsi="Noto Sans" w:eastAsia="Noto Sans" w:cs="Noto Sans"/>
          <w:b/>
          <w:color w:val="0A2342"/>
          <w:sz w:val="23"/>
        </w:rPr>
        <w:t xml:space="preserve">Box.test(..., type="Ljung")</w:t>
      </w:r>
      <w:r>
        <w:rPr>
          <w:rFonts w:ascii="Noto Sans" w:hAnsi="Noto Sans" w:eastAsia="Noto Sans" w:cs="Noto Sans"/>
          <w:b/>
          <w:color w:val="0A2342"/>
          <w:sz w:val="23"/>
        </w:rPr>
        <w:t xml:space="preserve"> </w:t>
      </w:r>
      <w:r>
        <w:rPr>
          <w:rFonts w:ascii="Noto Sans" w:hAnsi="Noto Sans" w:eastAsia="Noto Sans" w:cs="Noto Sans"/>
          <w:b/>
          <w:color w:val="0A2342"/>
          <w:sz w:val="23"/>
        </w:rPr>
        <w:t xml:space="preserve">to</w:t>
      </w:r>
      <w:r>
        <w:rPr>
          <w:rFonts w:ascii="Noto Sans" w:hAnsi="Noto Sans" w:eastAsia="Noto Sans" w:cs="Noto Sans"/>
          <w:b/>
          <w:color w:val="0A2342"/>
          <w:sz w:val="23"/>
        </w:rPr>
        <w:t xml:space="preserve"> </w:t>
      </w:r>
      <w:r>
        <w:rPr>
          <w:rStyle w:val="VerbatimChar"/>
          <w:rFonts w:ascii="Noto Sans" w:hAnsi="Noto Sans" w:eastAsia="Noto Sans" w:cs="Noto Sans"/>
          <w:b/>
          <w:color w:val="0A2342"/>
          <w:sz w:val="23"/>
        </w:rPr>
        <w:t xml:space="preserve">acorr_ljungbox()</w:t>
      </w:r>
    </w:p>
    <w:p>
      <w:pPr>
        <w:pStyle w:val="FirstParagraph"/>
      </w:pPr>
      <w:r>
        <w:t xml:space="preserve">Account for fitted-model degrees of freedom.</w:t>
      </w:r>
    </w:p>
    <w:bookmarkEnd w:id="750"/>
    <w:bookmarkStart w:id="751" w:name="X4469da059367247c47cc75c8df71c26b5c16e3c"/>
    <w:p>
      <w:pPr>
        <w:pStyle w:val="Heading3"/>
        <w:keepNext/>
      </w:pPr>
      <w:r>
        <w:rPr>
          <w:rStyle w:val="SectionNumber"/>
          <w:rFonts w:ascii="Noto Sans" w:hAnsi="Noto Sans" w:eastAsia="Noto Sans" w:cs="Noto Sans"/>
          <w:b/>
          <w:color w:val="0A2342"/>
          <w:sz w:val="23"/>
        </w:rPr>
        <w:t xml:space="preserve">37.0.9</w:t>
      </w:r>
      <w:r>
        <w:rPr>
          <w:rFonts w:ascii="Noto Sans" w:hAnsi="Noto Sans" w:eastAsia="Noto Sans" w:cs="Noto Sans"/>
          <w:b/>
          <w:color w:val="0A2342"/>
          <w:sz w:val="23"/>
        </w:rPr>
        <w:tab/>
      </w:r>
      <w:r>
        <w:rPr>
          <w:rStyle w:val="VerbatimChar"/>
          <w:rFonts w:ascii="Noto Sans" w:hAnsi="Noto Sans" w:eastAsia="Noto Sans" w:cs="Noto Sans"/>
          <w:b/>
          <w:color w:val="0A2342"/>
          <w:sz w:val="23"/>
        </w:rPr>
        <w:t xml:space="preserve">lm()</w:t>
      </w:r>
      <w:r>
        <w:rPr>
          <w:rFonts w:ascii="Noto Sans" w:hAnsi="Noto Sans" w:eastAsia="Noto Sans" w:cs="Noto Sans"/>
          <w:b/>
          <w:color w:val="0A2342"/>
          <w:sz w:val="23"/>
        </w:rPr>
        <w:t xml:space="preserve"> </w:t>
      </w:r>
      <w:r>
        <w:rPr>
          <w:rFonts w:ascii="Noto Sans" w:hAnsi="Noto Sans" w:eastAsia="Noto Sans" w:cs="Noto Sans"/>
          <w:b/>
          <w:color w:val="0A2342"/>
          <w:sz w:val="23"/>
        </w:rPr>
        <w:t xml:space="preserve">to</w:t>
      </w:r>
      <w:r>
        <w:rPr>
          <w:rFonts w:ascii="Noto Sans" w:hAnsi="Noto Sans" w:eastAsia="Noto Sans" w:cs="Noto Sans"/>
          <w:b/>
          <w:color w:val="0A2342"/>
          <w:sz w:val="23"/>
        </w:rPr>
        <w:t xml:space="preserve"> </w:t>
      </w:r>
      <w:r>
        <w:rPr>
          <w:rStyle w:val="VerbatimChar"/>
          <w:rFonts w:ascii="Noto Sans" w:hAnsi="Noto Sans" w:eastAsia="Noto Sans" w:cs="Noto Sans"/>
          <w:b/>
          <w:color w:val="0A2342"/>
          <w:sz w:val="23"/>
        </w:rPr>
        <w:t xml:space="preserve">statsmodels</w:t>
      </w:r>
      <w:r>
        <w:rPr>
          <w:rFonts w:ascii="Noto Sans" w:hAnsi="Noto Sans" w:eastAsia="Noto Sans" w:cs="Noto Sans"/>
          <w:b/>
          <w:color w:val="0A2342"/>
          <w:sz w:val="23"/>
        </w:rPr>
        <w:t xml:space="preserve"> </w:t>
      </w:r>
      <w:r>
        <w:rPr>
          <w:rFonts w:ascii="Noto Sans" w:hAnsi="Noto Sans" w:eastAsia="Noto Sans" w:cs="Noto Sans"/>
          <w:b/>
          <w:color w:val="0A2342"/>
          <w:sz w:val="23"/>
        </w:rPr>
        <w:t xml:space="preserve">OLS or scikit-learn regression</w:t>
      </w:r>
    </w:p>
    <w:p>
      <w:pPr>
        <w:pStyle w:val="FirstParagraph"/>
      </w:pPr>
      <w:r>
        <w:t xml:space="preserve">Choose inference or prediction objective.</w:t>
      </w:r>
    </w:p>
    <w:bookmarkEnd w:id="751"/>
    <w:bookmarkStart w:id="752" w:name="Xde00567dd29a489ca7a6a60166a4f4a2100fa60"/>
    <w:p>
      <w:pPr>
        <w:pStyle w:val="Heading3"/>
        <w:keepNext/>
      </w:pPr>
      <w:r>
        <w:rPr>
          <w:rStyle w:val="SectionNumber"/>
          <w:rFonts w:ascii="Noto Sans" w:hAnsi="Noto Sans" w:eastAsia="Noto Sans" w:cs="Noto Sans"/>
          <w:b/>
          <w:color w:val="0A2342"/>
          <w:sz w:val="23"/>
        </w:rPr>
        <w:t xml:space="preserve">37.0.10</w:t>
      </w:r>
      <w:r>
        <w:rPr>
          <w:rFonts w:ascii="Noto Sans" w:hAnsi="Noto Sans" w:eastAsia="Noto Sans" w:cs="Noto Sans"/>
          <w:b/>
          <w:color w:val="0A2342"/>
          <w:sz w:val="23"/>
        </w:rPr>
        <w:tab/>
      </w:r>
      <w:r>
        <w:rPr>
          <w:rStyle w:val="VerbatimChar"/>
          <w:rFonts w:ascii="Noto Sans" w:hAnsi="Noto Sans" w:eastAsia="Noto Sans" w:cs="Noto Sans"/>
          <w:b/>
          <w:color w:val="0A2342"/>
          <w:sz w:val="23"/>
        </w:rPr>
        <w:t xml:space="preserve">arima()</w:t>
      </w:r>
      <w:r>
        <w:rPr>
          <w:rFonts w:ascii="Noto Sans" w:hAnsi="Noto Sans" w:eastAsia="Noto Sans" w:cs="Noto Sans"/>
          <w:b/>
          <w:color w:val="0A2342"/>
          <w:sz w:val="23"/>
        </w:rPr>
        <w:t xml:space="preserve"> </w:t>
      </w:r>
      <w:r>
        <w:rPr>
          <w:rFonts w:ascii="Noto Sans" w:hAnsi="Noto Sans" w:eastAsia="Noto Sans" w:cs="Noto Sans"/>
          <w:b/>
          <w:color w:val="0A2342"/>
          <w:sz w:val="23"/>
        </w:rPr>
        <w:t xml:space="preserve">to</w:t>
      </w:r>
      <w:r>
        <w:rPr>
          <w:rFonts w:ascii="Noto Sans" w:hAnsi="Noto Sans" w:eastAsia="Noto Sans" w:cs="Noto Sans"/>
          <w:b/>
          <w:color w:val="0A2342"/>
          <w:sz w:val="23"/>
        </w:rPr>
        <w:t xml:space="preserve"> </w:t>
      </w:r>
      <w:r>
        <w:rPr>
          <w:rStyle w:val="VerbatimChar"/>
          <w:rFonts w:ascii="Noto Sans" w:hAnsi="Noto Sans" w:eastAsia="Noto Sans" w:cs="Noto Sans"/>
          <w:b/>
          <w:color w:val="0A2342"/>
          <w:sz w:val="23"/>
        </w:rPr>
        <w:t xml:space="preserve">statsmodels.tsa.arima.model.ARIMA</w:t>
      </w:r>
    </w:p>
    <w:p>
      <w:pPr>
        <w:pStyle w:val="FirstParagraph"/>
      </w:pPr>
      <w:r>
        <w:t xml:space="preserve">Intercept, trend, and MA-sign conventions require checking.</w:t>
      </w:r>
    </w:p>
    <w:bookmarkEnd w:id="752"/>
    <w:bookmarkStart w:id="753" w:name="arima.sim-to-armaprocess.generate_sample"/>
    <w:p>
      <w:pPr>
        <w:pStyle w:val="Heading3"/>
        <w:keepNext/>
      </w:pPr>
      <w:r>
        <w:rPr>
          <w:rStyle w:val="SectionNumber"/>
          <w:rFonts w:ascii="Noto Sans" w:hAnsi="Noto Sans" w:eastAsia="Noto Sans" w:cs="Noto Sans"/>
          <w:b/>
          <w:color w:val="0A2342"/>
          <w:sz w:val="23"/>
        </w:rPr>
        <w:t xml:space="preserve">37.0.11</w:t>
      </w:r>
      <w:r>
        <w:rPr>
          <w:rFonts w:ascii="Noto Sans" w:hAnsi="Noto Sans" w:eastAsia="Noto Sans" w:cs="Noto Sans"/>
          <w:b/>
          <w:color w:val="0A2342"/>
          <w:sz w:val="23"/>
        </w:rPr>
        <w:tab/>
      </w:r>
      <w:r>
        <w:rPr>
          <w:rStyle w:val="VerbatimChar"/>
          <w:rFonts w:ascii="Noto Sans" w:hAnsi="Noto Sans" w:eastAsia="Noto Sans" w:cs="Noto Sans"/>
          <w:b/>
          <w:color w:val="0A2342"/>
          <w:sz w:val="23"/>
        </w:rPr>
        <w:t xml:space="preserve">arima.sim()</w:t>
      </w:r>
      <w:r>
        <w:rPr>
          <w:rFonts w:ascii="Noto Sans" w:hAnsi="Noto Sans" w:eastAsia="Noto Sans" w:cs="Noto Sans"/>
          <w:b/>
          <w:color w:val="0A2342"/>
          <w:sz w:val="23"/>
        </w:rPr>
        <w:t xml:space="preserve"> </w:t>
      </w:r>
      <w:r>
        <w:rPr>
          <w:rFonts w:ascii="Noto Sans" w:hAnsi="Noto Sans" w:eastAsia="Noto Sans" w:cs="Noto Sans"/>
          <w:b/>
          <w:color w:val="0A2342"/>
          <w:sz w:val="23"/>
        </w:rPr>
        <w:t xml:space="preserve">to</w:t>
      </w:r>
      <w:r>
        <w:rPr>
          <w:rFonts w:ascii="Noto Sans" w:hAnsi="Noto Sans" w:eastAsia="Noto Sans" w:cs="Noto Sans"/>
          <w:b/>
          <w:color w:val="0A2342"/>
          <w:sz w:val="23"/>
        </w:rPr>
        <w:t xml:space="preserve"> </w:t>
      </w:r>
      <w:r>
        <w:rPr>
          <w:rStyle w:val="VerbatimChar"/>
          <w:rFonts w:ascii="Noto Sans" w:hAnsi="Noto Sans" w:eastAsia="Noto Sans" w:cs="Noto Sans"/>
          <w:b/>
          <w:color w:val="0A2342"/>
          <w:sz w:val="23"/>
        </w:rPr>
        <w:t xml:space="preserve">ArmaProcess.generate_sample()</w:t>
      </w:r>
    </w:p>
    <w:p>
      <w:pPr>
        <w:pStyle w:val="FirstParagraph"/>
      </w:pPr>
      <w:r>
        <w:t xml:space="preserve">AR/MA polynomial signs follow statsmodels convention.</w:t>
      </w:r>
    </w:p>
    <w:bookmarkEnd w:id="753"/>
    <w:bookmarkStart w:id="754" w:name="Xd2873f26e9844875e543022dd0c858ba18fc550"/>
    <w:p>
      <w:pPr>
        <w:pStyle w:val="Heading3"/>
        <w:keepNext/>
      </w:pPr>
      <w:r>
        <w:rPr>
          <w:rStyle w:val="SectionNumber"/>
          <w:rFonts w:ascii="Noto Sans" w:hAnsi="Noto Sans" w:eastAsia="Noto Sans" w:cs="Noto Sans"/>
          <w:b/>
          <w:color w:val="0A2342"/>
          <w:sz w:val="23"/>
        </w:rPr>
        <w:t xml:space="preserve">37.0.12</w:t>
      </w:r>
      <w:r>
        <w:rPr>
          <w:rFonts w:ascii="Noto Sans" w:hAnsi="Noto Sans" w:eastAsia="Noto Sans" w:cs="Noto Sans"/>
          <w:b/>
          <w:color w:val="0A2342"/>
          <w:sz w:val="23"/>
        </w:rPr>
        <w:tab/>
      </w:r>
      <w:r>
        <w:rPr>
          <w:rStyle w:val="VerbatimChar"/>
          <w:rFonts w:ascii="Noto Sans" w:hAnsi="Noto Sans" w:eastAsia="Noto Sans" w:cs="Noto Sans"/>
          <w:b/>
          <w:color w:val="0A2342"/>
          <w:sz w:val="23"/>
        </w:rPr>
        <w:t xml:space="preserve">garchFit()</w:t>
      </w:r>
      <w:r>
        <w:rPr>
          <w:rFonts w:ascii="Noto Sans" w:hAnsi="Noto Sans" w:eastAsia="Noto Sans" w:cs="Noto Sans"/>
          <w:b/>
          <w:color w:val="0A2342"/>
          <w:sz w:val="23"/>
        </w:rPr>
        <w:t xml:space="preserve"> </w:t>
      </w:r>
      <w:r>
        <w:rPr>
          <w:rFonts w:ascii="Noto Sans" w:hAnsi="Noto Sans" w:eastAsia="Noto Sans" w:cs="Noto Sans"/>
          <w:b/>
          <w:color w:val="0A2342"/>
          <w:sz w:val="23"/>
        </w:rPr>
        <w:t xml:space="preserve">to</w:t>
      </w:r>
      <w:r>
        <w:rPr>
          <w:rFonts w:ascii="Noto Sans" w:hAnsi="Noto Sans" w:eastAsia="Noto Sans" w:cs="Noto Sans"/>
          <w:b/>
          <w:color w:val="0A2342"/>
          <w:sz w:val="23"/>
        </w:rPr>
        <w:t xml:space="preserve"> </w:t>
      </w:r>
      <w:r>
        <w:rPr>
          <w:rStyle w:val="VerbatimChar"/>
          <w:rFonts w:ascii="Noto Sans" w:hAnsi="Noto Sans" w:eastAsia="Noto Sans" w:cs="Noto Sans"/>
          <w:b/>
          <w:color w:val="0A2342"/>
          <w:sz w:val="23"/>
        </w:rPr>
        <w:t xml:space="preserve">arch</w:t>
      </w:r>
      <w:r>
        <w:rPr>
          <w:rFonts w:ascii="Noto Sans" w:hAnsi="Noto Sans" w:eastAsia="Noto Sans" w:cs="Noto Sans"/>
          <w:b/>
          <w:color w:val="0A2342"/>
          <w:sz w:val="23"/>
        </w:rPr>
        <w:t xml:space="preserve"> </w:t>
      </w:r>
      <w:r>
        <w:rPr>
          <w:rFonts w:ascii="Noto Sans" w:hAnsi="Noto Sans" w:eastAsia="Noto Sans" w:cs="Noto Sans"/>
          <w:b/>
          <w:color w:val="0A2342"/>
          <w:sz w:val="23"/>
        </w:rPr>
        <w:t xml:space="preserve">package or transparent MLE</w:t>
      </w:r>
    </w:p>
    <w:p>
      <w:pPr>
        <w:pStyle w:val="FirstParagraph"/>
      </w:pPr>
      <w:r>
        <w:t xml:space="preserve">Return scaling and standardized Student-t definitions differ.</w:t>
      </w:r>
    </w:p>
    <w:bookmarkEnd w:id="754"/>
    <w:bookmarkStart w:id="755" w:name="X5f75a78d58366821ad6e9d17248f8964d3da7ef"/>
    <w:p>
      <w:pPr>
        <w:pStyle w:val="Heading3"/>
        <w:keepNext/>
      </w:pPr>
      <w:r>
        <w:rPr>
          <w:rStyle w:val="SectionNumber"/>
          <w:rFonts w:ascii="Noto Sans" w:hAnsi="Noto Sans" w:eastAsia="Noto Sans" w:cs="Noto Sans"/>
          <w:b/>
          <w:color w:val="0A2342"/>
          <w:sz w:val="23"/>
        </w:rPr>
        <w:t xml:space="preserve">37.0.13</w:t>
      </w:r>
      <w:r>
        <w:rPr>
          <w:rFonts w:ascii="Noto Sans" w:hAnsi="Noto Sans" w:eastAsia="Noto Sans" w:cs="Noto Sans"/>
          <w:b/>
          <w:color w:val="0A2342"/>
          <w:sz w:val="23"/>
        </w:rPr>
        <w:tab/>
      </w:r>
      <w:r>
        <w:rPr>
          <w:rStyle w:val="VerbatimChar"/>
          <w:rFonts w:ascii="Noto Sans" w:hAnsi="Noto Sans" w:eastAsia="Noto Sans" w:cs="Noto Sans"/>
          <w:b/>
          <w:color w:val="0A2342"/>
          <w:sz w:val="23"/>
        </w:rPr>
        <w:t xml:space="preserve">polr(..., method="probit")</w:t>
      </w:r>
      <w:r>
        <w:rPr>
          <w:rFonts w:ascii="Noto Sans" w:hAnsi="Noto Sans" w:eastAsia="Noto Sans" w:cs="Noto Sans"/>
          <w:b/>
          <w:color w:val="0A2342"/>
          <w:sz w:val="23"/>
        </w:rPr>
        <w:t xml:space="preserve"> </w:t>
      </w:r>
      <w:r>
        <w:rPr>
          <w:rFonts w:ascii="Noto Sans" w:hAnsi="Noto Sans" w:eastAsia="Noto Sans" w:cs="Noto Sans"/>
          <w:b/>
          <w:color w:val="0A2342"/>
          <w:sz w:val="23"/>
        </w:rPr>
        <w:t xml:space="preserve">to</w:t>
      </w:r>
      <w:r>
        <w:rPr>
          <w:rFonts w:ascii="Noto Sans" w:hAnsi="Noto Sans" w:eastAsia="Noto Sans" w:cs="Noto Sans"/>
          <w:b/>
          <w:color w:val="0A2342"/>
          <w:sz w:val="23"/>
        </w:rPr>
        <w:t xml:space="preserve"> </w:t>
      </w:r>
      <w:r>
        <w:rPr>
          <w:rStyle w:val="VerbatimChar"/>
          <w:rFonts w:ascii="Noto Sans" w:hAnsi="Noto Sans" w:eastAsia="Noto Sans" w:cs="Noto Sans"/>
          <w:b/>
          <w:color w:val="0A2342"/>
          <w:sz w:val="23"/>
        </w:rPr>
        <w:t xml:space="preserve">OrderedModel(..., distr="probit")</w:t>
      </w:r>
    </w:p>
    <w:p>
      <w:pPr>
        <w:pStyle w:val="FirstParagraph"/>
      </w:pPr>
      <w:r>
        <w:t xml:space="preserve">Threshold parameterization and exogenous constants differ.</w:t>
      </w:r>
    </w:p>
    <w:bookmarkEnd w:id="755"/>
    <w:bookmarkStart w:id="756" w:name="qnorm-qt-to-scipy.stats.norm.ppf-t.ppf"/>
    <w:p>
      <w:pPr>
        <w:pStyle w:val="Heading3"/>
        <w:keepNext/>
      </w:pPr>
      <w:r>
        <w:rPr>
          <w:rStyle w:val="SectionNumber"/>
          <w:rFonts w:ascii="Noto Sans" w:hAnsi="Noto Sans" w:eastAsia="Noto Sans" w:cs="Noto Sans"/>
          <w:b/>
          <w:color w:val="0A2342"/>
          <w:sz w:val="23"/>
        </w:rPr>
        <w:t xml:space="preserve">37.0.14</w:t>
      </w:r>
      <w:r>
        <w:rPr>
          <w:rFonts w:ascii="Noto Sans" w:hAnsi="Noto Sans" w:eastAsia="Noto Sans" w:cs="Noto Sans"/>
          <w:b/>
          <w:color w:val="0A2342"/>
          <w:sz w:val="23"/>
        </w:rPr>
        <w:tab/>
      </w:r>
      <w:r>
        <w:rPr>
          <w:rStyle w:val="VerbatimChar"/>
          <w:rFonts w:ascii="Noto Sans" w:hAnsi="Noto Sans" w:eastAsia="Noto Sans" w:cs="Noto Sans"/>
          <w:b/>
          <w:color w:val="0A2342"/>
          <w:sz w:val="23"/>
        </w:rPr>
        <w:t xml:space="preserve">qnorm()</w:t>
      </w:r>
      <w:r>
        <w:rPr>
          <w:rFonts w:ascii="Noto Sans" w:hAnsi="Noto Sans" w:eastAsia="Noto Sans" w:cs="Noto Sans"/>
          <w:b/>
          <w:color w:val="0A2342"/>
          <w:sz w:val="23"/>
        </w:rPr>
        <w:t xml:space="preserve"> </w:t>
      </w:r>
      <w:r>
        <w:rPr>
          <w:rFonts w:ascii="Noto Sans" w:hAnsi="Noto Sans" w:eastAsia="Noto Sans" w:cs="Noto Sans"/>
          <w:b/>
          <w:color w:val="0A2342"/>
          <w:sz w:val="23"/>
        </w:rPr>
        <w:t xml:space="preserve">/</w:t>
      </w:r>
      <w:r>
        <w:rPr>
          <w:rFonts w:ascii="Noto Sans" w:hAnsi="Noto Sans" w:eastAsia="Noto Sans" w:cs="Noto Sans"/>
          <w:b/>
          <w:color w:val="0A2342"/>
          <w:sz w:val="23"/>
        </w:rPr>
        <w:t xml:space="preserve"> </w:t>
      </w:r>
      <w:r>
        <w:rPr>
          <w:rStyle w:val="VerbatimChar"/>
          <w:rFonts w:ascii="Noto Sans" w:hAnsi="Noto Sans" w:eastAsia="Noto Sans" w:cs="Noto Sans"/>
          <w:b/>
          <w:color w:val="0A2342"/>
          <w:sz w:val="23"/>
        </w:rPr>
        <w:t xml:space="preserve">qt()</w:t>
      </w:r>
      <w:r>
        <w:rPr>
          <w:rFonts w:ascii="Noto Sans" w:hAnsi="Noto Sans" w:eastAsia="Noto Sans" w:cs="Noto Sans"/>
          <w:b/>
          <w:color w:val="0A2342"/>
          <w:sz w:val="23"/>
        </w:rPr>
        <w:t xml:space="preserve"> </w:t>
      </w:r>
      <w:r>
        <w:rPr>
          <w:rFonts w:ascii="Noto Sans" w:hAnsi="Noto Sans" w:eastAsia="Noto Sans" w:cs="Noto Sans"/>
          <w:b/>
          <w:color w:val="0A2342"/>
          <w:sz w:val="23"/>
        </w:rPr>
        <w:t xml:space="preserve">to</w:t>
      </w:r>
      <w:r>
        <w:rPr>
          <w:rFonts w:ascii="Noto Sans" w:hAnsi="Noto Sans" w:eastAsia="Noto Sans" w:cs="Noto Sans"/>
          <w:b/>
          <w:color w:val="0A2342"/>
          <w:sz w:val="23"/>
        </w:rPr>
        <w:t xml:space="preserve"> </w:t>
      </w:r>
      <w:r>
        <w:rPr>
          <w:rStyle w:val="VerbatimChar"/>
          <w:rFonts w:ascii="Noto Sans" w:hAnsi="Noto Sans" w:eastAsia="Noto Sans" w:cs="Noto Sans"/>
          <w:b/>
          <w:color w:val="0A2342"/>
          <w:sz w:val="23"/>
        </w:rPr>
        <w:t xml:space="preserve">scipy.stats.norm.ppf()</w:t>
      </w:r>
      <w:r>
        <w:rPr>
          <w:rFonts w:ascii="Noto Sans" w:hAnsi="Noto Sans" w:eastAsia="Noto Sans" w:cs="Noto Sans"/>
          <w:b/>
          <w:color w:val="0A2342"/>
          <w:sz w:val="23"/>
        </w:rPr>
        <w:t xml:space="preserve"> </w:t>
      </w:r>
      <w:r>
        <w:rPr>
          <w:rFonts w:ascii="Noto Sans" w:hAnsi="Noto Sans" w:eastAsia="Noto Sans" w:cs="Noto Sans"/>
          <w:b/>
          <w:color w:val="0A2342"/>
          <w:sz w:val="23"/>
        </w:rPr>
        <w:t xml:space="preserve">/</w:t>
      </w:r>
      <w:r>
        <w:rPr>
          <w:rFonts w:ascii="Noto Sans" w:hAnsi="Noto Sans" w:eastAsia="Noto Sans" w:cs="Noto Sans"/>
          <w:b/>
          <w:color w:val="0A2342"/>
          <w:sz w:val="23"/>
        </w:rPr>
        <w:t xml:space="preserve"> </w:t>
      </w:r>
      <w:r>
        <w:rPr>
          <w:rStyle w:val="VerbatimChar"/>
          <w:rFonts w:ascii="Noto Sans" w:hAnsi="Noto Sans" w:eastAsia="Noto Sans" w:cs="Noto Sans"/>
          <w:b/>
          <w:color w:val="0A2342"/>
          <w:sz w:val="23"/>
        </w:rPr>
        <w:t xml:space="preserve">t.ppf()</w:t>
      </w:r>
    </w:p>
    <w:p>
      <w:pPr>
        <w:pStyle w:val="FirstParagraph"/>
      </w:pPr>
      <w:r>
        <w:t xml:space="preserve">Standardized Student-t requires an explicit variance adjustment.</w:t>
      </w:r>
    </w:p>
    <w:bookmarkEnd w:id="756"/>
    <w:bookmarkStart w:id="757" w:name="rnorm-to-numpy.random.generator.normal"/>
    <w:p>
      <w:pPr>
        <w:pStyle w:val="Heading3"/>
        <w:keepNext/>
      </w:pPr>
      <w:r>
        <w:rPr>
          <w:rStyle w:val="SectionNumber"/>
          <w:rFonts w:ascii="Noto Sans" w:hAnsi="Noto Sans" w:eastAsia="Noto Sans" w:cs="Noto Sans"/>
          <w:b/>
          <w:color w:val="0A2342"/>
          <w:sz w:val="23"/>
        </w:rPr>
        <w:t xml:space="preserve">37.0.15</w:t>
      </w:r>
      <w:r>
        <w:rPr>
          <w:rFonts w:ascii="Noto Sans" w:hAnsi="Noto Sans" w:eastAsia="Noto Sans" w:cs="Noto Sans"/>
          <w:b/>
          <w:color w:val="0A2342"/>
          <w:sz w:val="23"/>
        </w:rPr>
        <w:tab/>
      </w:r>
      <w:r>
        <w:rPr>
          <w:rStyle w:val="VerbatimChar"/>
          <w:rFonts w:ascii="Noto Sans" w:hAnsi="Noto Sans" w:eastAsia="Noto Sans" w:cs="Noto Sans"/>
          <w:b/>
          <w:color w:val="0A2342"/>
          <w:sz w:val="23"/>
        </w:rPr>
        <w:t xml:space="preserve">rnorm()</w:t>
      </w:r>
      <w:r>
        <w:rPr>
          <w:rFonts w:ascii="Noto Sans" w:hAnsi="Noto Sans" w:eastAsia="Noto Sans" w:cs="Noto Sans"/>
          <w:b/>
          <w:color w:val="0A2342"/>
          <w:sz w:val="23"/>
        </w:rPr>
        <w:t xml:space="preserve"> </w:t>
      </w:r>
      <w:r>
        <w:rPr>
          <w:rFonts w:ascii="Noto Sans" w:hAnsi="Noto Sans" w:eastAsia="Noto Sans" w:cs="Noto Sans"/>
          <w:b/>
          <w:color w:val="0A2342"/>
          <w:sz w:val="23"/>
        </w:rPr>
        <w:t xml:space="preserve">to</w:t>
      </w:r>
      <w:r>
        <w:rPr>
          <w:rFonts w:ascii="Noto Sans" w:hAnsi="Noto Sans" w:eastAsia="Noto Sans" w:cs="Noto Sans"/>
          <w:b/>
          <w:color w:val="0A2342"/>
          <w:sz w:val="23"/>
        </w:rPr>
        <w:t xml:space="preserve"> </w:t>
      </w:r>
      <w:r>
        <w:rPr>
          <w:rStyle w:val="VerbatimChar"/>
          <w:rFonts w:ascii="Noto Sans" w:hAnsi="Noto Sans" w:eastAsia="Noto Sans" w:cs="Noto Sans"/>
          <w:b/>
          <w:color w:val="0A2342"/>
          <w:sz w:val="23"/>
        </w:rPr>
        <w:t xml:space="preserve">numpy.random.Generator.normal()</w:t>
      </w:r>
    </w:p>
    <w:p>
      <w:pPr>
        <w:pStyle w:val="FirstParagraph"/>
      </w:pPr>
      <w:r>
        <w:t xml:space="preserve">Local generator objects avoid hidden global state.</w:t>
      </w:r>
    </w:p>
    <w:bookmarkEnd w:id="757"/>
    <w:bookmarkStart w:id="758" w:name="base-r-plot-to-matplotlib-figureaxes"/>
    <w:p>
      <w:pPr>
        <w:pStyle w:val="Heading3"/>
        <w:keepNext/>
      </w:pPr>
      <w:r>
        <w:rPr>
          <w:rStyle w:val="SectionNumber"/>
          <w:rFonts w:ascii="Noto Sans" w:hAnsi="Noto Sans" w:eastAsia="Noto Sans" w:cs="Noto Sans"/>
          <w:b/>
          <w:color w:val="0A2342"/>
          <w:sz w:val="23"/>
        </w:rPr>
        <w:t xml:space="preserve">37.0.16</w:t>
      </w:r>
      <w:r>
        <w:rPr>
          <w:rFonts w:ascii="Noto Sans" w:hAnsi="Noto Sans" w:eastAsia="Noto Sans" w:cs="Noto Sans"/>
          <w:b/>
          <w:color w:val="0A2342"/>
          <w:sz w:val="23"/>
        </w:rPr>
        <w:tab/>
      </w:r>
      <w:r>
        <w:rPr>
          <w:rFonts w:ascii="Noto Sans" w:hAnsi="Noto Sans" w:eastAsia="Noto Sans" w:cs="Noto Sans"/>
          <w:b/>
          <w:color w:val="0A2342"/>
          <w:sz w:val="23"/>
        </w:rPr>
        <w:t xml:space="preserve">Base R plot to Matplotlib figure/axes</w:t>
      </w:r>
    </w:p>
    <w:p>
      <w:pPr>
        <w:pStyle w:val="FirstParagraph"/>
      </w:pPr>
      <w:r>
        <w:t xml:space="preserve">Object-oriented figure control supports reproducible export.</w:t>
      </w:r>
    </w:p>
    <w:bookmarkEnd w:id="758"/>
    <w:bookmarkStart w:id="759" w:name="Xbd8ea8b08ae595d9327377a70693c4f3d6314ff"/>
    <w:p>
      <w:pPr>
        <w:pStyle w:val="Heading3"/>
        <w:keepNext/>
      </w:pPr>
      <w:r>
        <w:rPr>
          <w:rStyle w:val="SectionNumber"/>
          <w:rFonts w:ascii="Noto Sans" w:hAnsi="Noto Sans" w:eastAsia="Noto Sans" w:cs="Noto Sans"/>
          <w:b/>
          <w:color w:val="0A2342"/>
          <w:sz w:val="23"/>
        </w:rPr>
        <w:t xml:space="preserve">37.0.17</w:t>
      </w:r>
      <w:r>
        <w:rPr>
          <w:rFonts w:ascii="Noto Sans" w:hAnsi="Noto Sans" w:eastAsia="Noto Sans" w:cs="Noto Sans"/>
          <w:b/>
          <w:color w:val="0A2342"/>
          <w:sz w:val="23"/>
        </w:rPr>
        <w:tab/>
      </w:r>
      <w:r>
        <w:rPr>
          <w:rFonts w:ascii="Noto Sans" w:hAnsi="Noto Sans" w:eastAsia="Noto Sans" w:cs="Noto Sans"/>
          <w:b/>
          <w:color w:val="0A2342"/>
          <w:sz w:val="23"/>
        </w:rPr>
        <w:t xml:space="preserve">Custom VAR scripts to</w:t>
      </w:r>
      <w:r>
        <w:rPr>
          <w:rFonts w:ascii="Noto Sans" w:hAnsi="Noto Sans" w:eastAsia="Noto Sans" w:cs="Noto Sans"/>
          <w:b/>
          <w:color w:val="0A2342"/>
          <w:sz w:val="23"/>
        </w:rPr>
        <w:t xml:space="preserve"> </w:t>
      </w:r>
      <w:r>
        <w:rPr>
          <w:rStyle w:val="VerbatimChar"/>
          <w:rFonts w:ascii="Noto Sans" w:hAnsi="Noto Sans" w:eastAsia="Noto Sans" w:cs="Noto Sans"/>
          <w:b/>
          <w:color w:val="0A2342"/>
          <w:sz w:val="23"/>
        </w:rPr>
        <w:t xml:space="preserve">statsmodels.tsa.api.VAR</w:t>
      </w:r>
    </w:p>
    <w:p>
      <w:pPr>
        <w:pStyle w:val="FirstParagraph"/>
      </w:pPr>
      <w:r>
        <w:t xml:space="preserve">Identification and deterministic terms must be specified.</w:t>
      </w:r>
    </w:p>
    <w:bookmarkEnd w:id="759"/>
    <w:bookmarkStart w:id="760" w:name="X0660af489b3efa5dbebc0e385d080746aa74677"/>
    <w:p>
      <w:pPr>
        <w:pStyle w:val="Heading3"/>
        <w:keepNext/>
      </w:pPr>
      <w:r>
        <w:rPr>
          <w:rStyle w:val="SectionNumber"/>
          <w:rFonts w:ascii="Noto Sans" w:hAnsi="Noto Sans" w:eastAsia="Noto Sans" w:cs="Noto Sans"/>
          <w:b/>
          <w:color w:val="0A2342"/>
          <w:sz w:val="23"/>
        </w:rPr>
        <w:t xml:space="preserve">37.0.18</w:t>
      </w:r>
      <w:r>
        <w:rPr>
          <w:rFonts w:ascii="Noto Sans" w:hAnsi="Noto Sans" w:eastAsia="Noto Sans" w:cs="Noto Sans"/>
          <w:b/>
          <w:color w:val="0A2342"/>
          <w:sz w:val="23"/>
        </w:rPr>
        <w:tab/>
      </w:r>
      <w:r>
        <w:rPr>
          <w:rStyle w:val="VerbatimChar"/>
          <w:rFonts w:ascii="Noto Sans" w:hAnsi="Noto Sans" w:eastAsia="Noto Sans" w:cs="Noto Sans"/>
          <w:b/>
          <w:color w:val="0A2342"/>
          <w:sz w:val="23"/>
        </w:rPr>
        <w:t xml:space="preserve">urca</w:t>
      </w:r>
      <w:r>
        <w:rPr>
          <w:rFonts w:ascii="Noto Sans" w:hAnsi="Noto Sans" w:eastAsia="Noto Sans" w:cs="Noto Sans"/>
          <w:b/>
          <w:color w:val="0A2342"/>
          <w:sz w:val="23"/>
        </w:rPr>
        <w:t xml:space="preserve"> </w:t>
      </w:r>
      <w:r>
        <w:rPr>
          <w:rFonts w:ascii="Noto Sans" w:hAnsi="Noto Sans" w:eastAsia="Noto Sans" w:cs="Noto Sans"/>
          <w:b/>
          <w:color w:val="0A2342"/>
          <w:sz w:val="23"/>
        </w:rPr>
        <w:t xml:space="preserve">Johansen tools to</w:t>
      </w:r>
      <w:r>
        <w:rPr>
          <w:rFonts w:ascii="Noto Sans" w:hAnsi="Noto Sans" w:eastAsia="Noto Sans" w:cs="Noto Sans"/>
          <w:b/>
          <w:color w:val="0A2342"/>
          <w:sz w:val="23"/>
        </w:rPr>
        <w:t xml:space="preserve"> </w:t>
      </w:r>
      <w:r>
        <w:rPr>
          <w:rStyle w:val="VerbatimChar"/>
          <w:rFonts w:ascii="Noto Sans" w:hAnsi="Noto Sans" w:eastAsia="Noto Sans" w:cs="Noto Sans"/>
          <w:b/>
          <w:color w:val="0A2342"/>
          <w:sz w:val="23"/>
        </w:rPr>
        <w:t xml:space="preserve">statsmodels.tsa.vector_ar.vecm</w:t>
      </w:r>
    </w:p>
    <w:p>
      <w:pPr>
        <w:pStyle w:val="FirstParagraph"/>
      </w:pPr>
      <w:r>
        <w:t xml:space="preserve">Normalization and deterministic-term conventions differ.</w:t>
      </w:r>
    </w:p>
    <w:bookmarkEnd w:id="760"/>
    <w:bookmarkEnd w:id="761"/>
    <w:bookmarkStart w:id="762" w:name="appendix-d.-mathematical-notation"/>
    <w:p>
      <w:pPr>
        <w:pStyle w:val="Heading1"/>
        <w:keepNext/>
        <w:pageBreakBefore/>
      </w:pPr>
      <w:r>
        <w:rPr>
          <w:rStyle w:val="SectionNumber"/>
          <w:rFonts w:ascii="Noto Sans" w:hAnsi="Noto Sans" w:eastAsia="Noto Sans" w:cs="Noto Sans"/>
          <w:b/>
          <w:color w:val="0A2342"/>
          <w:sz w:val="43"/>
        </w:rPr>
        <w:t xml:space="preserve">38</w:t>
      </w:r>
      <w:r>
        <w:rPr>
          <w:rFonts w:ascii="Noto Sans" w:hAnsi="Noto Sans" w:eastAsia="Noto Sans" w:cs="Noto Sans"/>
          <w:b/>
          <w:color w:val="0A2342"/>
          <w:sz w:val="43"/>
        </w:rPr>
        <w:tab/>
      </w:r>
      <w:r>
        <w:rPr>
          <w:rFonts w:ascii="Noto Sans" w:hAnsi="Noto Sans" w:eastAsia="Noto Sans" w:cs="Noto Sans"/>
          <w:b/>
          <w:color w:val="0A2342"/>
          <w:sz w:val="43"/>
        </w:rPr>
        <w:t xml:space="preserve">Appendix D. Mathematical Notation</w:t>
      </w:r>
    </w:p>
    <w:tbl>
      <w:tblPr>
        <w:tblStyle w:val="Table"/>
        <w:tblW w:type="auto" w:w="0"/>
        <w:jc w:val="center"/>
        <w:tblLayout w:type="autofit"/>
        <w:tblLook w:firstRow="1" w:lastRow="0" w:firstColumn="0" w:lastColumn="0" w:noHBand="0" w:noVBand="0" w:val="0020"/>
      </w:tblPr>
      <w:tblGrid>
        <w:gridCol w:w="3960"/>
        <w:gridCol w:w="3960"/>
      </w:tblGrid>
      <w:tr>
        <w:trPr>
          <w:tblHeader w:val="on"/>
          <w:tblHeader w:val="true"/>
          <w:cantSplit/>
        </w:trPr>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0A2342" w:val="clear"/>
          </w:tcPr>
          <w:p>
            <w:pPr>
              <w:pStyle w:val="Compact"/>
              <w:spacing w:before="30" w:after="30" w:line="240" w:lineRule="auto"/>
              <w:jc w:val="left"/>
            </w:pPr>
            <w:r>
              <w:rPr>
                <w:rFonts w:ascii="Noto Sans" w:hAnsi="Noto Sans" w:eastAsia="Noto Sans" w:cs="Noto Sans"/>
                <w:b/>
                <w:color w:val="FFFFFF"/>
                <w:sz w:val="16"/>
              </w:rPr>
              <w:t xml:space="preserve">Symbol</w:t>
            </w:r>
          </w:p>
        </w:tc>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0A2342" w:val="clear"/>
          </w:tcPr>
          <w:p>
            <w:pPr>
              <w:pStyle w:val="Compact"/>
              <w:spacing w:before="30" w:after="30" w:line="240" w:lineRule="auto"/>
              <w:jc w:val="left"/>
            </w:pPr>
            <w:r>
              <w:rPr>
                <w:rFonts w:ascii="Noto Sans" w:hAnsi="Noto Sans" w:eastAsia="Noto Sans" w:cs="Noto Sans"/>
                <w:b/>
                <w:color w:val="FFFFFF"/>
                <w:sz w:val="16"/>
              </w:rPr>
              <w:t xml:space="preserve">Meaning</w:t>
            </w:r>
          </w:p>
        </w:tc>
      </w:tr>
      <w:tr>
        <w:trPr>
          <w:cantSplit/>
        </w:trPr>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EEF4F8" w:val="clear"/>
          </w:tcPr>
          <w:p>
            <w:pPr>
              <w:pStyle w:val="Compact"/>
              <w:spacing w:before="30" w:after="30" w:line="240" w:lineRule="auto"/>
              <w:jc w:val="left"/>
            </w:pPr>
            <m:oMath>
              <m:r>
                <m:t>t</m:t>
              </m:r>
            </m:oMath>
          </w:p>
        </w:tc>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EEF4F8" w:val="clear"/>
          </w:tcPr>
          <w:p>
            <w:pPr>
              <w:pStyle w:val="Compact"/>
              <w:spacing w:before="30" w:after="30" w:line="240" w:lineRule="auto"/>
              <w:jc w:val="left"/>
            </w:pPr>
            <w:r>
              <w:rPr>
                <w:rFonts w:ascii="Noto Sans" w:hAnsi="Noto Sans" w:eastAsia="Noto Sans" w:cs="Noto Sans"/>
                <w:b w:val="0"/>
                <w:color w:val="18212B"/>
                <w:sz w:val="16"/>
              </w:rPr>
              <w:t xml:space="preserve">time index</w:t>
            </w:r>
          </w:p>
        </w:tc>
      </w:tr>
      <w:tr>
        <w:trPr>
          <w:cantSplit/>
        </w:trPr>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FFFFFF" w:val="clear"/>
          </w:tcPr>
          <w:p>
            <w:pPr>
              <w:pStyle w:val="Compact"/>
              <w:spacing w:before="30" w:after="30" w:line="240" w:lineRule="auto"/>
              <w:jc w:val="left"/>
            </w:pPr>
            <m:oMath>
              <m:r>
                <m:t>i</m:t>
              </m:r>
            </m:oMath>
          </w:p>
        </w:tc>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FFFFFF" w:val="clear"/>
          </w:tcPr>
          <w:p>
            <w:pPr>
              <w:pStyle w:val="Compact"/>
              <w:spacing w:before="30" w:after="30" w:line="240" w:lineRule="auto"/>
              <w:jc w:val="left"/>
            </w:pPr>
            <w:r>
              <w:rPr>
                <w:rFonts w:ascii="Noto Sans" w:hAnsi="Noto Sans" w:eastAsia="Noto Sans" w:cs="Noto Sans"/>
                <w:b w:val="0"/>
                <w:color w:val="18212B"/>
                <w:sz w:val="16"/>
              </w:rPr>
              <w:t xml:space="preserve">observation index</w:t>
            </w:r>
          </w:p>
        </w:tc>
      </w:tr>
      <w:tr>
        <w:trPr>
          <w:cantSplit/>
        </w:trPr>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EEF4F8" w:val="clear"/>
          </w:tcPr>
          <w:p>
            <w:pPr>
              <w:pStyle w:val="Compact"/>
              <w:spacing w:before="30" w:after="30" w:line="240" w:lineRule="auto"/>
              <w:jc w:val="left"/>
            </w:pPr>
            <m:oMath>
              <m:sSub>
                <m:e>
                  <m:r>
                    <m:t>X</m:t>
                  </m:r>
                </m:e>
                <m:sub>
                  <m:r>
                    <m:t>t</m:t>
                  </m:r>
                </m:sub>
              </m:sSub>
            </m:oMath>
          </w:p>
        </w:tc>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EEF4F8" w:val="clear"/>
          </w:tcPr>
          <w:p>
            <w:pPr>
              <w:pStyle w:val="Compact"/>
              <w:spacing w:before="30" w:after="30" w:line="240" w:lineRule="auto"/>
              <w:jc w:val="left"/>
            </w:pPr>
            <w:r>
              <w:rPr>
                <w:rFonts w:ascii="Noto Sans" w:hAnsi="Noto Sans" w:eastAsia="Noto Sans" w:cs="Noto Sans"/>
                <w:b w:val="0"/>
                <w:color w:val="18212B"/>
                <w:sz w:val="16"/>
              </w:rPr>
              <w:t xml:space="preserve">scalar time-series observation</w:t>
            </w:r>
          </w:p>
        </w:tc>
      </w:tr>
      <w:tr>
        <w:trPr>
          <w:cantSplit/>
        </w:trPr>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FFFFFF" w:val="clear"/>
          </w:tcPr>
          <w:p>
            <w:pPr>
              <w:pStyle w:val="Compact"/>
              <w:spacing w:before="30" w:after="30" w:line="240" w:lineRule="auto"/>
              <w:jc w:val="left"/>
            </w:pPr>
            <m:oMath>
              <m:sSub>
                <m:e>
                  <m:r>
                    <m:rPr>
                      <m:sty m:val="b"/>
                    </m:rPr>
                    <m:t>X</m:t>
                  </m:r>
                </m:e>
                <m:sub>
                  <m:r>
                    <m:t>t</m:t>
                  </m:r>
                </m:sub>
              </m:sSub>
            </m:oMath>
          </w:p>
        </w:tc>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FFFFFF" w:val="clear"/>
          </w:tcPr>
          <w:p>
            <w:pPr>
              <w:pStyle w:val="Compact"/>
              <w:spacing w:before="30" w:after="30" w:line="240" w:lineRule="auto"/>
              <w:jc w:val="left"/>
            </w:pPr>
            <w:r>
              <w:rPr>
                <w:rFonts w:ascii="Noto Sans" w:hAnsi="Noto Sans" w:eastAsia="Noto Sans" w:cs="Noto Sans"/>
                <w:b w:val="0"/>
                <w:color w:val="18212B"/>
                <w:sz w:val="16"/>
              </w:rPr>
              <w:t xml:space="preserve">vector time-series observation</w:t>
            </w:r>
          </w:p>
        </w:tc>
      </w:tr>
      <w:tr>
        <w:trPr>
          <w:cantSplit/>
        </w:trPr>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EEF4F8" w:val="clear"/>
          </w:tcPr>
          <w:p>
            <w:pPr>
              <w:pStyle w:val="Compact"/>
              <w:spacing w:before="30" w:after="30" w:line="240" w:lineRule="auto"/>
              <w:jc w:val="left"/>
            </w:pPr>
            <m:oMath>
              <m:r>
                <m:t>E</m:t>
              </m:r>
              <m:d>
                <m:dPr>
                  <m:begChr m:val="("/>
                  <m:endChr m:val=")"/>
                  <m:sepChr m:val=""/>
                  <m:grow/>
                </m:dPr>
                <m:e>
                  <m:r>
                    <m:rPr>
                      <m:sty m:val="p"/>
                    </m:rPr>
                    <m:t>⋅</m:t>
                  </m:r>
                </m:e>
              </m:d>
            </m:oMath>
          </w:p>
        </w:tc>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EEF4F8" w:val="clear"/>
          </w:tcPr>
          <w:p>
            <w:pPr>
              <w:pStyle w:val="Compact"/>
              <w:spacing w:before="30" w:after="30" w:line="240" w:lineRule="auto"/>
              <w:jc w:val="left"/>
            </w:pPr>
            <w:r>
              <w:rPr>
                <w:rFonts w:ascii="Noto Sans" w:hAnsi="Noto Sans" w:eastAsia="Noto Sans" w:cs="Noto Sans"/>
                <w:b w:val="0"/>
                <w:color w:val="18212B"/>
                <w:sz w:val="16"/>
              </w:rPr>
              <w:t xml:space="preserve">expectation</w:t>
            </w:r>
          </w:p>
        </w:tc>
      </w:tr>
      <w:tr>
        <w:trPr>
          <w:cantSplit/>
        </w:trPr>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FFFFFF" w:val="clear"/>
          </w:tcPr>
          <w:p>
            <w:pPr>
              <w:pStyle w:val="Compact"/>
              <w:spacing w:before="30" w:after="30" w:line="240" w:lineRule="auto"/>
              <w:jc w:val="left"/>
            </w:pPr>
            <m:oMath>
              <m:r>
                <m:rPr>
                  <m:sty m:val="p"/>
                </m:rPr>
                <m:t>V</m:t>
              </m:r>
              <m:r>
                <m:rPr>
                  <m:sty m:val="p"/>
                </m:rPr>
                <m:t>a</m:t>
              </m:r>
              <m:r>
                <m:rPr>
                  <m:sty m:val="p"/>
                </m:rPr>
                <m:t>r</m:t>
              </m:r>
              <m:d>
                <m:dPr>
                  <m:begChr m:val="("/>
                  <m:endChr m:val=")"/>
                  <m:sepChr m:val=""/>
                  <m:grow/>
                </m:dPr>
                <m:e>
                  <m:r>
                    <m:rPr>
                      <m:sty m:val="p"/>
                    </m:rPr>
                    <m:t>⋅</m:t>
                  </m:r>
                </m:e>
              </m:d>
            </m:oMath>
          </w:p>
        </w:tc>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FFFFFF" w:val="clear"/>
          </w:tcPr>
          <w:p>
            <w:pPr>
              <w:pStyle w:val="Compact"/>
              <w:spacing w:before="30" w:after="30" w:line="240" w:lineRule="auto"/>
              <w:jc w:val="left"/>
            </w:pPr>
            <w:r>
              <w:rPr>
                <w:rFonts w:ascii="Noto Sans" w:hAnsi="Noto Sans" w:eastAsia="Noto Sans" w:cs="Noto Sans"/>
                <w:b w:val="0"/>
                <w:color w:val="18212B"/>
                <w:sz w:val="16"/>
              </w:rPr>
              <w:t xml:space="preserve">variance</w:t>
            </w:r>
          </w:p>
        </w:tc>
      </w:tr>
      <w:tr>
        <w:trPr>
          <w:cantSplit/>
        </w:trPr>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EEF4F8" w:val="clear"/>
          </w:tcPr>
          <w:p>
            <w:pPr>
              <w:pStyle w:val="Compact"/>
              <w:spacing w:before="30" w:after="30" w:line="240" w:lineRule="auto"/>
              <w:jc w:val="left"/>
            </w:pPr>
            <m:oMath>
              <m:sSub>
                <m:e>
                  <m:r>
                    <m:t>a</m:t>
                  </m:r>
                </m:e>
                <m:sub>
                  <m:r>
                    <m:t>t</m:t>
                  </m:r>
                </m:sub>
              </m:sSub>
            </m:oMath>
            <w:r>
              <w:rPr>
                <w:rFonts w:ascii="Noto Sans" w:hAnsi="Noto Sans" w:eastAsia="Noto Sans" w:cs="Noto Sans"/>
                <w:b w:val="0"/>
                <w:color w:val="18212B"/>
                <w:sz w:val="16"/>
              </w:rPr>
              <w:t xml:space="preserve"> </w:t>
            </w:r>
            <w:r>
              <w:rPr>
                <w:rFonts w:ascii="Noto Sans" w:hAnsi="Noto Sans" w:eastAsia="Noto Sans" w:cs="Noto Sans"/>
                <w:b w:val="0"/>
                <w:color w:val="18212B"/>
                <w:sz w:val="16"/>
              </w:rPr>
              <w:t xml:space="preserve">or</w:t>
            </w:r>
            <w:r>
              <w:rPr>
                <w:rFonts w:ascii="Noto Sans" w:hAnsi="Noto Sans" w:eastAsia="Noto Sans" w:cs="Noto Sans"/>
                <w:b w:val="0"/>
                <w:color w:val="18212B"/>
                <w:sz w:val="16"/>
              </w:rPr>
              <w:t xml:space="preserve"> </w:t>
            </w:r>
            <m:oMath>
              <m:sSub>
                <m:e>
                  <m:r>
                    <m:t>ε</m:t>
                  </m:r>
                </m:e>
                <m:sub>
                  <m:r>
                    <m:t>t</m:t>
                  </m:r>
                </m:sub>
              </m:sSub>
            </m:oMath>
          </w:p>
        </w:tc>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EEF4F8" w:val="clear"/>
          </w:tcPr>
          <w:p>
            <w:pPr>
              <w:pStyle w:val="Compact"/>
              <w:spacing w:before="30" w:after="30" w:line="240" w:lineRule="auto"/>
              <w:jc w:val="left"/>
            </w:pPr>
            <w:r>
              <w:rPr>
                <w:rFonts w:ascii="Noto Sans" w:hAnsi="Noto Sans" w:eastAsia="Noto Sans" w:cs="Noto Sans"/>
                <w:b w:val="0"/>
                <w:color w:val="18212B"/>
                <w:sz w:val="16"/>
              </w:rPr>
              <w:t xml:space="preserve">innovation or model error</w:t>
            </w:r>
          </w:p>
        </w:tc>
      </w:tr>
      <w:tr>
        <w:trPr>
          <w:cantSplit/>
        </w:trPr>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FFFFFF" w:val="clear"/>
          </w:tcPr>
          <w:p>
            <w:pPr>
              <w:pStyle w:val="Compact"/>
              <w:spacing w:before="30" w:after="30" w:line="240" w:lineRule="auto"/>
              <w:jc w:val="left"/>
            </w:pPr>
            <m:oMath>
              <m:sSubSup>
                <m:e>
                  <m:r>
                    <m:t>σ</m:t>
                  </m:r>
                </m:e>
                <m:sub>
                  <m:r>
                    <m:t>t</m:t>
                  </m:r>
                </m:sub>
                <m:sup>
                  <m:r>
                    <m:t>2</m:t>
                  </m:r>
                </m:sup>
              </m:sSubSup>
            </m:oMath>
          </w:p>
        </w:tc>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FFFFFF" w:val="clear"/>
          </w:tcPr>
          <w:p>
            <w:pPr>
              <w:pStyle w:val="Compact"/>
              <w:spacing w:before="30" w:after="30" w:line="240" w:lineRule="auto"/>
              <w:jc w:val="left"/>
            </w:pPr>
            <w:r>
              <w:rPr>
                <w:rFonts w:ascii="Noto Sans" w:hAnsi="Noto Sans" w:eastAsia="Noto Sans" w:cs="Noto Sans"/>
                <w:b w:val="0"/>
                <w:color w:val="18212B"/>
                <w:sz w:val="16"/>
              </w:rPr>
              <w:t xml:space="preserve">conditional variance</w:t>
            </w:r>
          </w:p>
        </w:tc>
      </w:tr>
      <w:tr>
        <w:trPr>
          <w:cantSplit/>
        </w:trPr>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EEF4F8" w:val="clear"/>
          </w:tcPr>
          <w:p>
            <w:pPr>
              <w:pStyle w:val="Compact"/>
              <w:spacing w:before="30" w:after="30" w:line="240" w:lineRule="auto"/>
              <w:jc w:val="left"/>
            </w:pPr>
            <m:oMath>
              <m:r>
                <m:t>B</m:t>
              </m:r>
            </m:oMath>
          </w:p>
        </w:tc>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EEF4F8" w:val="clear"/>
          </w:tcPr>
          <w:p>
            <w:pPr>
              <w:pStyle w:val="Compact"/>
              <w:spacing w:before="30" w:after="30" w:line="240" w:lineRule="auto"/>
              <w:jc w:val="left"/>
            </w:pPr>
            <w:r>
              <w:rPr>
                <w:rFonts w:ascii="Noto Sans" w:hAnsi="Noto Sans" w:eastAsia="Noto Sans" w:cs="Noto Sans"/>
                <w:b w:val="0"/>
                <w:color w:val="18212B"/>
                <w:sz w:val="16"/>
              </w:rPr>
              <w:t xml:space="preserve">lag operator,</w:t>
            </w:r>
            <w:r>
              <w:rPr>
                <w:rFonts w:ascii="Noto Sans" w:hAnsi="Noto Sans" w:eastAsia="Noto Sans" w:cs="Noto Sans"/>
                <w:b w:val="0"/>
                <w:color w:val="18212B"/>
                <w:sz w:val="16"/>
              </w:rPr>
              <w:t xml:space="preserve"> </w:t>
            </w:r>
            <m:oMath>
              <m:r>
                <m:t>B</m:t>
              </m:r>
              <m:sSub>
                <m:e>
                  <m:r>
                    <m:t>X</m:t>
                  </m:r>
                </m:e>
                <m:sub>
                  <m:r>
                    <m:t>t</m:t>
                  </m:r>
                </m:sub>
              </m:sSub>
              <m:r>
                <m:rPr>
                  <m:sty m:val="p"/>
                </m:rPr>
                <m:t>=</m:t>
              </m:r>
              <m:sSub>
                <m:e>
                  <m:r>
                    <m:t>X</m:t>
                  </m:r>
                </m:e>
                <m:sub>
                  <m:r>
                    <m:t>t</m:t>
                  </m:r>
                  <m:r>
                    <m:rPr>
                      <m:sty m:val="p"/>
                    </m:rPr>
                    <m:t>−</m:t>
                  </m:r>
                  <m:r>
                    <m:t>1</m:t>
                  </m:r>
                </m:sub>
              </m:sSub>
            </m:oMath>
          </w:p>
        </w:tc>
      </w:tr>
      <w:tr>
        <w:trPr>
          <w:cantSplit/>
        </w:trPr>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FFFFFF" w:val="clear"/>
          </w:tcPr>
          <w:p>
            <w:pPr>
              <w:pStyle w:val="Compact"/>
              <w:spacing w:before="30" w:after="30" w:line="240" w:lineRule="auto"/>
              <w:jc w:val="left"/>
            </w:pPr>
            <m:oMath>
              <m:r>
                <m:t>p</m:t>
              </m:r>
              <m:r>
                <m:rPr>
                  <m:sty m:val="p"/>
                </m:rPr>
                <m:t>,</m:t>
              </m:r>
              <m:r>
                <m:t>d</m:t>
              </m:r>
              <m:r>
                <m:rPr>
                  <m:sty m:val="p"/>
                </m:rPr>
                <m:t>,</m:t>
              </m:r>
              <m:r>
                <m:t>q</m:t>
              </m:r>
            </m:oMath>
          </w:p>
        </w:tc>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FFFFFF" w:val="clear"/>
          </w:tcPr>
          <w:p>
            <w:pPr>
              <w:pStyle w:val="Compact"/>
              <w:spacing w:before="30" w:after="30" w:line="240" w:lineRule="auto"/>
              <w:jc w:val="left"/>
            </w:pPr>
            <w:r>
              <w:rPr>
                <w:rFonts w:ascii="Noto Sans" w:hAnsi="Noto Sans" w:eastAsia="Noto Sans" w:cs="Noto Sans"/>
                <w:b w:val="0"/>
                <w:color w:val="18212B"/>
                <w:sz w:val="16"/>
              </w:rPr>
              <w:t xml:space="preserve">AR order, differencing order, MA order</w:t>
            </w:r>
          </w:p>
        </w:tc>
      </w:tr>
      <w:tr>
        <w:trPr>
          <w:cantSplit/>
        </w:trPr>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EEF4F8" w:val="clear"/>
          </w:tcPr>
          <w:p>
            <w:pPr>
              <w:pStyle w:val="Compact"/>
              <w:spacing w:before="30" w:after="30" w:line="240" w:lineRule="auto"/>
              <w:jc w:val="left"/>
            </w:pPr>
            <m:oMath>
              <m:r>
                <m:t>s</m:t>
              </m:r>
            </m:oMath>
          </w:p>
        </w:tc>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EEF4F8" w:val="clear"/>
          </w:tcPr>
          <w:p>
            <w:pPr>
              <w:pStyle w:val="Compact"/>
              <w:spacing w:before="30" w:after="30" w:line="240" w:lineRule="auto"/>
              <w:jc w:val="left"/>
            </w:pPr>
            <w:r>
              <w:rPr>
                <w:rFonts w:ascii="Noto Sans" w:hAnsi="Noto Sans" w:eastAsia="Noto Sans" w:cs="Noto Sans"/>
                <w:b w:val="0"/>
                <w:color w:val="18212B"/>
                <w:sz w:val="16"/>
              </w:rPr>
              <w:t xml:space="preserve">seasonal period</w:t>
            </w:r>
          </w:p>
        </w:tc>
      </w:tr>
      <w:tr>
        <w:trPr>
          <w:cantSplit/>
        </w:trPr>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FFFFFF" w:val="clear"/>
          </w:tcPr>
          <w:p>
            <w:pPr>
              <w:pStyle w:val="Compact"/>
              <w:spacing w:before="30" w:after="30" w:line="240" w:lineRule="auto"/>
              <w:jc w:val="left"/>
            </w:pPr>
            <m:oMath>
              <m:r>
                <m:t>Φ</m:t>
              </m:r>
            </m:oMath>
          </w:p>
        </w:tc>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FFFFFF" w:val="clear"/>
          </w:tcPr>
          <w:p>
            <w:pPr>
              <w:pStyle w:val="Compact"/>
              <w:spacing w:before="30" w:after="30" w:line="240" w:lineRule="auto"/>
              <w:jc w:val="left"/>
            </w:pPr>
            <w:r>
              <w:rPr>
                <w:rFonts w:ascii="Noto Sans" w:hAnsi="Noto Sans" w:eastAsia="Noto Sans" w:cs="Noto Sans"/>
                <w:b w:val="0"/>
                <w:color w:val="18212B"/>
                <w:sz w:val="16"/>
              </w:rPr>
              <w:t xml:space="preserve">standard normal cumulative distribution function</w:t>
            </w:r>
          </w:p>
        </w:tc>
      </w:tr>
      <w:tr>
        <w:trPr>
          <w:cantSplit/>
        </w:trPr>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EEF4F8" w:val="clear"/>
          </w:tcPr>
          <w:p>
            <w:pPr>
              <w:pStyle w:val="Compact"/>
              <w:spacing w:before="30" w:after="30" w:line="240" w:lineRule="auto"/>
              <w:jc w:val="left"/>
            </w:pPr>
            <m:oMath>
              <m:r>
                <m:t>L</m:t>
              </m:r>
            </m:oMath>
          </w:p>
        </w:tc>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EEF4F8" w:val="clear"/>
          </w:tcPr>
          <w:p>
            <w:pPr>
              <w:pStyle w:val="Compact"/>
              <w:spacing w:before="30" w:after="30" w:line="240" w:lineRule="auto"/>
              <w:jc w:val="left"/>
            </w:pPr>
            <w:r>
              <w:rPr>
                <w:rFonts w:ascii="Noto Sans" w:hAnsi="Noto Sans" w:eastAsia="Noto Sans" w:cs="Noto Sans"/>
                <w:b w:val="0"/>
                <w:color w:val="18212B"/>
                <w:sz w:val="16"/>
              </w:rPr>
              <w:t xml:space="preserve">loss variable</w:t>
            </w:r>
          </w:p>
        </w:tc>
      </w:tr>
      <w:tr>
        <w:trPr>
          <w:cantSplit/>
        </w:trPr>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FFFFFF" w:val="clear"/>
          </w:tcPr>
          <w:p>
            <w:pPr>
              <w:pStyle w:val="Compact"/>
              <w:spacing w:before="30" w:after="30" w:line="240" w:lineRule="auto"/>
              <w:jc w:val="left"/>
            </w:pPr>
            <m:oMath>
              <m:r>
                <m:t>θ</m:t>
              </m:r>
            </m:oMath>
          </w:p>
        </w:tc>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FFFFFF" w:val="clear"/>
          </w:tcPr>
          <w:p>
            <w:pPr>
              <w:pStyle w:val="Compact"/>
              <w:spacing w:before="30" w:after="30" w:line="240" w:lineRule="auto"/>
              <w:jc w:val="left"/>
            </w:pPr>
            <w:r>
              <w:rPr>
                <w:rFonts w:ascii="Noto Sans" w:hAnsi="Noto Sans" w:eastAsia="Noto Sans" w:cs="Noto Sans"/>
                <w:b w:val="0"/>
                <w:color w:val="18212B"/>
                <w:sz w:val="16"/>
              </w:rPr>
              <w:t xml:space="preserve">generic model parameter vector</w:t>
            </w:r>
          </w:p>
        </w:tc>
      </w:tr>
      <w:tr>
        <w:trPr>
          <w:cantSplit/>
        </w:trPr>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EEF4F8" w:val="clear"/>
          </w:tcPr>
          <w:p>
            <w:pPr>
              <w:pStyle w:val="Compact"/>
              <w:spacing w:before="30" w:after="30" w:line="240" w:lineRule="auto"/>
              <w:jc w:val="left"/>
            </w:pPr>
            <m:oMath>
              <m:r>
                <m:rPr>
                  <m:sty m:val="p"/>
                  <m:scr m:val="script"/>
                </m:rPr>
                <m:t>L</m:t>
              </m:r>
            </m:oMath>
          </w:p>
        </w:tc>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EEF4F8" w:val="clear"/>
          </w:tcPr>
          <w:p>
            <w:pPr>
              <w:pStyle w:val="Compact"/>
              <w:spacing w:before="30" w:after="30" w:line="240" w:lineRule="auto"/>
              <w:jc w:val="left"/>
            </w:pPr>
            <w:r>
              <w:rPr>
                <w:rFonts w:ascii="Noto Sans" w:hAnsi="Noto Sans" w:eastAsia="Noto Sans" w:cs="Noto Sans"/>
                <w:b w:val="0"/>
                <w:color w:val="18212B"/>
                <w:sz w:val="16"/>
              </w:rPr>
              <w:t xml:space="preserve">loss function or likelihood, according to context</w:t>
            </w:r>
          </w:p>
        </w:tc>
      </w:tr>
    </w:tbl>
    <w:bookmarkEnd w:id="762"/>
    <w:bookmarkStart w:id="763" w:name="appendix-e.-glossary"/>
    <w:p>
      <w:pPr>
        <w:pStyle w:val="Heading1"/>
        <w:keepNext/>
        <w:pageBreakBefore/>
      </w:pPr>
      <w:r>
        <w:rPr>
          <w:rStyle w:val="SectionNumber"/>
          <w:rFonts w:ascii="Noto Sans" w:hAnsi="Noto Sans" w:eastAsia="Noto Sans" w:cs="Noto Sans"/>
          <w:b/>
          <w:color w:val="0A2342"/>
          <w:sz w:val="43"/>
        </w:rPr>
        <w:t xml:space="preserve">39</w:t>
      </w:r>
      <w:r>
        <w:rPr>
          <w:rFonts w:ascii="Noto Sans" w:hAnsi="Noto Sans" w:eastAsia="Noto Sans" w:cs="Noto Sans"/>
          <w:b/>
          <w:color w:val="0A2342"/>
          <w:sz w:val="43"/>
        </w:rPr>
        <w:tab/>
      </w:r>
      <w:r>
        <w:rPr>
          <w:rFonts w:ascii="Noto Sans" w:hAnsi="Noto Sans" w:eastAsia="Noto Sans" w:cs="Noto Sans"/>
          <w:b/>
          <w:color w:val="0A2342"/>
          <w:sz w:val="43"/>
        </w:rPr>
        <w:t xml:space="preserve">Appendix E. Glossary</w:t>
      </w:r>
    </w:p>
    <w:p>
      <w:pPr>
        <w:pStyle w:val="FirstParagraph"/>
      </w:pPr>
      <w:r>
        <w:rPr>
          <w:b/>
          <w:bCs/>
        </w:rPr>
        <w:t xml:space="preserve">ACF.</w:t>
      </w:r>
      <w:r>
        <w:t xml:space="preserve"> </w:t>
      </w:r>
      <w:r>
        <w:t xml:space="preserve">Correlation between a series and its lags under a specified sample estimator.</w:t>
      </w:r>
    </w:p>
    <w:p>
      <w:pPr>
        <w:pStyle w:val="BodyText"/>
      </w:pPr>
      <w:r>
        <w:rPr>
          <w:b/>
          <w:bCs/>
        </w:rPr>
        <w:t xml:space="preserve">API.</w:t>
      </w:r>
      <w:r>
        <w:t xml:space="preserve"> </w:t>
      </w:r>
      <w:r>
        <w:t xml:space="preserve">A documented interface through which software requests data or services.</w:t>
      </w:r>
    </w:p>
    <w:p>
      <w:pPr>
        <w:pStyle w:val="BodyText"/>
      </w:pPr>
      <w:r>
        <w:rPr>
          <w:b/>
          <w:bCs/>
        </w:rPr>
        <w:t xml:space="preserve">ARCH.</w:t>
      </w:r>
      <w:r>
        <w:t xml:space="preserve"> </w:t>
      </w:r>
      <w:r>
        <w:t xml:space="preserve">A conditional-variance model driven by lagged squared shocks.</w:t>
      </w:r>
    </w:p>
    <w:p>
      <w:pPr>
        <w:pStyle w:val="BodyText"/>
      </w:pPr>
      <w:r>
        <w:rPr>
          <w:b/>
          <w:bCs/>
        </w:rPr>
        <w:t xml:space="preserve">ARIMA.</w:t>
      </w:r>
      <w:r>
        <w:t xml:space="preserve"> </w:t>
      </w:r>
      <w:r>
        <w:t xml:space="preserve">Autoregressive integrated moving-average model.</w:t>
      </w:r>
    </w:p>
    <w:p>
      <w:pPr>
        <w:pStyle w:val="BodyText"/>
      </w:pPr>
      <w:r>
        <w:rPr>
          <w:b/>
          <w:bCs/>
        </w:rPr>
        <w:t xml:space="preserve">Attention.</w:t>
      </w:r>
      <w:r>
        <w:t xml:space="preserve"> </w:t>
      </w:r>
      <w:r>
        <w:t xml:space="preserve">A mechanism that forms weighted combinations of values using query-key similarities.</w:t>
      </w:r>
    </w:p>
    <w:p>
      <w:pPr>
        <w:pStyle w:val="BodyText"/>
      </w:pPr>
      <w:r>
        <w:rPr>
          <w:b/>
          <w:bCs/>
        </w:rPr>
        <w:t xml:space="preserve">Backtesting.</w:t>
      </w:r>
      <w:r>
        <w:t xml:space="preserve"> </w:t>
      </w:r>
      <w:r>
        <w:t xml:space="preserve">Evaluation of forecasts or risk thresholds using information available before each outcome.</w:t>
      </w:r>
    </w:p>
    <w:p>
      <w:pPr>
        <w:pStyle w:val="BodyText"/>
      </w:pPr>
      <w:r>
        <w:rPr>
          <w:b/>
          <w:bCs/>
        </w:rPr>
        <w:t xml:space="preserve">Bias.</w:t>
      </w:r>
      <w:r>
        <w:t xml:space="preserve"> </w:t>
      </w:r>
      <w:r>
        <w:t xml:space="preserve">Systematic deviation that may arise from data, labels, sampling, model assumptions, or deployment.</w:t>
      </w:r>
    </w:p>
    <w:p>
      <w:pPr>
        <w:pStyle w:val="BodyText"/>
      </w:pPr>
      <w:r>
        <w:rPr>
          <w:b/>
          <w:bCs/>
        </w:rPr>
        <w:t xml:space="preserve">Brownian motion.</w:t>
      </w:r>
      <w:r>
        <w:t xml:space="preserve"> </w:t>
      </w:r>
      <w:r>
        <w:t xml:space="preserve">Continuous stochastic process with independent normal increments.</w:t>
      </w:r>
    </w:p>
    <w:p>
      <w:pPr>
        <w:pStyle w:val="BodyText"/>
      </w:pPr>
      <w:r>
        <w:rPr>
          <w:b/>
          <w:bCs/>
        </w:rPr>
        <w:t xml:space="preserve">Cointegration.</w:t>
      </w:r>
      <w:r>
        <w:t xml:space="preserve"> </w:t>
      </w:r>
      <w:r>
        <w:t xml:space="preserve">Stationary linear combination among nonstationary series.</w:t>
      </w:r>
    </w:p>
    <w:p>
      <w:pPr>
        <w:pStyle w:val="BodyText"/>
      </w:pPr>
      <w:r>
        <w:rPr>
          <w:b/>
          <w:bCs/>
        </w:rPr>
        <w:t xml:space="preserve">Conditional variance.</w:t>
      </w:r>
      <w:r>
        <w:t xml:space="preserve"> </w:t>
      </w:r>
      <w:r>
        <w:t xml:space="preserve">Variance given an information set.</w:t>
      </w:r>
    </w:p>
    <w:p>
      <w:pPr>
        <w:pStyle w:val="BodyText"/>
      </w:pPr>
      <w:r>
        <w:rPr>
          <w:b/>
          <w:bCs/>
        </w:rPr>
        <w:t xml:space="preserve">Confusion matrix.</w:t>
      </w:r>
      <w:r>
        <w:t xml:space="preserve"> </w:t>
      </w:r>
      <w:r>
        <w:t xml:space="preserve">Counts of predicted and actual classification outcomes.</w:t>
      </w:r>
    </w:p>
    <w:p>
      <w:pPr>
        <w:pStyle w:val="BodyText"/>
      </w:pPr>
      <w:r>
        <w:rPr>
          <w:b/>
          <w:bCs/>
        </w:rPr>
        <w:t xml:space="preserve">Cross-validation.</w:t>
      </w:r>
      <w:r>
        <w:t xml:space="preserve"> </w:t>
      </w:r>
      <w:r>
        <w:t xml:space="preserve">Repeated training-validation procedure for estimating generalization.</w:t>
      </w:r>
    </w:p>
    <w:p>
      <w:pPr>
        <w:pStyle w:val="BodyText"/>
      </w:pPr>
      <w:r>
        <w:rPr>
          <w:b/>
          <w:bCs/>
        </w:rPr>
        <w:t xml:space="preserve">Data leakage.</w:t>
      </w:r>
      <w:r>
        <w:t xml:space="preserve"> </w:t>
      </w:r>
      <w:r>
        <w:t xml:space="preserve">Use of information during training that would not be available at prediction time.</w:t>
      </w:r>
    </w:p>
    <w:p>
      <w:pPr>
        <w:pStyle w:val="BodyText"/>
      </w:pPr>
      <w:r>
        <w:rPr>
          <w:b/>
          <w:bCs/>
        </w:rPr>
        <w:t xml:space="preserve">DataFrame.</w:t>
      </w:r>
      <w:r>
        <w:t xml:space="preserve"> </w:t>
      </w:r>
      <w:r>
        <w:t xml:space="preserve">Two-dimensional labelled pandas data structure.</w:t>
      </w:r>
    </w:p>
    <w:p>
      <w:pPr>
        <w:pStyle w:val="BodyText"/>
      </w:pPr>
      <w:r>
        <w:rPr>
          <w:b/>
          <w:bCs/>
        </w:rPr>
        <w:t xml:space="preserve">Deep learning.</w:t>
      </w:r>
      <w:r>
        <w:t xml:space="preserve"> </w:t>
      </w:r>
      <w:r>
        <w:t xml:space="preserve">Machine learning using multi-layer neural networks.</w:t>
      </w:r>
    </w:p>
    <w:p>
      <w:pPr>
        <w:pStyle w:val="BodyText"/>
      </w:pPr>
      <w:r>
        <w:rPr>
          <w:b/>
          <w:bCs/>
        </w:rPr>
        <w:t xml:space="preserve">Embedding.</w:t>
      </w:r>
      <w:r>
        <w:t xml:space="preserve"> </w:t>
      </w:r>
      <w:r>
        <w:t xml:space="preserve">Continuous vector representation of an item such as a token or document.</w:t>
      </w:r>
    </w:p>
    <w:p>
      <w:pPr>
        <w:pStyle w:val="BodyText"/>
      </w:pPr>
      <w:r>
        <w:rPr>
          <w:b/>
          <w:bCs/>
        </w:rPr>
        <w:t xml:space="preserve">Expected Shortfall.</w:t>
      </w:r>
      <w:r>
        <w:t xml:space="preserve"> </w:t>
      </w:r>
      <w:r>
        <w:t xml:space="preserve">Mean loss beyond a specified VaR quantile under the adopted definition.</w:t>
      </w:r>
    </w:p>
    <w:p>
      <w:pPr>
        <w:pStyle w:val="BodyText"/>
      </w:pPr>
      <w:r>
        <w:rPr>
          <w:b/>
          <w:bCs/>
        </w:rPr>
        <w:t xml:space="preserve">Feature.</w:t>
      </w:r>
      <w:r>
        <w:t xml:space="preserve"> </w:t>
      </w:r>
      <w:r>
        <w:t xml:space="preserve">Input variable supplied to a predictive model.</w:t>
      </w:r>
    </w:p>
    <w:p>
      <w:pPr>
        <w:pStyle w:val="BodyText"/>
      </w:pPr>
      <w:r>
        <w:rPr>
          <w:b/>
          <w:bCs/>
        </w:rPr>
        <w:t xml:space="preserve">Forecast origin.</w:t>
      </w:r>
      <w:r>
        <w:t xml:space="preserve"> </w:t>
      </w:r>
      <w:r>
        <w:t xml:space="preserve">Latest time point whose information is available when a forecast is made.</w:t>
      </w:r>
    </w:p>
    <w:p>
      <w:pPr>
        <w:pStyle w:val="BodyText"/>
      </w:pPr>
      <w:r>
        <w:rPr>
          <w:b/>
          <w:bCs/>
        </w:rPr>
        <w:t xml:space="preserve">GARCH.</w:t>
      </w:r>
      <w:r>
        <w:t xml:space="preserve"> </w:t>
      </w:r>
      <w:r>
        <w:t xml:space="preserve">Conditional-variance model using lagged shocks and lagged variance.</w:t>
      </w:r>
    </w:p>
    <w:p>
      <w:pPr>
        <w:pStyle w:val="BodyText"/>
      </w:pPr>
      <w:r>
        <w:rPr>
          <w:b/>
          <w:bCs/>
        </w:rPr>
        <w:t xml:space="preserve">Gradient descent.</w:t>
      </w:r>
      <w:r>
        <w:t xml:space="preserve"> </w:t>
      </w:r>
      <w:r>
        <w:t xml:space="preserve">Iterative parameter update opposite a loss gradient.</w:t>
      </w:r>
    </w:p>
    <w:p>
      <w:pPr>
        <w:pStyle w:val="BodyText"/>
      </w:pPr>
      <w:r>
        <w:rPr>
          <w:b/>
          <w:bCs/>
        </w:rPr>
        <w:t xml:space="preserve">Granger predictability.</w:t>
      </w:r>
      <w:r>
        <w:t xml:space="preserve"> </w:t>
      </w:r>
      <w:r>
        <w:t xml:space="preserve">Incremental predictive content of one variable’s lags for another within a model.</w:t>
      </w:r>
    </w:p>
    <w:p>
      <w:pPr>
        <w:pStyle w:val="BodyText"/>
      </w:pPr>
      <w:r>
        <w:rPr>
          <w:b/>
          <w:bCs/>
        </w:rPr>
        <w:t xml:space="preserve">Hallucination.</w:t>
      </w:r>
      <w:r>
        <w:t xml:space="preserve"> </w:t>
      </w:r>
      <w:r>
        <w:t xml:space="preserve">Generated content that is unsupported or incorrect despite fluent presentation.</w:t>
      </w:r>
    </w:p>
    <w:p>
      <w:pPr>
        <w:pStyle w:val="BodyText"/>
      </w:pPr>
      <w:r>
        <w:rPr>
          <w:b/>
          <w:bCs/>
        </w:rPr>
        <w:t xml:space="preserve">Index.</w:t>
      </w:r>
      <w:r>
        <w:t xml:space="preserve"> </w:t>
      </w:r>
      <w:r>
        <w:t xml:space="preserve">Labels identifying pandas rows or array positions, depending on context.</w:t>
      </w:r>
    </w:p>
    <w:p>
      <w:pPr>
        <w:pStyle w:val="BodyText"/>
      </w:pPr>
      <w:r>
        <w:rPr>
          <w:b/>
          <w:bCs/>
        </w:rPr>
        <w:t xml:space="preserve">Inference.</w:t>
      </w:r>
      <w:r>
        <w:t xml:space="preserve"> </w:t>
      </w:r>
      <w:r>
        <w:t xml:space="preserve">Reasoning from sample evidence to uncertainty about model quantities under assumptions.</w:t>
      </w:r>
    </w:p>
    <w:p>
      <w:pPr>
        <w:pStyle w:val="BodyText"/>
      </w:pPr>
      <w:r>
        <w:rPr>
          <w:b/>
          <w:bCs/>
        </w:rPr>
        <w:t xml:space="preserve">Kernel.</w:t>
      </w:r>
      <w:r>
        <w:t xml:space="preserve"> </w:t>
      </w:r>
      <w:r>
        <w:t xml:space="preserve">Small matrix applied locally in a convolution.</w:t>
      </w:r>
    </w:p>
    <w:p>
      <w:pPr>
        <w:pStyle w:val="BodyText"/>
      </w:pPr>
      <w:r>
        <w:rPr>
          <w:b/>
          <w:bCs/>
        </w:rPr>
        <w:t xml:space="preserve">Latent variable.</w:t>
      </w:r>
      <w:r>
        <w:t xml:space="preserve"> </w:t>
      </w:r>
      <w:r>
        <w:t xml:space="preserve">Unobserved quantity represented indirectly through observed outcomes.</w:t>
      </w:r>
    </w:p>
    <w:p>
      <w:pPr>
        <w:pStyle w:val="BodyText"/>
      </w:pPr>
      <w:r>
        <w:rPr>
          <w:b/>
          <w:bCs/>
        </w:rPr>
        <w:t xml:space="preserve">Log return.</w:t>
      </w:r>
      <w:r>
        <w:t xml:space="preserve"> </w:t>
      </w:r>
      <w:r>
        <w:t xml:space="preserve">Difference of logarithmic prices over a period.</w:t>
      </w:r>
    </w:p>
    <w:p>
      <w:pPr>
        <w:pStyle w:val="BodyText"/>
      </w:pPr>
      <w:r>
        <w:rPr>
          <w:b/>
          <w:bCs/>
        </w:rPr>
        <w:t xml:space="preserve">MAE.</w:t>
      </w:r>
      <w:r>
        <w:t xml:space="preserve"> </w:t>
      </w:r>
      <w:r>
        <w:t xml:space="preserve">Mean absolute error.</w:t>
      </w:r>
    </w:p>
    <w:p>
      <w:pPr>
        <w:pStyle w:val="BodyText"/>
      </w:pPr>
      <w:r>
        <w:rPr>
          <w:b/>
          <w:bCs/>
        </w:rPr>
        <w:t xml:space="preserve">Monte Carlo.</w:t>
      </w:r>
      <w:r>
        <w:t xml:space="preserve"> </w:t>
      </w:r>
      <w:r>
        <w:t xml:space="preserve">Numerical approximation using repeated random simulation.</w:t>
      </w:r>
    </w:p>
    <w:p>
      <w:pPr>
        <w:pStyle w:val="BodyText"/>
      </w:pPr>
      <w:r>
        <w:rPr>
          <w:b/>
          <w:bCs/>
        </w:rPr>
        <w:t xml:space="preserve">PACF.</w:t>
      </w:r>
      <w:r>
        <w:t xml:space="preserve"> </w:t>
      </w:r>
      <w:r>
        <w:t xml:space="preserve">Correlation at a lag after removing linear effects of shorter lags.</w:t>
      </w:r>
    </w:p>
    <w:p>
      <w:pPr>
        <w:pStyle w:val="BodyText"/>
      </w:pPr>
      <w:r>
        <w:rPr>
          <w:b/>
          <w:bCs/>
        </w:rPr>
        <w:t xml:space="preserve">Pipeline.</w:t>
      </w:r>
      <w:r>
        <w:t xml:space="preserve"> </w:t>
      </w:r>
      <w:r>
        <w:t xml:space="preserve">Ordered preprocessing and modeling operations fitted as one workflow.</w:t>
      </w:r>
    </w:p>
    <w:p>
      <w:pPr>
        <w:pStyle w:val="BodyText"/>
      </w:pPr>
      <w:r>
        <w:rPr>
          <w:b/>
          <w:bCs/>
        </w:rPr>
        <w:t xml:space="preserve">Precision.</w:t>
      </w:r>
      <w:r>
        <w:t xml:space="preserve"> </w:t>
      </w:r>
      <w:r>
        <w:t xml:space="preserve">True positives divided by predicted positives.</w:t>
      </w:r>
    </w:p>
    <w:p>
      <w:pPr>
        <w:pStyle w:val="BodyText"/>
      </w:pPr>
      <w:r>
        <w:rPr>
          <w:b/>
          <w:bCs/>
        </w:rPr>
        <w:t xml:space="preserve">RAG.</w:t>
      </w:r>
      <w:r>
        <w:t xml:space="preserve"> </w:t>
      </w:r>
      <w:r>
        <w:t xml:space="preserve">Retrieval-augmented generation.</w:t>
      </w:r>
    </w:p>
    <w:p>
      <w:pPr>
        <w:pStyle w:val="BodyText"/>
      </w:pPr>
      <w:r>
        <w:rPr>
          <w:b/>
          <w:bCs/>
        </w:rPr>
        <w:t xml:space="preserve">RMSE.</w:t>
      </w:r>
      <w:r>
        <w:t xml:space="preserve"> </w:t>
      </w:r>
      <w:r>
        <w:t xml:space="preserve">Square root of mean squared prediction error.</w:t>
      </w:r>
    </w:p>
    <w:p>
      <w:pPr>
        <w:pStyle w:val="BodyText"/>
      </w:pPr>
      <w:r>
        <w:rPr>
          <w:b/>
          <w:bCs/>
        </w:rPr>
        <w:t xml:space="preserve">Recall.</w:t>
      </w:r>
      <w:r>
        <w:t xml:space="preserve"> </w:t>
      </w:r>
      <w:r>
        <w:t xml:space="preserve">True positives divided by actual positives.</w:t>
      </w:r>
    </w:p>
    <w:p>
      <w:pPr>
        <w:pStyle w:val="BodyText"/>
      </w:pPr>
      <w:r>
        <w:rPr>
          <w:b/>
          <w:bCs/>
        </w:rPr>
        <w:t xml:space="preserve">Reproducibility.</w:t>
      </w:r>
      <w:r>
        <w:t xml:space="preserve"> </w:t>
      </w:r>
      <w:r>
        <w:t xml:space="preserve">Ability to rebuild results from documented code, data, environment, and assumptions.</w:t>
      </w:r>
    </w:p>
    <w:p>
      <w:pPr>
        <w:pStyle w:val="BodyText"/>
      </w:pPr>
      <w:r>
        <w:rPr>
          <w:b/>
          <w:bCs/>
        </w:rPr>
        <w:t xml:space="preserve">Residual.</w:t>
      </w:r>
      <w:r>
        <w:t xml:space="preserve"> </w:t>
      </w:r>
      <w:r>
        <w:t xml:space="preserve">Observed outcome minus fitted value.</w:t>
      </w:r>
    </w:p>
    <w:p>
      <w:pPr>
        <w:pStyle w:val="BodyText"/>
      </w:pPr>
      <w:r>
        <w:rPr>
          <w:b/>
          <w:bCs/>
        </w:rPr>
        <w:t xml:space="preserve">Seasonality.</w:t>
      </w:r>
      <w:r>
        <w:t xml:space="preserve"> </w:t>
      </w:r>
      <w:r>
        <w:t xml:space="preserve">Dependence or pattern recurring at a calendar frequency.</w:t>
      </w:r>
    </w:p>
    <w:p>
      <w:pPr>
        <w:pStyle w:val="BodyText"/>
      </w:pPr>
      <w:r>
        <w:rPr>
          <w:b/>
          <w:bCs/>
        </w:rPr>
        <w:t xml:space="preserve">Stationarity.</w:t>
      </w:r>
      <w:r>
        <w:t xml:space="preserve"> </w:t>
      </w:r>
      <w:r>
        <w:t xml:space="preserve">Time-invariant mean and covariance structure under the adopted weak definition.</w:t>
      </w:r>
    </w:p>
    <w:p>
      <w:pPr>
        <w:pStyle w:val="BodyText"/>
      </w:pPr>
      <w:r>
        <w:rPr>
          <w:b/>
          <w:bCs/>
        </w:rPr>
        <w:t xml:space="preserve">Tokenization.</w:t>
      </w:r>
      <w:r>
        <w:t xml:space="preserve"> </w:t>
      </w:r>
      <w:r>
        <w:t xml:space="preserve">Division of text into units processed by a model.</w:t>
      </w:r>
    </w:p>
    <w:p>
      <w:pPr>
        <w:pStyle w:val="BodyText"/>
      </w:pPr>
      <w:r>
        <w:rPr>
          <w:b/>
          <w:bCs/>
        </w:rPr>
        <w:t xml:space="preserve">Transformer.</w:t>
      </w:r>
      <w:r>
        <w:t xml:space="preserve"> </w:t>
      </w:r>
      <w:r>
        <w:t xml:space="preserve">Neural architecture built around attention and feed-forward blocks.</w:t>
      </w:r>
    </w:p>
    <w:p>
      <w:pPr>
        <w:pStyle w:val="BodyText"/>
      </w:pPr>
      <w:r>
        <w:rPr>
          <w:b/>
          <w:bCs/>
        </w:rPr>
        <w:t xml:space="preserve">Unit root.</w:t>
      </w:r>
      <w:r>
        <w:t xml:space="preserve"> </w:t>
      </w:r>
      <w:r>
        <w:t xml:space="preserve">Root associated with persistent stochastic trend.</w:t>
      </w:r>
    </w:p>
    <w:p>
      <w:pPr>
        <w:pStyle w:val="BodyText"/>
      </w:pPr>
      <w:r>
        <w:rPr>
          <w:b/>
          <w:bCs/>
        </w:rPr>
        <w:t xml:space="preserve">VAR.</w:t>
      </w:r>
      <w:r>
        <w:t xml:space="preserve"> </w:t>
      </w:r>
      <w:r>
        <w:t xml:space="preserve">Vector autoregression.</w:t>
      </w:r>
    </w:p>
    <w:p>
      <w:pPr>
        <w:pStyle w:val="BodyText"/>
      </w:pPr>
      <w:r>
        <w:rPr>
          <w:b/>
          <w:bCs/>
        </w:rPr>
        <w:t xml:space="preserve">Value at Risk.</w:t>
      </w:r>
      <w:r>
        <w:t xml:space="preserve"> </w:t>
      </w:r>
      <w:r>
        <w:t xml:space="preserve">Specified quantile of a loss distribution.</w:t>
      </w:r>
    </w:p>
    <w:p>
      <w:pPr>
        <w:pStyle w:val="BodyText"/>
      </w:pPr>
      <w:r>
        <w:rPr>
          <w:b/>
          <w:bCs/>
        </w:rPr>
        <w:t xml:space="preserve">Vectorization.</w:t>
      </w:r>
      <w:r>
        <w:t xml:space="preserve"> </w:t>
      </w:r>
      <w:r>
        <w:t xml:space="preserve">Array-level expression of repeated numerical operations.</w:t>
      </w:r>
    </w:p>
    <w:p>
      <w:pPr>
        <w:pStyle w:val="BodyText"/>
      </w:pPr>
      <w:r>
        <w:rPr>
          <w:b/>
          <w:bCs/>
        </w:rPr>
        <w:t xml:space="preserve">White noise.</w:t>
      </w:r>
      <w:r>
        <w:t xml:space="preserve"> </w:t>
      </w:r>
      <w:r>
        <w:t xml:space="preserve">Uncorrelated, zero-mean, constant-variance sequence under the weak definition.</w:t>
      </w:r>
    </w:p>
    <w:bookmarkEnd w:id="763"/>
    <w:bookmarkStart w:id="798" w:name="appendix-f.-selected-exercise-guidance"/>
    <w:p>
      <w:pPr>
        <w:pStyle w:val="Heading1"/>
        <w:keepNext/>
        <w:pageBreakBefore/>
      </w:pPr>
      <w:r>
        <w:rPr>
          <w:rStyle w:val="SectionNumber"/>
          <w:rFonts w:ascii="Noto Sans" w:hAnsi="Noto Sans" w:eastAsia="Noto Sans" w:cs="Noto Sans"/>
          <w:b/>
          <w:color w:val="0A2342"/>
          <w:sz w:val="43"/>
        </w:rPr>
        <w:t xml:space="preserve">40</w:t>
      </w:r>
      <w:r>
        <w:rPr>
          <w:rFonts w:ascii="Noto Sans" w:hAnsi="Noto Sans" w:eastAsia="Noto Sans" w:cs="Noto Sans"/>
          <w:b/>
          <w:color w:val="0A2342"/>
          <w:sz w:val="43"/>
        </w:rPr>
        <w:tab/>
      </w:r>
      <w:r>
        <w:rPr>
          <w:rFonts w:ascii="Noto Sans" w:hAnsi="Noto Sans" w:eastAsia="Noto Sans" w:cs="Noto Sans"/>
          <w:b/>
          <w:color w:val="0A2342"/>
          <w:sz w:val="43"/>
        </w:rPr>
        <w:t xml:space="preserve">Appendix F. Selected Exercise Guidance</w:t>
      </w:r>
    </w:p>
    <w:bookmarkStart w:id="764" w:name="X85b0f0167ee0947dd48b16b054f921a9778a8dd"/>
    <w:p>
      <w:pPr>
        <w:pStyle w:val="Heading3"/>
        <w:keepNext/>
      </w:pPr>
      <w:r>
        <w:rPr>
          <w:rStyle w:val="SectionNumber"/>
          <w:rFonts w:ascii="Noto Sans" w:hAnsi="Noto Sans" w:eastAsia="Noto Sans" w:cs="Noto Sans"/>
          <w:b/>
          <w:color w:val="0A2342"/>
          <w:sz w:val="23"/>
        </w:rPr>
        <w:t xml:space="preserve">40.0.1</w:t>
      </w:r>
      <w:r>
        <w:rPr>
          <w:rFonts w:ascii="Noto Sans" w:hAnsi="Noto Sans" w:eastAsia="Noto Sans" w:cs="Noto Sans"/>
          <w:b/>
          <w:color w:val="0A2342"/>
          <w:sz w:val="23"/>
        </w:rPr>
        <w:tab/>
      </w:r>
      <w:r>
        <w:rPr>
          <w:rFonts w:ascii="Noto Sans" w:hAnsi="Noto Sans" w:eastAsia="Noto Sans" w:cs="Noto Sans"/>
          <w:b/>
          <w:color w:val="0A2342"/>
          <w:sz w:val="23"/>
        </w:rPr>
        <w:t xml:space="preserve">Chapter 1: Welcome to Python and Ceteris LAB</w:t>
      </w:r>
    </w:p>
    <w:p>
      <w:pPr>
        <w:pStyle w:val="FirstParagraph"/>
      </w:pPr>
      <w:r>
        <w:rPr>
          <w:b/>
          <w:bCs/>
        </w:rPr>
        <w:t xml:space="preserve">Selected guidance.</w:t>
      </w:r>
      <w:r>
        <w:t xml:space="preserve"> </w:t>
      </w:r>
      <w:r>
        <w:t xml:space="preserve">Run the miniature analysis twice, first unchanged and then with one value altered. Confirm that the mean and chart change consistently, and explain why a reproducible notebook should preserve both the input and the resulting output.</w:t>
      </w:r>
    </w:p>
    <w:bookmarkEnd w:id="764"/>
    <w:bookmarkStart w:id="765" w:name="chapter-2-installing-and-running-python"/>
    <w:p>
      <w:pPr>
        <w:pStyle w:val="Heading3"/>
        <w:keepNext/>
      </w:pPr>
      <w:r>
        <w:rPr>
          <w:rStyle w:val="SectionNumber"/>
          <w:rFonts w:ascii="Noto Sans" w:hAnsi="Noto Sans" w:eastAsia="Noto Sans" w:cs="Noto Sans"/>
          <w:b/>
          <w:color w:val="0A2342"/>
          <w:sz w:val="23"/>
        </w:rPr>
        <w:t xml:space="preserve">40.0.2</w:t>
      </w:r>
      <w:r>
        <w:rPr>
          <w:rFonts w:ascii="Noto Sans" w:hAnsi="Noto Sans" w:eastAsia="Noto Sans" w:cs="Noto Sans"/>
          <w:b/>
          <w:color w:val="0A2342"/>
          <w:sz w:val="23"/>
        </w:rPr>
        <w:tab/>
      </w:r>
      <w:r>
        <w:rPr>
          <w:rFonts w:ascii="Noto Sans" w:hAnsi="Noto Sans" w:eastAsia="Noto Sans" w:cs="Noto Sans"/>
          <w:b/>
          <w:color w:val="0A2342"/>
          <w:sz w:val="23"/>
        </w:rPr>
        <w:t xml:space="preserve">Chapter 2: Installing and Running Python</w:t>
      </w:r>
    </w:p>
    <w:p>
      <w:pPr>
        <w:pStyle w:val="FirstParagraph"/>
      </w:pPr>
      <w:r>
        <w:rPr>
          <w:b/>
          <w:bCs/>
        </w:rPr>
        <w:t xml:space="preserve">Selected guidance.</w:t>
      </w:r>
      <w:r>
        <w:t xml:space="preserve"> </w:t>
      </w:r>
      <w:r>
        <w:t xml:space="preserve">For an installation problem, report</w:t>
      </w:r>
      <w:r>
        <w:t xml:space="preserve"> </w:t>
      </w:r>
      <w:r>
        <w:rPr>
          <w:rStyle w:val="VerbatimChar"/>
        </w:rPr>
        <w:t xml:space="preserve">sys.executable</w:t>
      </w:r>
      <w:r>
        <w:t xml:space="preserve">, the selected Jupyter kernel, and the result of importing the missing package. A strong answer diagnoses the layer that failed instead of proposing a blind reinstall.</w:t>
      </w:r>
    </w:p>
    <w:bookmarkEnd w:id="765"/>
    <w:bookmarkStart w:id="766" w:name="Xa69e9aff945c65299b4ce4cc24ade61ae49e0c2"/>
    <w:p>
      <w:pPr>
        <w:pStyle w:val="Heading3"/>
        <w:keepNext/>
      </w:pPr>
      <w:r>
        <w:rPr>
          <w:rStyle w:val="SectionNumber"/>
          <w:rFonts w:ascii="Noto Sans" w:hAnsi="Noto Sans" w:eastAsia="Noto Sans" w:cs="Noto Sans"/>
          <w:b/>
          <w:color w:val="0A2342"/>
          <w:sz w:val="23"/>
        </w:rPr>
        <w:t xml:space="preserve">40.0.3</w:t>
      </w:r>
      <w:r>
        <w:rPr>
          <w:rFonts w:ascii="Noto Sans" w:hAnsi="Noto Sans" w:eastAsia="Noto Sans" w:cs="Noto Sans"/>
          <w:b/>
          <w:color w:val="0A2342"/>
          <w:sz w:val="23"/>
        </w:rPr>
        <w:tab/>
      </w:r>
      <w:r>
        <w:rPr>
          <w:rFonts w:ascii="Noto Sans" w:hAnsi="Noto Sans" w:eastAsia="Noto Sans" w:cs="Noto Sans"/>
          <w:b/>
          <w:color w:val="0A2342"/>
          <w:sz w:val="23"/>
        </w:rPr>
        <w:t xml:space="preserve">Chapter 3: Variables, Values, Types, Strings, and Dates</w:t>
      </w:r>
    </w:p>
    <w:p>
      <w:pPr>
        <w:pStyle w:val="FirstParagraph"/>
      </w:pPr>
      <w:r>
        <w:rPr>
          <w:b/>
          <w:bCs/>
        </w:rPr>
        <w:t xml:space="preserve">Selected guidance.</w:t>
      </w:r>
      <w:r>
        <w:t xml:space="preserve"> </w:t>
      </w:r>
      <w:r>
        <w:t xml:space="preserve">Create variables for a policy rate, country name, observation count, release date, and missing value. Check each type explicitly, then explain why formatting a percentage does not change the stored numerical value.</w:t>
      </w:r>
    </w:p>
    <w:bookmarkEnd w:id="766"/>
    <w:bookmarkStart w:id="767" w:name="X0b591a5193cb9096ee7db4b18354f95b5d15ce7"/>
    <w:p>
      <w:pPr>
        <w:pStyle w:val="Heading3"/>
        <w:keepNext/>
      </w:pPr>
      <w:r>
        <w:rPr>
          <w:rStyle w:val="SectionNumber"/>
          <w:rFonts w:ascii="Noto Sans" w:hAnsi="Noto Sans" w:eastAsia="Noto Sans" w:cs="Noto Sans"/>
          <w:b/>
          <w:color w:val="0A2342"/>
          <w:sz w:val="23"/>
        </w:rPr>
        <w:t xml:space="preserve">40.0.4</w:t>
      </w:r>
      <w:r>
        <w:rPr>
          <w:rFonts w:ascii="Noto Sans" w:hAnsi="Noto Sans" w:eastAsia="Noto Sans" w:cs="Noto Sans"/>
          <w:b/>
          <w:color w:val="0A2342"/>
          <w:sz w:val="23"/>
        </w:rPr>
        <w:tab/>
      </w:r>
      <w:r>
        <w:rPr>
          <w:rFonts w:ascii="Noto Sans" w:hAnsi="Noto Sans" w:eastAsia="Noto Sans" w:cs="Noto Sans"/>
          <w:b/>
          <w:color w:val="0A2342"/>
          <w:sz w:val="23"/>
        </w:rPr>
        <w:t xml:space="preserve">Chapter 4: Collections, Indexing, and Slicing</w:t>
      </w:r>
    </w:p>
    <w:p>
      <w:pPr>
        <w:pStyle w:val="FirstParagraph"/>
      </w:pPr>
      <w:r>
        <w:rPr>
          <w:b/>
          <w:bCs/>
        </w:rPr>
        <w:t xml:space="preserve">Selected guidance.</w:t>
      </w:r>
      <w:r>
        <w:t xml:space="preserve"> </w:t>
      </w:r>
      <w:r>
        <w:t xml:space="preserve">Use a list for an ordered series, a tuple for an immutable coordinate, a dictionary for metadata, and a set for unique identifiers. Justify each choice by the operations the object must support.</w:t>
      </w:r>
    </w:p>
    <w:bookmarkEnd w:id="767"/>
    <w:bookmarkStart w:id="768" w:name="chapter-5-decisions-loops-and-iteration"/>
    <w:p>
      <w:pPr>
        <w:pStyle w:val="Heading3"/>
        <w:keepNext/>
      </w:pPr>
      <w:r>
        <w:rPr>
          <w:rStyle w:val="SectionNumber"/>
          <w:rFonts w:ascii="Noto Sans" w:hAnsi="Noto Sans" w:eastAsia="Noto Sans" w:cs="Noto Sans"/>
          <w:b/>
          <w:color w:val="0A2342"/>
          <w:sz w:val="23"/>
        </w:rPr>
        <w:t xml:space="preserve">40.0.5</w:t>
      </w:r>
      <w:r>
        <w:rPr>
          <w:rFonts w:ascii="Noto Sans" w:hAnsi="Noto Sans" w:eastAsia="Noto Sans" w:cs="Noto Sans"/>
          <w:b/>
          <w:color w:val="0A2342"/>
          <w:sz w:val="23"/>
        </w:rPr>
        <w:tab/>
      </w:r>
      <w:r>
        <w:rPr>
          <w:rFonts w:ascii="Noto Sans" w:hAnsi="Noto Sans" w:eastAsia="Noto Sans" w:cs="Noto Sans"/>
          <w:b/>
          <w:color w:val="0A2342"/>
          <w:sz w:val="23"/>
        </w:rPr>
        <w:t xml:space="preserve">Chapter 5: Decisions, Loops, and Iteration</w:t>
      </w:r>
    </w:p>
    <w:p>
      <w:pPr>
        <w:pStyle w:val="FirstParagraph"/>
      </w:pPr>
      <w:r>
        <w:rPr>
          <w:b/>
          <w:bCs/>
        </w:rPr>
        <w:t xml:space="preserve">Selected guidance.</w:t>
      </w:r>
      <w:r>
        <w:t xml:space="preserve"> </w:t>
      </w:r>
      <w:r>
        <w:t xml:space="preserve">Trace the loop by hand for the first three observations before running it. Then write a vectorized or comprehension-based alternative and compare readability, not only output equality.</w:t>
      </w:r>
    </w:p>
    <w:bookmarkEnd w:id="768"/>
    <w:bookmarkStart w:id="769" w:name="X75b81dd379bed5f66a2edbfbcebd14d9e4fcca2"/>
    <w:p>
      <w:pPr>
        <w:pStyle w:val="Heading3"/>
        <w:keepNext/>
      </w:pPr>
      <w:r>
        <w:rPr>
          <w:rStyle w:val="SectionNumber"/>
          <w:rFonts w:ascii="Noto Sans" w:hAnsi="Noto Sans" w:eastAsia="Noto Sans" w:cs="Noto Sans"/>
          <w:b/>
          <w:color w:val="0A2342"/>
          <w:sz w:val="23"/>
        </w:rPr>
        <w:t xml:space="preserve">40.0.6</w:t>
      </w:r>
      <w:r>
        <w:rPr>
          <w:rFonts w:ascii="Noto Sans" w:hAnsi="Noto Sans" w:eastAsia="Noto Sans" w:cs="Noto Sans"/>
          <w:b/>
          <w:color w:val="0A2342"/>
          <w:sz w:val="23"/>
        </w:rPr>
        <w:tab/>
      </w:r>
      <w:r>
        <w:rPr>
          <w:rFonts w:ascii="Noto Sans" w:hAnsi="Noto Sans" w:eastAsia="Noto Sans" w:cs="Noto Sans"/>
          <w:b/>
          <w:color w:val="0A2342"/>
          <w:sz w:val="23"/>
        </w:rPr>
        <w:t xml:space="preserve">Chapter 6: Functions, Modules, Errors, and Testing</w:t>
      </w:r>
    </w:p>
    <w:p>
      <w:pPr>
        <w:pStyle w:val="FirstParagraph"/>
      </w:pPr>
      <w:r>
        <w:rPr>
          <w:b/>
          <w:bCs/>
        </w:rPr>
        <w:t xml:space="preserve">Selected guidance.</w:t>
      </w:r>
      <w:r>
        <w:t xml:space="preserve"> </w:t>
      </w:r>
      <w:r>
        <w:t xml:space="preserve">Test a function with a normal input, a boundary input, and an invalid input. The solution should distinguish an assertion used during development from an exception that communicates a recoverable user error.</w:t>
      </w:r>
    </w:p>
    <w:bookmarkEnd w:id="769"/>
    <w:bookmarkStart w:id="770" w:name="X947a5e0b3bbbcc8ba6b7727f381e46618f18e0c"/>
    <w:p>
      <w:pPr>
        <w:pStyle w:val="Heading3"/>
        <w:keepNext/>
      </w:pPr>
      <w:r>
        <w:rPr>
          <w:rStyle w:val="SectionNumber"/>
          <w:rFonts w:ascii="Noto Sans" w:hAnsi="Noto Sans" w:eastAsia="Noto Sans" w:cs="Noto Sans"/>
          <w:b/>
          <w:color w:val="0A2342"/>
          <w:sz w:val="23"/>
        </w:rPr>
        <w:t xml:space="preserve">40.0.7</w:t>
      </w:r>
      <w:r>
        <w:rPr>
          <w:rFonts w:ascii="Noto Sans" w:hAnsi="Noto Sans" w:eastAsia="Noto Sans" w:cs="Noto Sans"/>
          <w:b/>
          <w:color w:val="0A2342"/>
          <w:sz w:val="23"/>
        </w:rPr>
        <w:tab/>
      </w:r>
      <w:r>
        <w:rPr>
          <w:rFonts w:ascii="Noto Sans" w:hAnsi="Noto Sans" w:eastAsia="Noto Sans" w:cs="Noto Sans"/>
          <w:b/>
          <w:color w:val="0A2342"/>
          <w:sz w:val="23"/>
        </w:rPr>
        <w:t xml:space="preserve">Chapter 7: Files, Paths, Projects, and Reproducibility</w:t>
      </w:r>
    </w:p>
    <w:p>
      <w:pPr>
        <w:pStyle w:val="FirstParagraph"/>
      </w:pPr>
      <w:r>
        <w:rPr>
          <w:b/>
          <w:bCs/>
        </w:rPr>
        <w:t xml:space="preserve">Selected guidance.</w:t>
      </w:r>
      <w:r>
        <w:t xml:space="preserve"> </w:t>
      </w:r>
      <w:r>
        <w:t xml:space="preserve">Move the project folder to a new location and rerun the notebook. A successful solution uses relative</w:t>
      </w:r>
      <w:r>
        <w:t xml:space="preserve"> </w:t>
      </w:r>
      <w:r>
        <w:rPr>
          <w:rStyle w:val="VerbatimChar"/>
        </w:rPr>
        <w:t xml:space="preserve">pathlib</w:t>
      </w:r>
      <w:r>
        <w:t xml:space="preserve"> </w:t>
      </w:r>
      <w:r>
        <w:t xml:space="preserve">paths, preserves raw data, writes processed output separately, and records data provenance beside the file.</w:t>
      </w:r>
    </w:p>
    <w:bookmarkEnd w:id="770"/>
    <w:bookmarkStart w:id="771" w:name="chapter-8-numpy-and-numerical-computing"/>
    <w:p>
      <w:pPr>
        <w:pStyle w:val="Heading3"/>
        <w:keepNext/>
      </w:pPr>
      <w:r>
        <w:rPr>
          <w:rStyle w:val="SectionNumber"/>
          <w:rFonts w:ascii="Noto Sans" w:hAnsi="Noto Sans" w:eastAsia="Noto Sans" w:cs="Noto Sans"/>
          <w:b/>
          <w:color w:val="0A2342"/>
          <w:sz w:val="23"/>
        </w:rPr>
        <w:t xml:space="preserve">40.0.8</w:t>
      </w:r>
      <w:r>
        <w:rPr>
          <w:rFonts w:ascii="Noto Sans" w:hAnsi="Noto Sans" w:eastAsia="Noto Sans" w:cs="Noto Sans"/>
          <w:b/>
          <w:color w:val="0A2342"/>
          <w:sz w:val="23"/>
        </w:rPr>
        <w:tab/>
      </w:r>
      <w:r>
        <w:rPr>
          <w:rFonts w:ascii="Noto Sans" w:hAnsi="Noto Sans" w:eastAsia="Noto Sans" w:cs="Noto Sans"/>
          <w:b/>
          <w:color w:val="0A2342"/>
          <w:sz w:val="23"/>
        </w:rPr>
        <w:t xml:space="preserve">Chapter 8: NumPy and Numerical Computing</w:t>
      </w:r>
    </w:p>
    <w:p>
      <w:pPr>
        <w:pStyle w:val="FirstParagraph"/>
      </w:pPr>
      <w:r>
        <w:rPr>
          <w:b/>
          <w:bCs/>
        </w:rPr>
        <w:t xml:space="preserve">Selected guidance.</w:t>
      </w:r>
      <w:r>
        <w:t xml:space="preserve"> </w:t>
      </w:r>
      <w:r>
        <w:t xml:space="preserve">Compute portfolio returns once with a Python loop and once with a NumPy dot product. Verify equality with</w:t>
      </w:r>
      <w:r>
        <w:t xml:space="preserve"> </w:t>
      </w:r>
      <w:r>
        <w:rPr>
          <w:rStyle w:val="VerbatimChar"/>
        </w:rPr>
        <w:t xml:space="preserve">np.allclose</w:t>
      </w:r>
      <w:r>
        <w:t xml:space="preserve">, inspect array shapes, and state which unintended broadcast could produce a plausible but incorrect result.</w:t>
      </w:r>
    </w:p>
    <w:bookmarkEnd w:id="771"/>
    <w:bookmarkStart w:id="772" w:name="chapter-9-pandas-fundamentals"/>
    <w:p>
      <w:pPr>
        <w:pStyle w:val="Heading3"/>
        <w:keepNext/>
      </w:pPr>
      <w:r>
        <w:rPr>
          <w:rStyle w:val="SectionNumber"/>
          <w:rFonts w:ascii="Noto Sans" w:hAnsi="Noto Sans" w:eastAsia="Noto Sans" w:cs="Noto Sans"/>
          <w:b/>
          <w:color w:val="0A2342"/>
          <w:sz w:val="23"/>
        </w:rPr>
        <w:t xml:space="preserve">40.0.9</w:t>
      </w:r>
      <w:r>
        <w:rPr>
          <w:rFonts w:ascii="Noto Sans" w:hAnsi="Noto Sans" w:eastAsia="Noto Sans" w:cs="Noto Sans"/>
          <w:b/>
          <w:color w:val="0A2342"/>
          <w:sz w:val="23"/>
        </w:rPr>
        <w:tab/>
      </w:r>
      <w:r>
        <w:rPr>
          <w:rFonts w:ascii="Noto Sans" w:hAnsi="Noto Sans" w:eastAsia="Noto Sans" w:cs="Noto Sans"/>
          <w:b/>
          <w:color w:val="0A2342"/>
          <w:sz w:val="23"/>
        </w:rPr>
        <w:t xml:space="preserve">Chapter 9: pandas Fundamentals</w:t>
      </w:r>
    </w:p>
    <w:p>
      <w:pPr>
        <w:pStyle w:val="FirstParagraph"/>
      </w:pPr>
      <w:r>
        <w:rPr>
          <w:b/>
          <w:bCs/>
        </w:rPr>
        <w:t xml:space="preserve">Selected guidance.</w:t>
      </w:r>
      <w:r>
        <w:t xml:space="preserve"> </w:t>
      </w:r>
      <w:r>
        <w:t xml:space="preserve">Build a DataFrame with labels, dates, and one missing observation. Filter it with</w:t>
      </w:r>
      <w:r>
        <w:t xml:space="preserve"> </w:t>
      </w:r>
      <w:r>
        <w:rPr>
          <w:rStyle w:val="VerbatimChar"/>
        </w:rPr>
        <w:t xml:space="preserve">.loc</w:t>
      </w:r>
      <w:r>
        <w:t xml:space="preserve">, correct the dtype, and explain why the index is part of the analytical structure rather than decorative row numbering.</w:t>
      </w:r>
    </w:p>
    <w:bookmarkEnd w:id="772"/>
    <w:bookmarkStart w:id="773" w:name="X8363598c3baa57de3f7c99d5d2fa0b188975716"/>
    <w:p>
      <w:pPr>
        <w:pStyle w:val="Heading3"/>
        <w:keepNext/>
      </w:pPr>
      <w:r>
        <w:rPr>
          <w:rStyle w:val="SectionNumber"/>
          <w:rFonts w:ascii="Noto Sans" w:hAnsi="Noto Sans" w:eastAsia="Noto Sans" w:cs="Noto Sans"/>
          <w:b/>
          <w:color w:val="0A2342"/>
          <w:sz w:val="23"/>
        </w:rPr>
        <w:t xml:space="preserve">40.0.10</w:t>
      </w:r>
      <w:r>
        <w:rPr>
          <w:rFonts w:ascii="Noto Sans" w:hAnsi="Noto Sans" w:eastAsia="Noto Sans" w:cs="Noto Sans"/>
          <w:b/>
          <w:color w:val="0A2342"/>
          <w:sz w:val="23"/>
        </w:rPr>
        <w:tab/>
      </w:r>
      <w:r>
        <w:rPr>
          <w:rFonts w:ascii="Noto Sans" w:hAnsi="Noto Sans" w:eastAsia="Noto Sans" w:cs="Noto Sans"/>
          <w:b/>
          <w:color w:val="0A2342"/>
          <w:sz w:val="23"/>
        </w:rPr>
        <w:t xml:space="preserve">Chapter 10: Importing, Cleaning, Validating, and Exporting Data</w:t>
      </w:r>
    </w:p>
    <w:p>
      <w:pPr>
        <w:pStyle w:val="FirstParagraph"/>
      </w:pPr>
      <w:r>
        <w:rPr>
          <w:b/>
          <w:bCs/>
        </w:rPr>
        <w:t xml:space="preserve">Selected guidance.</w:t>
      </w:r>
      <w:r>
        <w:t xml:space="preserve"> </w:t>
      </w:r>
      <w:r>
        <w:t xml:space="preserve">Write a cleaning pipeline that parses dates, standardizes missing markers, removes exact duplicates, and flags an invalid range. Report row counts before and after every step so that no observation disappears silently.</w:t>
      </w:r>
    </w:p>
    <w:bookmarkEnd w:id="773"/>
    <w:bookmarkStart w:id="774" w:name="X288d48e9c1fd8768f93df422a7c657e2d7878e5"/>
    <w:p>
      <w:pPr>
        <w:pStyle w:val="Heading3"/>
        <w:keepNext/>
      </w:pPr>
      <w:r>
        <w:rPr>
          <w:rStyle w:val="SectionNumber"/>
          <w:rFonts w:ascii="Noto Sans" w:hAnsi="Noto Sans" w:eastAsia="Noto Sans" w:cs="Noto Sans"/>
          <w:b/>
          <w:color w:val="0A2342"/>
          <w:sz w:val="23"/>
        </w:rPr>
        <w:t xml:space="preserve">40.0.11</w:t>
      </w:r>
      <w:r>
        <w:rPr>
          <w:rFonts w:ascii="Noto Sans" w:hAnsi="Noto Sans" w:eastAsia="Noto Sans" w:cs="Noto Sans"/>
          <w:b/>
          <w:color w:val="0A2342"/>
          <w:sz w:val="23"/>
        </w:rPr>
        <w:tab/>
      </w:r>
      <w:r>
        <w:rPr>
          <w:rFonts w:ascii="Noto Sans" w:hAnsi="Noto Sans" w:eastAsia="Noto Sans" w:cs="Noto Sans"/>
          <w:b/>
          <w:color w:val="0A2342"/>
          <w:sz w:val="23"/>
        </w:rPr>
        <w:t xml:space="preserve">Chapter 11: Manipulating, Grouping, Reshaping, and Joining Data</w:t>
      </w:r>
    </w:p>
    <w:p>
      <w:pPr>
        <w:pStyle w:val="FirstParagraph"/>
      </w:pPr>
      <w:r>
        <w:rPr>
          <w:b/>
          <w:bCs/>
        </w:rPr>
        <w:t xml:space="preserve">Selected guidance.</w:t>
      </w:r>
      <w:r>
        <w:t xml:space="preserve"> </w:t>
      </w:r>
      <w:r>
        <w:t xml:space="preserve">Before merging, verify the key uniqueness required by the intended relationship. Use</w:t>
      </w:r>
      <w:r>
        <w:t xml:space="preserve"> </w:t>
      </w:r>
      <w:r>
        <w:rPr>
          <w:rStyle w:val="VerbatimChar"/>
        </w:rPr>
        <w:t xml:space="preserve">validate=</w:t>
      </w:r>
      <w:r>
        <w:t xml:space="preserve"> </w:t>
      </w:r>
      <w:r>
        <w:t xml:space="preserve">and</w:t>
      </w:r>
      <w:r>
        <w:t xml:space="preserve"> </w:t>
      </w:r>
      <w:r>
        <w:rPr>
          <w:rStyle w:val="VerbatimChar"/>
        </w:rPr>
        <w:t xml:space="preserve">indicator=True</w:t>
      </w:r>
      <w:r>
        <w:t xml:space="preserve">, then investigate every unmatched row instead of discarding it automatically.</w:t>
      </w:r>
    </w:p>
    <w:bookmarkEnd w:id="774"/>
    <w:bookmarkStart w:id="775" w:name="X262164d9dec476a934441412d76c682a22ca54c"/>
    <w:p>
      <w:pPr>
        <w:pStyle w:val="Heading3"/>
        <w:keepNext/>
      </w:pPr>
      <w:r>
        <w:rPr>
          <w:rStyle w:val="SectionNumber"/>
          <w:rFonts w:ascii="Noto Sans" w:hAnsi="Noto Sans" w:eastAsia="Noto Sans" w:cs="Noto Sans"/>
          <w:b/>
          <w:color w:val="0A2342"/>
          <w:sz w:val="23"/>
        </w:rPr>
        <w:t xml:space="preserve">40.0.12</w:t>
      </w:r>
      <w:r>
        <w:rPr>
          <w:rFonts w:ascii="Noto Sans" w:hAnsi="Noto Sans" w:eastAsia="Noto Sans" w:cs="Noto Sans"/>
          <w:b/>
          <w:color w:val="0A2342"/>
          <w:sz w:val="23"/>
        </w:rPr>
        <w:tab/>
      </w:r>
      <w:r>
        <w:rPr>
          <w:rFonts w:ascii="Noto Sans" w:hAnsi="Noto Sans" w:eastAsia="Noto Sans" w:cs="Noto Sans"/>
          <w:b/>
          <w:color w:val="0A2342"/>
          <w:sz w:val="23"/>
        </w:rPr>
        <w:t xml:space="preserve">Chapter 12: Data Visualization with Python</w:t>
      </w:r>
    </w:p>
    <w:p>
      <w:pPr>
        <w:pStyle w:val="FirstParagraph"/>
      </w:pPr>
      <w:r>
        <w:rPr>
          <w:b/>
          <w:bCs/>
        </w:rPr>
        <w:t xml:space="preserve">Selected guidance.</w:t>
      </w:r>
      <w:r>
        <w:t xml:space="preserve"> </w:t>
      </w:r>
      <w:r>
        <w:t xml:space="preserve">Choose a chart for a time trend, a distribution, and a relationship between two variables. Label units and sources, avoid a truncated axis that exaggerates change, and describe one accessibility feature beyond colour choice.</w:t>
      </w:r>
    </w:p>
    <w:bookmarkEnd w:id="775"/>
    <w:bookmarkStart w:id="776" w:name="Xc975c4776ad75a63d531dc91b3f36ec29dde8b7"/>
    <w:p>
      <w:pPr>
        <w:pStyle w:val="Heading3"/>
        <w:keepNext/>
      </w:pPr>
      <w:r>
        <w:rPr>
          <w:rStyle w:val="SectionNumber"/>
          <w:rFonts w:ascii="Noto Sans" w:hAnsi="Noto Sans" w:eastAsia="Noto Sans" w:cs="Noto Sans"/>
          <w:b/>
          <w:color w:val="0A2342"/>
          <w:sz w:val="23"/>
        </w:rPr>
        <w:t xml:space="preserve">40.0.13</w:t>
      </w:r>
      <w:r>
        <w:rPr>
          <w:rFonts w:ascii="Noto Sans" w:hAnsi="Noto Sans" w:eastAsia="Noto Sans" w:cs="Noto Sans"/>
          <w:b/>
          <w:color w:val="0A2342"/>
          <w:sz w:val="23"/>
        </w:rPr>
        <w:tab/>
      </w:r>
      <w:r>
        <w:rPr>
          <w:rFonts w:ascii="Noto Sans" w:hAnsi="Noto Sans" w:eastAsia="Noto Sans" w:cs="Noto Sans"/>
          <w:b/>
          <w:color w:val="0A2342"/>
          <w:sz w:val="23"/>
        </w:rPr>
        <w:t xml:space="preserve">Chapter 13: Descriptive Statistics and Exploratory Data Analysis</w:t>
      </w:r>
    </w:p>
    <w:p>
      <w:pPr>
        <w:pStyle w:val="FirstParagraph"/>
      </w:pPr>
      <w:r>
        <w:rPr>
          <w:b/>
          <w:bCs/>
        </w:rPr>
        <w:t xml:space="preserve">Selected guidance.</w:t>
      </w:r>
      <w:r>
        <w:t xml:space="preserve"> </w:t>
      </w:r>
      <w:r>
        <w:t xml:space="preserve">Compare mean and median under a deliberately inserted outlier. Report skewness using the stated convention, and explain why a single summary statistic cannot describe location, spread, and tail shape simultaneously.</w:t>
      </w:r>
    </w:p>
    <w:bookmarkEnd w:id="776"/>
    <w:bookmarkStart w:id="777" w:name="X2ce5bad887be599a05b233f5c7b4121af13733a"/>
    <w:p>
      <w:pPr>
        <w:pStyle w:val="Heading3"/>
        <w:keepNext/>
      </w:pPr>
      <w:r>
        <w:rPr>
          <w:rStyle w:val="SectionNumber"/>
          <w:rFonts w:ascii="Noto Sans" w:hAnsi="Noto Sans" w:eastAsia="Noto Sans" w:cs="Noto Sans"/>
          <w:b/>
          <w:color w:val="0A2342"/>
          <w:sz w:val="23"/>
        </w:rPr>
        <w:t xml:space="preserve">40.0.14</w:t>
      </w:r>
      <w:r>
        <w:rPr>
          <w:rFonts w:ascii="Noto Sans" w:hAnsi="Noto Sans" w:eastAsia="Noto Sans" w:cs="Noto Sans"/>
          <w:b/>
          <w:color w:val="0A2342"/>
          <w:sz w:val="23"/>
        </w:rPr>
        <w:tab/>
      </w:r>
      <w:r>
        <w:rPr>
          <w:rFonts w:ascii="Noto Sans" w:hAnsi="Noto Sans" w:eastAsia="Noto Sans" w:cs="Noto Sans"/>
          <w:b/>
          <w:color w:val="0A2342"/>
          <w:sz w:val="23"/>
        </w:rPr>
        <w:t xml:space="preserve">Chapter 14: Probability, Simulation, and Statistical Inference</w:t>
      </w:r>
    </w:p>
    <w:p>
      <w:pPr>
        <w:pStyle w:val="FirstParagraph"/>
      </w:pPr>
      <w:r>
        <w:rPr>
          <w:b/>
          <w:bCs/>
        </w:rPr>
        <w:t xml:space="preserve">Selected guidance.</w:t>
      </w:r>
      <w:r>
        <w:t xml:space="preserve"> </w:t>
      </w:r>
      <w:r>
        <w:t xml:space="preserve">Simulate repeated sample means with a documented random seed. Compare the empirical standard deviation with the theoretical standard error, then repeat with a larger sample size and explain the square-root relationship.</w:t>
      </w:r>
    </w:p>
    <w:bookmarkEnd w:id="777"/>
    <w:bookmarkStart w:id="778" w:name="Xf1d8d7d85df8f6032eaedb31ac0cdd8be429090"/>
    <w:p>
      <w:pPr>
        <w:pStyle w:val="Heading3"/>
        <w:keepNext/>
      </w:pPr>
      <w:r>
        <w:rPr>
          <w:rStyle w:val="SectionNumber"/>
          <w:rFonts w:ascii="Noto Sans" w:hAnsi="Noto Sans" w:eastAsia="Noto Sans" w:cs="Noto Sans"/>
          <w:b/>
          <w:color w:val="0A2342"/>
          <w:sz w:val="23"/>
        </w:rPr>
        <w:t xml:space="preserve">40.0.15</w:t>
      </w:r>
      <w:r>
        <w:rPr>
          <w:rFonts w:ascii="Noto Sans" w:hAnsi="Noto Sans" w:eastAsia="Noto Sans" w:cs="Noto Sans"/>
          <w:b/>
          <w:color w:val="0A2342"/>
          <w:sz w:val="23"/>
        </w:rPr>
        <w:tab/>
      </w:r>
      <w:r>
        <w:rPr>
          <w:rFonts w:ascii="Noto Sans" w:hAnsi="Noto Sans" w:eastAsia="Noto Sans" w:cs="Noto Sans"/>
          <w:b/>
          <w:color w:val="0A2342"/>
          <w:sz w:val="23"/>
        </w:rPr>
        <w:t xml:space="preserve">Chapter 15: Regression and Econometrics with Python</w:t>
      </w:r>
    </w:p>
    <w:p>
      <w:pPr>
        <w:pStyle w:val="FirstParagraph"/>
      </w:pPr>
      <w:r>
        <w:rPr>
          <w:b/>
          <w:bCs/>
        </w:rPr>
        <w:t xml:space="preserve">Selected guidance.</w:t>
      </w:r>
      <w:r>
        <w:t xml:space="preserve"> </w:t>
      </w:r>
      <w:r>
        <w:t xml:space="preserve">Fit the same regression with conventional and heteroskedasticity-robust standard errors. Keep coefficients fixed, compare uncertainty, inspect residuals, and avoid turning an association into a causal claim without an identification argument.</w:t>
      </w:r>
    </w:p>
    <w:bookmarkEnd w:id="778"/>
    <w:bookmarkStart w:id="779" w:name="X3aca1fa1e8f6fd53fc9f1e9e5bee8398fadbffe"/>
    <w:p>
      <w:pPr>
        <w:pStyle w:val="Heading3"/>
        <w:keepNext/>
      </w:pPr>
      <w:r>
        <w:rPr>
          <w:rStyle w:val="SectionNumber"/>
          <w:rFonts w:ascii="Noto Sans" w:hAnsi="Noto Sans" w:eastAsia="Noto Sans" w:cs="Noto Sans"/>
          <w:b/>
          <w:color w:val="0A2342"/>
          <w:sz w:val="23"/>
        </w:rPr>
        <w:t xml:space="preserve">40.0.16</w:t>
      </w:r>
      <w:r>
        <w:rPr>
          <w:rFonts w:ascii="Noto Sans" w:hAnsi="Noto Sans" w:eastAsia="Noto Sans" w:cs="Noto Sans"/>
          <w:b/>
          <w:color w:val="0A2342"/>
          <w:sz w:val="23"/>
        </w:rPr>
        <w:tab/>
      </w:r>
      <w:r>
        <w:rPr>
          <w:rFonts w:ascii="Noto Sans" w:hAnsi="Noto Sans" w:eastAsia="Noto Sans" w:cs="Noto Sans"/>
          <w:b/>
          <w:color w:val="0A2342"/>
          <w:sz w:val="23"/>
        </w:rPr>
        <w:t xml:space="preserve">Chapter 16: Obtaining Economic and Financial Data</w:t>
      </w:r>
    </w:p>
    <w:p>
      <w:pPr>
        <w:pStyle w:val="FirstParagraph"/>
      </w:pPr>
      <w:r>
        <w:rPr>
          <w:b/>
          <w:bCs/>
        </w:rPr>
        <w:t xml:space="preserve">Selected guidance.</w:t>
      </w:r>
      <w:r>
        <w:t xml:space="preserve"> </w:t>
      </w:r>
      <w:r>
        <w:t xml:space="preserve">Retrieve or load the Bank of Canada series, retain its series identifier and units, and compare it with the frozen fallback. The solution should fail gracefully when the network is unavailable and should never invent replacement observations.</w:t>
      </w:r>
    </w:p>
    <w:bookmarkEnd w:id="779"/>
    <w:bookmarkStart w:id="780" w:name="X7599dba7b265cb0b06d02fc82d6ed558e8e1111"/>
    <w:p>
      <w:pPr>
        <w:pStyle w:val="Heading3"/>
        <w:keepNext/>
      </w:pPr>
      <w:r>
        <w:rPr>
          <w:rStyle w:val="SectionNumber"/>
          <w:rFonts w:ascii="Noto Sans" w:hAnsi="Noto Sans" w:eastAsia="Noto Sans" w:cs="Noto Sans"/>
          <w:b/>
          <w:color w:val="0A2342"/>
          <w:sz w:val="23"/>
        </w:rPr>
        <w:t xml:space="preserve">40.0.17</w:t>
      </w:r>
      <w:r>
        <w:rPr>
          <w:rFonts w:ascii="Noto Sans" w:hAnsi="Noto Sans" w:eastAsia="Noto Sans" w:cs="Noto Sans"/>
          <w:b/>
          <w:color w:val="0A2342"/>
          <w:sz w:val="23"/>
        </w:rPr>
        <w:tab/>
      </w:r>
      <w:r>
        <w:rPr>
          <w:rFonts w:ascii="Noto Sans" w:hAnsi="Noto Sans" w:eastAsia="Noto Sans" w:cs="Noto Sans"/>
          <w:b/>
          <w:color w:val="0A2342"/>
          <w:sz w:val="23"/>
        </w:rPr>
        <w:t xml:space="preserve">Chapter 17: Introduction to Time-Series Data</w:t>
      </w:r>
    </w:p>
    <w:p>
      <w:pPr>
        <w:pStyle w:val="FirstParagraph"/>
      </w:pPr>
      <w:r>
        <w:rPr>
          <w:b/>
          <w:bCs/>
        </w:rPr>
        <w:t xml:space="preserve">Selected guidance.</w:t>
      </w:r>
      <w:r>
        <w:t xml:space="preserve"> </w:t>
      </w:r>
      <w:r>
        <w:t xml:space="preserve">Transform a price level into simple and log returns. Check missing trading dates and aggregation rules, then explain why summing log returns and compounding simple returns answer the same multi-period question differently.</w:t>
      </w:r>
    </w:p>
    <w:bookmarkEnd w:id="780"/>
    <w:bookmarkStart w:id="781" w:name="Xb15917917e9b19723da6456745a0103dd0d596a"/>
    <w:p>
      <w:pPr>
        <w:pStyle w:val="Heading3"/>
        <w:keepNext/>
      </w:pPr>
      <w:r>
        <w:rPr>
          <w:rStyle w:val="SectionNumber"/>
          <w:rFonts w:ascii="Noto Sans" w:hAnsi="Noto Sans" w:eastAsia="Noto Sans" w:cs="Noto Sans"/>
          <w:b/>
          <w:color w:val="0A2342"/>
          <w:sz w:val="23"/>
        </w:rPr>
        <w:t xml:space="preserve">40.0.18</w:t>
      </w:r>
      <w:r>
        <w:rPr>
          <w:rFonts w:ascii="Noto Sans" w:hAnsi="Noto Sans" w:eastAsia="Noto Sans" w:cs="Noto Sans"/>
          <w:b/>
          <w:color w:val="0A2342"/>
          <w:sz w:val="23"/>
        </w:rPr>
        <w:tab/>
      </w:r>
      <w:r>
        <w:rPr>
          <w:rFonts w:ascii="Noto Sans" w:hAnsi="Noto Sans" w:eastAsia="Noto Sans" w:cs="Noto Sans"/>
          <w:b/>
          <w:color w:val="0A2342"/>
          <w:sz w:val="23"/>
        </w:rPr>
        <w:t xml:space="preserve">Chapter 18: Dependence, Stationarity, and White Noise</w:t>
      </w:r>
    </w:p>
    <w:p>
      <w:pPr>
        <w:pStyle w:val="FirstParagraph"/>
      </w:pPr>
      <w:r>
        <w:rPr>
          <w:b/>
          <w:bCs/>
        </w:rPr>
        <w:t xml:space="preserve">Selected guidance.</w:t>
      </w:r>
      <w:r>
        <w:t xml:space="preserve"> </w:t>
      </w:r>
      <w:r>
        <w:t xml:space="preserve">Simulate white noise and a persistent AR process. Compare their ACF and Ljung-Box results, then show that absence of linear autocorrelation does not by itself establish independence.</w:t>
      </w:r>
    </w:p>
    <w:bookmarkEnd w:id="781"/>
    <w:bookmarkStart w:id="782" w:name="Xd719c551951d0d4edd3c392cd64413238b63d80"/>
    <w:p>
      <w:pPr>
        <w:pStyle w:val="Heading3"/>
        <w:keepNext/>
      </w:pPr>
      <w:r>
        <w:rPr>
          <w:rStyle w:val="SectionNumber"/>
          <w:rFonts w:ascii="Noto Sans" w:hAnsi="Noto Sans" w:eastAsia="Noto Sans" w:cs="Noto Sans"/>
          <w:b/>
          <w:color w:val="0A2342"/>
          <w:sz w:val="23"/>
        </w:rPr>
        <w:t xml:space="preserve">40.0.19</w:t>
      </w:r>
      <w:r>
        <w:rPr>
          <w:rFonts w:ascii="Noto Sans" w:hAnsi="Noto Sans" w:eastAsia="Noto Sans" w:cs="Noto Sans"/>
          <w:b/>
          <w:color w:val="0A2342"/>
          <w:sz w:val="23"/>
        </w:rPr>
        <w:tab/>
      </w:r>
      <w:r>
        <w:rPr>
          <w:rFonts w:ascii="Noto Sans" w:hAnsi="Noto Sans" w:eastAsia="Noto Sans" w:cs="Noto Sans"/>
          <w:b/>
          <w:color w:val="0A2342"/>
          <w:sz w:val="23"/>
        </w:rPr>
        <w:t xml:space="preserve">Chapter 19: AR, MA, ARMA, ARIMA, and Forecasting</w:t>
      </w:r>
    </w:p>
    <w:p>
      <w:pPr>
        <w:pStyle w:val="FirstParagraph"/>
      </w:pPr>
      <w:r>
        <w:rPr>
          <w:b/>
          <w:bCs/>
        </w:rPr>
        <w:t xml:space="preserve">Selected guidance.</w:t>
      </w:r>
      <w:r>
        <w:t xml:space="preserve"> </w:t>
      </w:r>
      <w:r>
        <w:t xml:space="preserve">Estimate at least two ARIMA candidates on the same training sample. Use residual diagnostics and rolling out-of-sample errors, not in-sample fit alone, and report prediction intervals with the assumptions that support them.</w:t>
      </w:r>
    </w:p>
    <w:bookmarkEnd w:id="782"/>
    <w:bookmarkStart w:id="783" w:name="X60743fa193fe8efed9b90e82f1d546ebf2968ef"/>
    <w:p>
      <w:pPr>
        <w:pStyle w:val="Heading3"/>
        <w:keepNext/>
      </w:pPr>
      <w:r>
        <w:rPr>
          <w:rStyle w:val="SectionNumber"/>
          <w:rFonts w:ascii="Noto Sans" w:hAnsi="Noto Sans" w:eastAsia="Noto Sans" w:cs="Noto Sans"/>
          <w:b/>
          <w:color w:val="0A2342"/>
          <w:sz w:val="23"/>
        </w:rPr>
        <w:t xml:space="preserve">40.0.20</w:t>
      </w:r>
      <w:r>
        <w:rPr>
          <w:rFonts w:ascii="Noto Sans" w:hAnsi="Noto Sans" w:eastAsia="Noto Sans" w:cs="Noto Sans"/>
          <w:b/>
          <w:color w:val="0A2342"/>
          <w:sz w:val="23"/>
        </w:rPr>
        <w:tab/>
      </w:r>
      <w:r>
        <w:rPr>
          <w:rFonts w:ascii="Noto Sans" w:hAnsi="Noto Sans" w:eastAsia="Noto Sans" w:cs="Noto Sans"/>
          <w:b/>
          <w:color w:val="0A2342"/>
          <w:sz w:val="23"/>
        </w:rPr>
        <w:t xml:space="preserve">Chapter 20: Unit Roots, Seasonality, and Dynamic Regression</w:t>
      </w:r>
    </w:p>
    <w:p>
      <w:pPr>
        <w:pStyle w:val="FirstParagraph"/>
      </w:pPr>
      <w:r>
        <w:rPr>
          <w:b/>
          <w:bCs/>
        </w:rPr>
        <w:t xml:space="preserve">Selected guidance.</w:t>
      </w:r>
      <w:r>
        <w:t xml:space="preserve"> </w:t>
      </w:r>
      <w:r>
        <w:t xml:space="preserve">Plot the level, regular difference, and seasonal difference before fitting SARIMA. Explain which transformation targets trend and which targets calendar repetition, then verify that residual seasonal autocorrelation has been reduced.</w:t>
      </w:r>
    </w:p>
    <w:bookmarkEnd w:id="783"/>
    <w:bookmarkStart w:id="784" w:name="chapter-21-arch-and-garch-models"/>
    <w:p>
      <w:pPr>
        <w:pStyle w:val="Heading3"/>
        <w:keepNext/>
      </w:pPr>
      <w:r>
        <w:rPr>
          <w:rStyle w:val="SectionNumber"/>
          <w:rFonts w:ascii="Noto Sans" w:hAnsi="Noto Sans" w:eastAsia="Noto Sans" w:cs="Noto Sans"/>
          <w:b/>
          <w:color w:val="0A2342"/>
          <w:sz w:val="23"/>
        </w:rPr>
        <w:t xml:space="preserve">40.0.21</w:t>
      </w:r>
      <w:r>
        <w:rPr>
          <w:rFonts w:ascii="Noto Sans" w:hAnsi="Noto Sans" w:eastAsia="Noto Sans" w:cs="Noto Sans"/>
          <w:b/>
          <w:color w:val="0A2342"/>
          <w:sz w:val="23"/>
        </w:rPr>
        <w:tab/>
      </w:r>
      <w:r>
        <w:rPr>
          <w:rFonts w:ascii="Noto Sans" w:hAnsi="Noto Sans" w:eastAsia="Noto Sans" w:cs="Noto Sans"/>
          <w:b/>
          <w:color w:val="0A2342"/>
          <w:sz w:val="23"/>
        </w:rPr>
        <w:t xml:space="preserve">Chapter 21: ARCH and GARCH Models</w:t>
      </w:r>
    </w:p>
    <w:p>
      <w:pPr>
        <w:pStyle w:val="FirstParagraph"/>
      </w:pPr>
      <w:r>
        <w:rPr>
          <w:b/>
          <w:bCs/>
        </w:rPr>
        <w:t xml:space="preserve">Selected guidance.</w:t>
      </w:r>
      <w:r>
        <w:t xml:space="preserve"> </w:t>
      </w:r>
      <w:r>
        <w:t xml:space="preserve">Fit or reproduce a GARCH(1,1) model on scaled returns. Calculate persistence and unconditional variance when defined, inspect standardized residuals and their squares, and document the return scale used by the optimizer.</w:t>
      </w:r>
    </w:p>
    <w:bookmarkEnd w:id="784"/>
    <w:bookmarkStart w:id="785" w:name="Xf6480f952f815f59d2ee85b89ffae57a3462d78"/>
    <w:p>
      <w:pPr>
        <w:pStyle w:val="Heading3"/>
        <w:keepNext/>
      </w:pPr>
      <w:r>
        <w:rPr>
          <w:rStyle w:val="SectionNumber"/>
          <w:rFonts w:ascii="Noto Sans" w:hAnsi="Noto Sans" w:eastAsia="Noto Sans" w:cs="Noto Sans"/>
          <w:b/>
          <w:color w:val="0A2342"/>
          <w:sz w:val="23"/>
        </w:rPr>
        <w:t xml:space="preserve">40.0.22</w:t>
      </w:r>
      <w:r>
        <w:rPr>
          <w:rFonts w:ascii="Noto Sans" w:hAnsi="Noto Sans" w:eastAsia="Noto Sans" w:cs="Noto Sans"/>
          <w:b/>
          <w:color w:val="0A2342"/>
          <w:sz w:val="23"/>
        </w:rPr>
        <w:tab/>
      </w:r>
      <w:r>
        <w:rPr>
          <w:rFonts w:ascii="Noto Sans" w:hAnsi="Noto Sans" w:eastAsia="Noto Sans" w:cs="Noto Sans"/>
          <w:b/>
          <w:color w:val="0A2342"/>
          <w:sz w:val="23"/>
        </w:rPr>
        <w:t xml:space="preserve">Chapter 22: Asymmetric, Advanced, and Realized Volatility</w:t>
      </w:r>
    </w:p>
    <w:p>
      <w:pPr>
        <w:pStyle w:val="FirstParagraph"/>
      </w:pPr>
      <w:r>
        <w:rPr>
          <w:b/>
          <w:bCs/>
        </w:rPr>
        <w:t xml:space="preserve">Selected guidance.</w:t>
      </w:r>
      <w:r>
        <w:t xml:space="preserve"> </w:t>
      </w:r>
      <w:r>
        <w:t xml:space="preserve">Compare rolling, EWMA, GARCH, and at least one OHLC volatility estimate on the same period. Explain how window choice, overnight gaps, and microstructure noise alter the interpretation of apparent precision.</w:t>
      </w:r>
    </w:p>
    <w:bookmarkEnd w:id="785"/>
    <w:bookmarkStart w:id="786" w:name="X6f78967296228d2028ce94eddc5a6d730a3a534"/>
    <w:p>
      <w:pPr>
        <w:pStyle w:val="Heading3"/>
        <w:keepNext/>
      </w:pPr>
      <w:r>
        <w:rPr>
          <w:rStyle w:val="SectionNumber"/>
          <w:rFonts w:ascii="Noto Sans" w:hAnsi="Noto Sans" w:eastAsia="Noto Sans" w:cs="Noto Sans"/>
          <w:b/>
          <w:color w:val="0A2342"/>
          <w:sz w:val="23"/>
        </w:rPr>
        <w:t xml:space="preserve">40.0.23</w:t>
      </w:r>
      <w:r>
        <w:rPr>
          <w:rFonts w:ascii="Noto Sans" w:hAnsi="Noto Sans" w:eastAsia="Noto Sans" w:cs="Noto Sans"/>
          <w:b/>
          <w:color w:val="0A2342"/>
          <w:sz w:val="23"/>
        </w:rPr>
        <w:tab/>
      </w:r>
      <w:r>
        <w:rPr>
          <w:rFonts w:ascii="Noto Sans" w:hAnsi="Noto Sans" w:eastAsia="Noto Sans" w:cs="Noto Sans"/>
          <w:b/>
          <w:color w:val="0A2342"/>
          <w:sz w:val="23"/>
        </w:rPr>
        <w:t xml:space="preserve">Chapter 23: Nonlinear Models, Regimes, Market Microstructure, and Ordered Outcomes</w:t>
      </w:r>
    </w:p>
    <w:p>
      <w:pPr>
        <w:pStyle w:val="FirstParagraph"/>
      </w:pPr>
      <w:r>
        <w:rPr>
          <w:b/>
          <w:bCs/>
        </w:rPr>
        <w:t xml:space="preserve">Selected guidance.</w:t>
      </w:r>
      <w:r>
        <w:t xml:space="preserve"> </w:t>
      </w:r>
      <w:r>
        <w:t xml:space="preserve">Simulate a threshold process and estimate an ordered probit example. For each, describe what changes across regimes or categories, and report predicted probabilities rather than interpreting latent-index coefficients as direct outcome changes.</w:t>
      </w:r>
    </w:p>
    <w:bookmarkEnd w:id="786"/>
    <w:bookmarkStart w:id="787" w:name="Xa8b69c5073dad13f7c241d6e0c86c524e5888b6"/>
    <w:p>
      <w:pPr>
        <w:pStyle w:val="Heading3"/>
        <w:keepNext/>
      </w:pPr>
      <w:r>
        <w:rPr>
          <w:rStyle w:val="SectionNumber"/>
          <w:rFonts w:ascii="Noto Sans" w:hAnsi="Noto Sans" w:eastAsia="Noto Sans" w:cs="Noto Sans"/>
          <w:b/>
          <w:color w:val="0A2342"/>
          <w:sz w:val="23"/>
        </w:rPr>
        <w:t xml:space="preserve">40.0.24</w:t>
      </w:r>
      <w:r>
        <w:rPr>
          <w:rFonts w:ascii="Noto Sans" w:hAnsi="Noto Sans" w:eastAsia="Noto Sans" w:cs="Noto Sans"/>
          <w:b/>
          <w:color w:val="0A2342"/>
          <w:sz w:val="23"/>
        </w:rPr>
        <w:tab/>
      </w:r>
      <w:r>
        <w:rPr>
          <w:rFonts w:ascii="Noto Sans" w:hAnsi="Noto Sans" w:eastAsia="Noto Sans" w:cs="Noto Sans"/>
          <w:b/>
          <w:color w:val="0A2342"/>
          <w:sz w:val="23"/>
        </w:rPr>
        <w:t xml:space="preserve">Chapter 24: Stochastic Processes and Option Pricing</w:t>
      </w:r>
    </w:p>
    <w:p>
      <w:pPr>
        <w:pStyle w:val="FirstParagraph"/>
      </w:pPr>
      <w:r>
        <w:rPr>
          <w:b/>
          <w:bCs/>
        </w:rPr>
        <w:t xml:space="preserve">Selected guidance.</w:t>
      </w:r>
      <w:r>
        <w:t xml:space="preserve"> </w:t>
      </w:r>
      <w:r>
        <w:t xml:space="preserve">Simulate geometric Brownian motion and price a European option analytically and by Monte Carlo. Report discretization and simulation error, check put-call parity, and state which Black-Scholes assumptions the exercise imposes.</w:t>
      </w:r>
    </w:p>
    <w:bookmarkEnd w:id="787"/>
    <w:bookmarkStart w:id="788" w:name="chapter-25-financial-risk-management"/>
    <w:p>
      <w:pPr>
        <w:pStyle w:val="Heading3"/>
        <w:keepNext/>
      </w:pPr>
      <w:r>
        <w:rPr>
          <w:rStyle w:val="SectionNumber"/>
          <w:rFonts w:ascii="Noto Sans" w:hAnsi="Noto Sans" w:eastAsia="Noto Sans" w:cs="Noto Sans"/>
          <w:b/>
          <w:color w:val="0A2342"/>
          <w:sz w:val="23"/>
        </w:rPr>
        <w:t xml:space="preserve">40.0.25</w:t>
      </w:r>
      <w:r>
        <w:rPr>
          <w:rFonts w:ascii="Noto Sans" w:hAnsi="Noto Sans" w:eastAsia="Noto Sans" w:cs="Noto Sans"/>
          <w:b/>
          <w:color w:val="0A2342"/>
          <w:sz w:val="23"/>
        </w:rPr>
        <w:tab/>
      </w:r>
      <w:r>
        <w:rPr>
          <w:rFonts w:ascii="Noto Sans" w:hAnsi="Noto Sans" w:eastAsia="Noto Sans" w:cs="Noto Sans"/>
          <w:b/>
          <w:color w:val="0A2342"/>
          <w:sz w:val="23"/>
        </w:rPr>
        <w:t xml:space="preserve">Chapter 25: Financial Risk Management</w:t>
      </w:r>
    </w:p>
    <w:p>
      <w:pPr>
        <w:pStyle w:val="FirstParagraph"/>
      </w:pPr>
      <w:r>
        <w:rPr>
          <w:b/>
          <w:bCs/>
        </w:rPr>
        <w:t xml:space="preserve">Selected guidance.</w:t>
      </w:r>
      <w:r>
        <w:t xml:space="preserve"> </w:t>
      </w:r>
      <w:r>
        <w:t xml:space="preserve">Use one loss series to calculate historical VaR and Expected Shortfall with a consistent sign convention. Backtest exceedances, compare a heavy-tailed alternative, and explain what VaR does not reveal about losses beyond the threshold.</w:t>
      </w:r>
    </w:p>
    <w:bookmarkEnd w:id="788"/>
    <w:bookmarkStart w:id="789" w:name="chapter-26-multiple-time-series"/>
    <w:p>
      <w:pPr>
        <w:pStyle w:val="Heading3"/>
        <w:keepNext/>
      </w:pPr>
      <w:r>
        <w:rPr>
          <w:rStyle w:val="SectionNumber"/>
          <w:rFonts w:ascii="Noto Sans" w:hAnsi="Noto Sans" w:eastAsia="Noto Sans" w:cs="Noto Sans"/>
          <w:b/>
          <w:color w:val="0A2342"/>
          <w:sz w:val="23"/>
        </w:rPr>
        <w:t xml:space="preserve">40.0.26</w:t>
      </w:r>
      <w:r>
        <w:rPr>
          <w:rFonts w:ascii="Noto Sans" w:hAnsi="Noto Sans" w:eastAsia="Noto Sans" w:cs="Noto Sans"/>
          <w:b/>
          <w:color w:val="0A2342"/>
          <w:sz w:val="23"/>
        </w:rPr>
        <w:tab/>
      </w:r>
      <w:r>
        <w:rPr>
          <w:rFonts w:ascii="Noto Sans" w:hAnsi="Noto Sans" w:eastAsia="Noto Sans" w:cs="Noto Sans"/>
          <w:b/>
          <w:color w:val="0A2342"/>
          <w:sz w:val="23"/>
        </w:rPr>
        <w:t xml:space="preserve">Chapter 26: Multiple Time Series</w:t>
      </w:r>
    </w:p>
    <w:p>
      <w:pPr>
        <w:pStyle w:val="FirstParagraph"/>
      </w:pPr>
      <w:r>
        <w:rPr>
          <w:b/>
          <w:bCs/>
        </w:rPr>
        <w:t xml:space="preserve">Selected guidance.</w:t>
      </w:r>
      <w:r>
        <w:t xml:space="preserve"> </w:t>
      </w:r>
      <w:r>
        <w:t xml:space="preserve">Fit a small VAR after checking integration order and lag selection. Distinguish predictive Granger evidence from structural causation, and state the ordering or identification assumptions behind any impulse response.</w:t>
      </w:r>
    </w:p>
    <w:bookmarkEnd w:id="789"/>
    <w:bookmarkStart w:id="790" w:name="X55718118b8ae2cabb0e21911be2a79125e75f42"/>
    <w:p>
      <w:pPr>
        <w:pStyle w:val="Heading3"/>
        <w:keepNext/>
      </w:pPr>
      <w:r>
        <w:rPr>
          <w:rStyle w:val="SectionNumber"/>
          <w:rFonts w:ascii="Noto Sans" w:hAnsi="Noto Sans" w:eastAsia="Noto Sans" w:cs="Noto Sans"/>
          <w:b/>
          <w:color w:val="0A2342"/>
          <w:sz w:val="23"/>
        </w:rPr>
        <w:t xml:space="preserve">40.0.27</w:t>
      </w:r>
      <w:r>
        <w:rPr>
          <w:rFonts w:ascii="Noto Sans" w:hAnsi="Noto Sans" w:eastAsia="Noto Sans" w:cs="Noto Sans"/>
          <w:b/>
          <w:color w:val="0A2342"/>
          <w:sz w:val="23"/>
        </w:rPr>
        <w:tab/>
      </w:r>
      <w:r>
        <w:rPr>
          <w:rFonts w:ascii="Noto Sans" w:hAnsi="Noto Sans" w:eastAsia="Noto Sans" w:cs="Noto Sans"/>
          <w:b/>
          <w:color w:val="0A2342"/>
          <w:sz w:val="23"/>
        </w:rPr>
        <w:t xml:space="preserve">Chapter 27: What Artificial Intelligence and Machine Learning Actually Do</w:t>
      </w:r>
    </w:p>
    <w:p>
      <w:pPr>
        <w:pStyle w:val="FirstParagraph"/>
      </w:pPr>
      <w:r>
        <w:rPr>
          <w:b/>
          <w:bCs/>
        </w:rPr>
        <w:t xml:space="preserve">Selected guidance.</w:t>
      </w:r>
      <w:r>
        <w:t xml:space="preserve"> </w:t>
      </w:r>
      <w:r>
        <w:t xml:space="preserve">Classify several examples as rule-based software, predictive machine learning, or generative AI. For each AI output, identify a verification step, a plausible source of bias, and information that should not be placed in a public prompt.</w:t>
      </w:r>
    </w:p>
    <w:bookmarkEnd w:id="790"/>
    <w:bookmarkStart w:id="791" w:name="Xfe7a6ea441a05e74164b8525ebef3e1453253dd"/>
    <w:p>
      <w:pPr>
        <w:pStyle w:val="Heading3"/>
        <w:keepNext/>
      </w:pPr>
      <w:r>
        <w:rPr>
          <w:rStyle w:val="SectionNumber"/>
          <w:rFonts w:ascii="Noto Sans" w:hAnsi="Noto Sans" w:eastAsia="Noto Sans" w:cs="Noto Sans"/>
          <w:b/>
          <w:color w:val="0A2342"/>
          <w:sz w:val="23"/>
        </w:rPr>
        <w:t xml:space="preserve">40.0.28</w:t>
      </w:r>
      <w:r>
        <w:rPr>
          <w:rFonts w:ascii="Noto Sans" w:hAnsi="Noto Sans" w:eastAsia="Noto Sans" w:cs="Noto Sans"/>
          <w:b/>
          <w:color w:val="0A2342"/>
          <w:sz w:val="23"/>
        </w:rPr>
        <w:tab/>
      </w:r>
      <w:r>
        <w:rPr>
          <w:rFonts w:ascii="Noto Sans" w:hAnsi="Noto Sans" w:eastAsia="Noto Sans" w:cs="Noto Sans"/>
          <w:b/>
          <w:color w:val="0A2342"/>
          <w:sz w:val="23"/>
        </w:rPr>
        <w:t xml:space="preserve">Chapter 28: The Machine-Learning Workflow and Gradient Descent</w:t>
      </w:r>
    </w:p>
    <w:p>
      <w:pPr>
        <w:pStyle w:val="FirstParagraph"/>
      </w:pPr>
      <w:r>
        <w:rPr>
          <w:b/>
          <w:bCs/>
        </w:rPr>
        <w:t xml:space="preserve">Selected guidance.</w:t>
      </w:r>
      <w:r>
        <w:t xml:space="preserve"> </w:t>
      </w:r>
      <w:r>
        <w:t xml:space="preserve">Create a training, validation, and test split before preprocessing. Fit the transformer only on training data, compare with a naive baseline, and use the learning curve to diagnose underfitting or overfitting.</w:t>
      </w:r>
    </w:p>
    <w:bookmarkEnd w:id="791"/>
    <w:bookmarkStart w:id="792" w:name="Xf7a778b92384b926f56e3355da7886f80fd6594"/>
    <w:p>
      <w:pPr>
        <w:pStyle w:val="Heading3"/>
        <w:keepNext/>
      </w:pPr>
      <w:r>
        <w:rPr>
          <w:rStyle w:val="SectionNumber"/>
          <w:rFonts w:ascii="Noto Sans" w:hAnsi="Noto Sans" w:eastAsia="Noto Sans" w:cs="Noto Sans"/>
          <w:b/>
          <w:color w:val="0A2342"/>
          <w:sz w:val="23"/>
        </w:rPr>
        <w:t xml:space="preserve">40.0.29</w:t>
      </w:r>
      <w:r>
        <w:rPr>
          <w:rFonts w:ascii="Noto Sans" w:hAnsi="Noto Sans" w:eastAsia="Noto Sans" w:cs="Noto Sans"/>
          <w:b/>
          <w:color w:val="0A2342"/>
          <w:sz w:val="23"/>
        </w:rPr>
        <w:tab/>
      </w:r>
      <w:r>
        <w:rPr>
          <w:rFonts w:ascii="Noto Sans" w:hAnsi="Noto Sans" w:eastAsia="Noto Sans" w:cs="Noto Sans"/>
          <w:b/>
          <w:color w:val="0A2342"/>
          <w:sz w:val="23"/>
        </w:rPr>
        <w:t xml:space="preserve">Chapter 29: Applied Regression and Classification Projects</w:t>
      </w:r>
    </w:p>
    <w:p>
      <w:pPr>
        <w:pStyle w:val="FirstParagraph"/>
      </w:pPr>
      <w:r>
        <w:rPr>
          <w:b/>
          <w:bCs/>
        </w:rPr>
        <w:t xml:space="preserve">Selected guidance.</w:t>
      </w:r>
      <w:r>
        <w:t xml:space="preserve"> </w:t>
      </w:r>
      <w:r>
        <w:t xml:space="preserve">For the housing data, compare a baseline with a regression model using MAE and residual plots. For Titanic, use a pipeline, confusion matrix, precision, recall, and cross-validation, then discuss why predictive performance does not settle fairness questions.</w:t>
      </w:r>
    </w:p>
    <w:bookmarkEnd w:id="792"/>
    <w:bookmarkStart w:id="793" w:name="X3386134d05bfd96c169f6234fb03f15462fb490"/>
    <w:p>
      <w:pPr>
        <w:pStyle w:val="Heading3"/>
        <w:keepNext/>
      </w:pPr>
      <w:r>
        <w:rPr>
          <w:rStyle w:val="SectionNumber"/>
          <w:rFonts w:ascii="Noto Sans" w:hAnsi="Noto Sans" w:eastAsia="Noto Sans" w:cs="Noto Sans"/>
          <w:b/>
          <w:color w:val="0A2342"/>
          <w:sz w:val="23"/>
        </w:rPr>
        <w:t xml:space="preserve">40.0.30</w:t>
      </w:r>
      <w:r>
        <w:rPr>
          <w:rFonts w:ascii="Noto Sans" w:hAnsi="Noto Sans" w:eastAsia="Noto Sans" w:cs="Noto Sans"/>
          <w:b/>
          <w:color w:val="0A2342"/>
          <w:sz w:val="23"/>
        </w:rPr>
        <w:tab/>
      </w:r>
      <w:r>
        <w:rPr>
          <w:rFonts w:ascii="Noto Sans" w:hAnsi="Noto Sans" w:eastAsia="Noto Sans" w:cs="Noto Sans"/>
          <w:b/>
          <w:color w:val="0A2342"/>
          <w:sz w:val="23"/>
        </w:rPr>
        <w:t xml:space="preserve">Chapter 30: Neural Networks and Deep Learning</w:t>
      </w:r>
    </w:p>
    <w:p>
      <w:pPr>
        <w:pStyle w:val="FirstParagraph"/>
      </w:pPr>
      <w:r>
        <w:rPr>
          <w:b/>
          <w:bCs/>
        </w:rPr>
        <w:t xml:space="preserve">Selected guidance.</w:t>
      </w:r>
      <w:r>
        <w:t xml:space="preserve"> </w:t>
      </w:r>
      <w:r>
        <w:t xml:space="preserve">Train the small neural network with fixed seeds and plot training and validation loss. Change one architecture or regularization choice, report the effect, and avoid claiming that one stochastic run proves superiority.</w:t>
      </w:r>
    </w:p>
    <w:bookmarkEnd w:id="793"/>
    <w:bookmarkStart w:id="794" w:name="chapter-31-computer-vision"/>
    <w:p>
      <w:pPr>
        <w:pStyle w:val="Heading3"/>
        <w:keepNext/>
      </w:pPr>
      <w:r>
        <w:rPr>
          <w:rStyle w:val="SectionNumber"/>
          <w:rFonts w:ascii="Noto Sans" w:hAnsi="Noto Sans" w:eastAsia="Noto Sans" w:cs="Noto Sans"/>
          <w:b/>
          <w:color w:val="0A2342"/>
          <w:sz w:val="23"/>
        </w:rPr>
        <w:t xml:space="preserve">40.0.31</w:t>
      </w:r>
      <w:r>
        <w:rPr>
          <w:rFonts w:ascii="Noto Sans" w:hAnsi="Noto Sans" w:eastAsia="Noto Sans" w:cs="Noto Sans"/>
          <w:b/>
          <w:color w:val="0A2342"/>
          <w:sz w:val="23"/>
        </w:rPr>
        <w:tab/>
      </w:r>
      <w:r>
        <w:rPr>
          <w:rFonts w:ascii="Noto Sans" w:hAnsi="Noto Sans" w:eastAsia="Noto Sans" w:cs="Noto Sans"/>
          <w:b/>
          <w:color w:val="0A2342"/>
          <w:sz w:val="23"/>
        </w:rPr>
        <w:t xml:space="preserve">Chapter 31: Computer Vision</w:t>
      </w:r>
    </w:p>
    <w:p>
      <w:pPr>
        <w:pStyle w:val="FirstParagraph"/>
      </w:pPr>
      <w:r>
        <w:rPr>
          <w:b/>
          <w:bCs/>
        </w:rPr>
        <w:t xml:space="preserve">Selected guidance.</w:t>
      </w:r>
      <w:r>
        <w:t xml:space="preserve"> </w:t>
      </w:r>
      <w:r>
        <w:t xml:space="preserve">Apply the supplied convolution kernel to a simple image and explain the resulting feature map. Then identify one augmentation that preserves the label and one transformation that could invalidate it.</w:t>
      </w:r>
    </w:p>
    <w:bookmarkEnd w:id="794"/>
    <w:bookmarkStart w:id="795" w:name="Xd079c0092165f4a233949d73342271a7b644d47"/>
    <w:p>
      <w:pPr>
        <w:pStyle w:val="Heading3"/>
        <w:keepNext/>
      </w:pPr>
      <w:r>
        <w:rPr>
          <w:rStyle w:val="SectionNumber"/>
          <w:rFonts w:ascii="Noto Sans" w:hAnsi="Noto Sans" w:eastAsia="Noto Sans" w:cs="Noto Sans"/>
          <w:b/>
          <w:color w:val="0A2342"/>
          <w:sz w:val="23"/>
        </w:rPr>
        <w:t xml:space="preserve">40.0.32</w:t>
      </w:r>
      <w:r>
        <w:rPr>
          <w:rFonts w:ascii="Noto Sans" w:hAnsi="Noto Sans" w:eastAsia="Noto Sans" w:cs="Noto Sans"/>
          <w:b/>
          <w:color w:val="0A2342"/>
          <w:sz w:val="23"/>
        </w:rPr>
        <w:tab/>
      </w:r>
      <w:r>
        <w:rPr>
          <w:rFonts w:ascii="Noto Sans" w:hAnsi="Noto Sans" w:eastAsia="Noto Sans" w:cs="Noto Sans"/>
          <w:b/>
          <w:color w:val="0A2342"/>
          <w:sz w:val="23"/>
        </w:rPr>
        <w:t xml:space="preserve">Chapter 32: Natural-Language Processing and Transformers</w:t>
      </w:r>
    </w:p>
    <w:p>
      <w:pPr>
        <w:pStyle w:val="FirstParagraph"/>
      </w:pPr>
      <w:r>
        <w:rPr>
          <w:b/>
          <w:bCs/>
        </w:rPr>
        <w:t xml:space="preserve">Selected guidance.</w:t>
      </w:r>
      <w:r>
        <w:t xml:space="preserve"> </w:t>
      </w:r>
      <w:r>
        <w:t xml:space="preserve">Build a TF-IDF baseline before discussing embeddings or transformers. Inspect false positives and false negatives, calculate cosine similarity carefully, and note how tokenization and domain shift can change results.</w:t>
      </w:r>
    </w:p>
    <w:bookmarkEnd w:id="795"/>
    <w:bookmarkStart w:id="796" w:name="Xb9ce2740e2fa599be556967c28dbcb12fe6b7d4"/>
    <w:p>
      <w:pPr>
        <w:pStyle w:val="Heading3"/>
        <w:keepNext/>
      </w:pPr>
      <w:r>
        <w:rPr>
          <w:rStyle w:val="SectionNumber"/>
          <w:rFonts w:ascii="Noto Sans" w:hAnsi="Noto Sans" w:eastAsia="Noto Sans" w:cs="Noto Sans"/>
          <w:b/>
          <w:color w:val="0A2342"/>
          <w:sz w:val="23"/>
        </w:rPr>
        <w:t xml:space="preserve">40.0.33</w:t>
      </w:r>
      <w:r>
        <w:rPr>
          <w:rFonts w:ascii="Noto Sans" w:hAnsi="Noto Sans" w:eastAsia="Noto Sans" w:cs="Noto Sans"/>
          <w:b/>
          <w:color w:val="0A2342"/>
          <w:sz w:val="23"/>
        </w:rPr>
        <w:tab/>
      </w:r>
      <w:r>
        <w:rPr>
          <w:rFonts w:ascii="Noto Sans" w:hAnsi="Noto Sans" w:eastAsia="Noto Sans" w:cs="Noto Sans"/>
          <w:b/>
          <w:color w:val="0A2342"/>
          <w:sz w:val="23"/>
        </w:rPr>
        <w:t xml:space="preserve">Chapter 33: Language Models, Retrieval, and AI Agents</w:t>
      </w:r>
    </w:p>
    <w:p>
      <w:pPr>
        <w:pStyle w:val="FirstParagraph"/>
      </w:pPr>
      <w:r>
        <w:rPr>
          <w:b/>
          <w:bCs/>
        </w:rPr>
        <w:t xml:space="preserve">Selected guidance.</w:t>
      </w:r>
      <w:r>
        <w:t xml:space="preserve"> </w:t>
      </w:r>
      <w:r>
        <w:t xml:space="preserve">Construct a tiny retrieval pipeline that returns source passages before generating an answer. Record chunking and ranking choices, require citations to retrieved evidence, and define a stopping rule for the agent loop.</w:t>
      </w:r>
    </w:p>
    <w:bookmarkEnd w:id="796"/>
    <w:bookmarkStart w:id="797" w:name="X118ad931d8c1cf9dab7acad0f1c1c4e53ea2e7c"/>
    <w:p>
      <w:pPr>
        <w:pStyle w:val="Heading3"/>
        <w:keepNext/>
      </w:pPr>
      <w:r>
        <w:rPr>
          <w:rStyle w:val="SectionNumber"/>
          <w:rFonts w:ascii="Noto Sans" w:hAnsi="Noto Sans" w:eastAsia="Noto Sans" w:cs="Noto Sans"/>
          <w:b/>
          <w:color w:val="0A2342"/>
          <w:sz w:val="23"/>
        </w:rPr>
        <w:t xml:space="preserve">40.0.34</w:t>
      </w:r>
      <w:r>
        <w:rPr>
          <w:rFonts w:ascii="Noto Sans" w:hAnsi="Noto Sans" w:eastAsia="Noto Sans" w:cs="Noto Sans"/>
          <w:b/>
          <w:color w:val="0A2342"/>
          <w:sz w:val="23"/>
        </w:rPr>
        <w:tab/>
      </w:r>
      <w:r>
        <w:rPr>
          <w:rFonts w:ascii="Noto Sans" w:hAnsi="Noto Sans" w:eastAsia="Noto Sans" w:cs="Noto Sans"/>
          <w:b/>
          <w:color w:val="0A2342"/>
          <w:sz w:val="23"/>
        </w:rPr>
        <w:t xml:space="preserve">Chapter 34: Capstone Projects and Student Portfolio</w:t>
      </w:r>
    </w:p>
    <w:p>
      <w:pPr>
        <w:pStyle w:val="FirstParagraph"/>
      </w:pPr>
      <w:r>
        <w:rPr>
          <w:b/>
          <w:bCs/>
        </w:rPr>
        <w:t xml:space="preserve">Selected guidance.</w:t>
      </w:r>
      <w:r>
        <w:t xml:space="preserve"> </w:t>
      </w:r>
      <w:r>
        <w:t xml:space="preserve">For each capstone, state the question, provenance, benchmark, validation design, principal figure, limitation, and reproducibility steps. A portfolio-ready result communicates what was learned without hiding failed models or uncertain evidence.</w:t>
      </w:r>
    </w:p>
    <w:bookmarkEnd w:id="797"/>
    <w:bookmarkEnd w:id="798"/>
    <w:bookmarkStart w:id="799" w:name="Xfe9f3f1af4215b2117644f4ab1c4f6d654af906"/>
    <w:p>
      <w:pPr>
        <w:pStyle w:val="Heading1"/>
        <w:keepNext/>
        <w:pageBreakBefore/>
      </w:pPr>
      <w:r>
        <w:rPr>
          <w:rStyle w:val="SectionNumber"/>
          <w:rFonts w:ascii="Noto Sans" w:hAnsi="Noto Sans" w:eastAsia="Noto Sans" w:cs="Noto Sans"/>
          <w:b/>
          <w:color w:val="0A2342"/>
          <w:sz w:val="43"/>
        </w:rPr>
        <w:t xml:space="preserve">41</w:t>
      </w:r>
      <w:r>
        <w:rPr>
          <w:rFonts w:ascii="Noto Sans" w:hAnsi="Noto Sans" w:eastAsia="Noto Sans" w:cs="Noto Sans"/>
          <w:b/>
          <w:color w:val="0A2342"/>
          <w:sz w:val="43"/>
        </w:rPr>
        <w:tab/>
      </w:r>
      <w:r>
        <w:rPr>
          <w:rFonts w:ascii="Noto Sans" w:hAnsi="Noto Sans" w:eastAsia="Noto Sans" w:cs="Noto Sans"/>
          <w:b/>
          <w:color w:val="0A2342"/>
          <w:sz w:val="43"/>
        </w:rPr>
        <w:t xml:space="preserve">Appendix G. Data Sources, Licences, and Attribution</w:t>
      </w:r>
    </w:p>
    <w:tbl>
      <w:tblPr>
        <w:tblStyle w:val="Table"/>
        <w:tblW w:type="pct" w:w="5000"/>
        <w:jc w:val="center"/>
        <w:tblLayout w:type="autofit"/>
        <w:tblLook w:firstRow="1" w:lastRow="0" w:firstColumn="0" w:lastColumn="0" w:noHBand="0" w:noVBand="0" w:val="0020"/>
      </w:tblPr>
      <w:tblGrid>
        <w:gridCol w:w="1980"/>
        <w:gridCol w:w="1980"/>
        <w:gridCol w:w="1980"/>
        <w:gridCol w:w="1980"/>
      </w:tblGrid>
      <w:tr>
        <w:trPr>
          <w:tblHeader w:val="on"/>
          <w:tblHeader w:val="true"/>
          <w:cantSplit/>
        </w:trPr>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0A2342" w:val="clear"/>
          </w:tcPr>
          <w:p>
            <w:pPr>
              <w:pStyle w:val="Compact"/>
              <w:spacing w:before="30" w:after="30" w:line="240" w:lineRule="auto"/>
              <w:jc w:val="left"/>
            </w:pPr>
            <w:r>
              <w:rPr>
                <w:rFonts w:ascii="Noto Sans" w:hAnsi="Noto Sans" w:eastAsia="Noto Sans" w:cs="Noto Sans"/>
                <w:b/>
                <w:color w:val="FFFFFF"/>
                <w:sz w:val="16"/>
              </w:rPr>
              <w:t xml:space="preserve">Asset</w:t>
            </w:r>
          </w:p>
        </w:tc>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0A2342" w:val="clear"/>
          </w:tcPr>
          <w:p>
            <w:pPr>
              <w:pStyle w:val="Compact"/>
              <w:spacing w:before="30" w:after="30" w:line="240" w:lineRule="auto"/>
              <w:jc w:val="left"/>
            </w:pPr>
            <w:r>
              <w:rPr>
                <w:rFonts w:ascii="Noto Sans" w:hAnsi="Noto Sans" w:eastAsia="Noto Sans" w:cs="Noto Sans"/>
                <w:b/>
                <w:color w:val="FFFFFF"/>
                <w:sz w:val="16"/>
              </w:rPr>
              <w:t xml:space="preserve">Provider/source</w:t>
            </w:r>
          </w:p>
        </w:tc>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0A2342" w:val="clear"/>
          </w:tcPr>
          <w:p>
            <w:pPr>
              <w:pStyle w:val="Compact"/>
              <w:spacing w:before="30" w:after="30" w:line="240" w:lineRule="auto"/>
              <w:jc w:val="left"/>
            </w:pPr>
            <w:r>
              <w:rPr>
                <w:rFonts w:ascii="Noto Sans" w:hAnsi="Noto Sans" w:eastAsia="Noto Sans" w:cs="Noto Sans"/>
                <w:b/>
                <w:color w:val="FFFFFF"/>
                <w:sz w:val="16"/>
              </w:rPr>
              <w:t xml:space="preserve">Status in public package</w:t>
            </w:r>
          </w:p>
        </w:tc>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0A2342" w:val="clear"/>
          </w:tcPr>
          <w:p>
            <w:pPr>
              <w:pStyle w:val="Compact"/>
              <w:spacing w:before="30" w:after="30" w:line="240" w:lineRule="auto"/>
              <w:jc w:val="left"/>
            </w:pPr>
            <w:r>
              <w:rPr>
                <w:rFonts w:ascii="Noto Sans" w:hAnsi="Noto Sans" w:eastAsia="Noto Sans" w:cs="Noto Sans"/>
                <w:b/>
                <w:color w:val="FFFFFF"/>
                <w:sz w:val="16"/>
              </w:rPr>
              <w:t xml:space="preserve">Licence/rights note</w:t>
            </w:r>
          </w:p>
        </w:tc>
      </w:tr>
      <w:tr>
        <w:trPr>
          <w:cantSplit/>
        </w:trPr>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EEF4F8" w:val="clear"/>
          </w:tcPr>
          <w:p>
            <w:pPr>
              <w:pStyle w:val="Compact"/>
              <w:spacing w:before="30" w:after="30" w:line="240" w:lineRule="auto"/>
              <w:jc w:val="left"/>
            </w:pPr>
            <w:r>
              <w:rPr>
                <w:rFonts w:ascii="Noto Sans" w:hAnsi="Noto Sans" w:eastAsia="Noto Sans" w:cs="Noto Sans"/>
                <w:b w:val="0"/>
                <w:color w:val="18212B"/>
                <w:sz w:val="16"/>
              </w:rPr>
              <w:t xml:space="preserve">FXUSDCAD snapshot</w:t>
            </w:r>
          </w:p>
        </w:tc>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EEF4F8" w:val="clear"/>
          </w:tcPr>
          <w:p>
            <w:pPr>
              <w:pStyle w:val="Compact"/>
              <w:spacing w:before="30" w:after="30" w:line="240" w:lineRule="auto"/>
              <w:jc w:val="left"/>
            </w:pPr>
            <w:r>
              <w:rPr>
                <w:rFonts w:ascii="Noto Sans" w:hAnsi="Noto Sans" w:eastAsia="Noto Sans" w:cs="Noto Sans"/>
                <w:b w:val="0"/>
                <w:color w:val="18212B"/>
                <w:sz w:val="16"/>
              </w:rPr>
              <w:t xml:space="preserve">Bank of Canada Valet API</w:t>
            </w:r>
          </w:p>
        </w:tc>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EEF4F8" w:val="clear"/>
          </w:tcPr>
          <w:p>
            <w:pPr>
              <w:pStyle w:val="Compact"/>
              <w:spacing w:before="30" w:after="30" w:line="240" w:lineRule="auto"/>
              <w:jc w:val="left"/>
            </w:pPr>
            <w:r>
              <w:rPr>
                <w:rFonts w:ascii="Noto Sans" w:hAnsi="Noto Sans" w:eastAsia="Noto Sans" w:cs="Noto Sans"/>
                <w:b w:val="0"/>
                <w:color w:val="18212B"/>
                <w:sz w:val="16"/>
              </w:rPr>
              <w:t xml:space="preserve">Included frozen CSV</w:t>
            </w:r>
          </w:p>
        </w:tc>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EEF4F8" w:val="clear"/>
          </w:tcPr>
          <w:p>
            <w:pPr>
              <w:pStyle w:val="Compact"/>
              <w:spacing w:before="30" w:after="30" w:line="240" w:lineRule="auto"/>
              <w:jc w:val="left"/>
            </w:pPr>
            <w:r>
              <w:rPr>
                <w:rFonts w:ascii="Noto Sans" w:hAnsi="Noto Sans" w:eastAsia="Noto Sans" w:cs="Noto Sans"/>
                <w:b w:val="0"/>
                <w:color w:val="18212B"/>
                <w:sz w:val="16"/>
              </w:rPr>
              <w:t xml:space="preserve">Official data; attribution and retrieval metadata supplied.</w:t>
            </w:r>
          </w:p>
        </w:tc>
      </w:tr>
      <w:tr>
        <w:trPr>
          <w:cantSplit/>
        </w:trPr>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FFFFFF" w:val="clear"/>
          </w:tcPr>
          <w:p>
            <w:pPr>
              <w:pStyle w:val="Compact"/>
              <w:spacing w:before="30" w:after="30" w:line="240" w:lineRule="auto"/>
              <w:jc w:val="left"/>
            </w:pPr>
            <w:r>
              <w:rPr>
                <w:rFonts w:ascii="Noto Sans" w:hAnsi="Noto Sans" w:eastAsia="Noto Sans" w:cs="Noto Sans"/>
                <w:b w:val="0"/>
                <w:color w:val="18212B"/>
                <w:sz w:val="16"/>
              </w:rPr>
              <w:t xml:space="preserve">Tehran house prices</w:t>
            </w:r>
          </w:p>
        </w:tc>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FFFFFF" w:val="clear"/>
          </w:tcPr>
          <w:p>
            <w:pPr>
              <w:pStyle w:val="Compact"/>
              <w:spacing w:before="30" w:after="30" w:line="240" w:lineRule="auto"/>
              <w:jc w:val="left"/>
            </w:pPr>
            <w:r>
              <w:rPr>
                <w:rFonts w:ascii="Noto Sans" w:hAnsi="Noto Sans" w:eastAsia="Noto Sans" w:cs="Noto Sans"/>
                <w:b w:val="0"/>
                <w:color w:val="18212B"/>
                <w:sz w:val="16"/>
              </w:rPr>
              <w:t xml:space="preserve">IntroAI repository</w:t>
            </w:r>
          </w:p>
        </w:tc>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FFFFFF" w:val="clear"/>
          </w:tcPr>
          <w:p>
            <w:pPr>
              <w:pStyle w:val="Compact"/>
              <w:spacing w:before="30" w:after="30" w:line="240" w:lineRule="auto"/>
              <w:jc w:val="left"/>
            </w:pPr>
            <w:r>
              <w:rPr>
                <w:rFonts w:ascii="Noto Sans" w:hAnsi="Noto Sans" w:eastAsia="Noto Sans" w:cs="Noto Sans"/>
                <w:b w:val="0"/>
                <w:color w:val="18212B"/>
                <w:sz w:val="16"/>
              </w:rPr>
              <w:t xml:space="preserve">Included</w:t>
            </w:r>
          </w:p>
        </w:tc>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FFFFFF" w:val="clear"/>
          </w:tcPr>
          <w:p>
            <w:pPr>
              <w:pStyle w:val="Compact"/>
              <w:spacing w:before="30" w:after="30" w:line="240" w:lineRule="auto"/>
              <w:jc w:val="left"/>
            </w:pPr>
            <w:r>
              <w:rPr>
                <w:rFonts w:ascii="Noto Sans" w:hAnsi="Noto Sans" w:eastAsia="Noto Sans" w:cs="Noto Sans"/>
                <w:b w:val="0"/>
                <w:color w:val="18212B"/>
                <w:sz w:val="16"/>
              </w:rPr>
              <w:t xml:space="preserve">Reused under repository CC BY 4.0; creator credited.</w:t>
            </w:r>
          </w:p>
        </w:tc>
      </w:tr>
      <w:tr>
        <w:trPr>
          <w:cantSplit/>
        </w:trPr>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EEF4F8" w:val="clear"/>
          </w:tcPr>
          <w:p>
            <w:pPr>
              <w:pStyle w:val="Compact"/>
              <w:spacing w:before="30" w:after="30" w:line="240" w:lineRule="auto"/>
              <w:jc w:val="left"/>
            </w:pPr>
            <w:r>
              <w:rPr>
                <w:rFonts w:ascii="Noto Sans" w:hAnsi="Noto Sans" w:eastAsia="Noto Sans" w:cs="Noto Sans"/>
                <w:b w:val="0"/>
                <w:color w:val="18212B"/>
                <w:sz w:val="16"/>
              </w:rPr>
              <w:t xml:space="preserve">Titanic data</w:t>
            </w:r>
          </w:p>
        </w:tc>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EEF4F8" w:val="clear"/>
          </w:tcPr>
          <w:p>
            <w:pPr>
              <w:pStyle w:val="Compact"/>
              <w:spacing w:before="30" w:after="30" w:line="240" w:lineRule="auto"/>
              <w:jc w:val="left"/>
            </w:pPr>
            <w:r>
              <w:rPr>
                <w:rFonts w:ascii="Noto Sans" w:hAnsi="Noto Sans" w:eastAsia="Noto Sans" w:cs="Noto Sans"/>
                <w:b w:val="0"/>
                <w:color w:val="18212B"/>
                <w:sz w:val="16"/>
              </w:rPr>
              <w:t xml:space="preserve">IntroAI repository</w:t>
            </w:r>
          </w:p>
        </w:tc>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EEF4F8" w:val="clear"/>
          </w:tcPr>
          <w:p>
            <w:pPr>
              <w:pStyle w:val="Compact"/>
              <w:spacing w:before="30" w:after="30" w:line="240" w:lineRule="auto"/>
              <w:jc w:val="left"/>
            </w:pPr>
            <w:r>
              <w:rPr>
                <w:rFonts w:ascii="Noto Sans" w:hAnsi="Noto Sans" w:eastAsia="Noto Sans" w:cs="Noto Sans"/>
                <w:b w:val="0"/>
                <w:color w:val="18212B"/>
                <w:sz w:val="16"/>
              </w:rPr>
              <w:t xml:space="preserve">Included</w:t>
            </w:r>
          </w:p>
        </w:tc>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EEF4F8" w:val="clear"/>
          </w:tcPr>
          <w:p>
            <w:pPr>
              <w:pStyle w:val="Compact"/>
              <w:spacing w:before="30" w:after="30" w:line="240" w:lineRule="auto"/>
              <w:jc w:val="left"/>
            </w:pPr>
            <w:r>
              <w:rPr>
                <w:rFonts w:ascii="Noto Sans" w:hAnsi="Noto Sans" w:eastAsia="Noto Sans" w:cs="Noto Sans"/>
                <w:b w:val="0"/>
                <w:color w:val="18212B"/>
                <w:sz w:val="16"/>
              </w:rPr>
              <w:t xml:space="preserve">Reused under repository CC BY 4.0; upstream provenance noted.</w:t>
            </w:r>
          </w:p>
        </w:tc>
      </w:tr>
      <w:tr>
        <w:trPr>
          <w:cantSplit/>
        </w:trPr>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FFFFFF" w:val="clear"/>
          </w:tcPr>
          <w:p>
            <w:pPr>
              <w:pStyle w:val="Compact"/>
              <w:spacing w:before="30" w:after="30" w:line="240" w:lineRule="auto"/>
              <w:jc w:val="left"/>
            </w:pPr>
            <w:r>
              <w:rPr>
                <w:rFonts w:ascii="Noto Sans" w:hAnsi="Noto Sans" w:eastAsia="Noto Sans" w:cs="Noto Sans"/>
                <w:b w:val="0"/>
                <w:color w:val="18212B"/>
                <w:sz w:val="16"/>
              </w:rPr>
              <w:t xml:space="preserve">Tiny Shakespeare text</w:t>
            </w:r>
          </w:p>
        </w:tc>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FFFFFF" w:val="clear"/>
          </w:tcPr>
          <w:p>
            <w:pPr>
              <w:pStyle w:val="Compact"/>
              <w:spacing w:before="30" w:after="30" w:line="240" w:lineRule="auto"/>
              <w:jc w:val="left"/>
            </w:pPr>
            <w:r>
              <w:rPr>
                <w:rFonts w:ascii="Noto Sans" w:hAnsi="Noto Sans" w:eastAsia="Noto Sans" w:cs="Noto Sans"/>
                <w:b w:val="0"/>
                <w:color w:val="18212B"/>
                <w:sz w:val="16"/>
              </w:rPr>
              <w:t xml:space="preserve">IntroAI repository</w:t>
            </w:r>
          </w:p>
        </w:tc>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FFFFFF" w:val="clear"/>
          </w:tcPr>
          <w:p>
            <w:pPr>
              <w:pStyle w:val="Compact"/>
              <w:spacing w:before="30" w:after="30" w:line="240" w:lineRule="auto"/>
              <w:jc w:val="left"/>
            </w:pPr>
            <w:r>
              <w:rPr>
                <w:rFonts w:ascii="Noto Sans" w:hAnsi="Noto Sans" w:eastAsia="Noto Sans" w:cs="Noto Sans"/>
                <w:b w:val="0"/>
                <w:color w:val="18212B"/>
                <w:sz w:val="16"/>
              </w:rPr>
              <w:t xml:space="preserve">Included for optional local NLP</w:t>
            </w:r>
          </w:p>
        </w:tc>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FFFFFF" w:val="clear"/>
          </w:tcPr>
          <w:p>
            <w:pPr>
              <w:pStyle w:val="Compact"/>
              <w:spacing w:before="30" w:after="30" w:line="240" w:lineRule="auto"/>
              <w:jc w:val="left"/>
            </w:pPr>
            <w:r>
              <w:rPr>
                <w:rFonts w:ascii="Noto Sans" w:hAnsi="Noto Sans" w:eastAsia="Noto Sans" w:cs="Noto Sans"/>
                <w:b w:val="0"/>
                <w:color w:val="18212B"/>
                <w:sz w:val="16"/>
              </w:rPr>
              <w:t xml:space="preserve">Archive licence retained; external source history noted.</w:t>
            </w:r>
          </w:p>
        </w:tc>
      </w:tr>
      <w:tr>
        <w:trPr>
          <w:cantSplit/>
        </w:trPr>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EEF4F8" w:val="clear"/>
          </w:tcPr>
          <w:p>
            <w:pPr>
              <w:pStyle w:val="Compact"/>
              <w:spacing w:before="30" w:after="30" w:line="240" w:lineRule="auto"/>
              <w:jc w:val="left"/>
            </w:pPr>
            <w:r>
              <w:rPr>
                <w:rFonts w:ascii="Noto Sans" w:hAnsi="Noto Sans" w:eastAsia="Noto Sans" w:cs="Noto Sans"/>
                <w:b w:val="0"/>
                <w:color w:val="18212B"/>
                <w:sz w:val="16"/>
              </w:rPr>
              <w:t xml:space="preserve">Financial lecture PDFs</w:t>
            </w:r>
          </w:p>
        </w:tc>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EEF4F8" w:val="clear"/>
          </w:tcPr>
          <w:p>
            <w:pPr>
              <w:pStyle w:val="Compact"/>
              <w:spacing w:before="30" w:after="30" w:line="240" w:lineRule="auto"/>
              <w:jc w:val="left"/>
            </w:pPr>
            <w:r>
              <w:rPr>
                <w:rFonts w:ascii="Noto Sans" w:hAnsi="Noto Sans" w:eastAsia="Noto Sans" w:cs="Noto Sans"/>
                <w:b w:val="0"/>
                <w:color w:val="18212B"/>
                <w:sz w:val="16"/>
              </w:rPr>
              <w:t xml:space="preserve">Ruey S. Tsay course notes</w:t>
            </w:r>
          </w:p>
        </w:tc>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EEF4F8" w:val="clear"/>
          </w:tcPr>
          <w:p>
            <w:pPr>
              <w:pStyle w:val="Compact"/>
              <w:spacing w:before="30" w:after="30" w:line="240" w:lineRule="auto"/>
              <w:jc w:val="left"/>
            </w:pPr>
            <w:r>
              <w:rPr>
                <w:rFonts w:ascii="Noto Sans" w:hAnsi="Noto Sans" w:eastAsia="Noto Sans" w:cs="Noto Sans"/>
                <w:b w:val="0"/>
                <w:color w:val="18212B"/>
                <w:sz w:val="16"/>
              </w:rPr>
              <w:t xml:space="preserve">Not redistributed</w:t>
            </w:r>
          </w:p>
        </w:tc>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EEF4F8" w:val="clear"/>
          </w:tcPr>
          <w:p>
            <w:pPr>
              <w:pStyle w:val="Compact"/>
              <w:spacing w:before="30" w:after="30" w:line="240" w:lineRule="auto"/>
              <w:jc w:val="left"/>
            </w:pPr>
            <w:r>
              <w:rPr>
                <w:rFonts w:ascii="Noto Sans" w:hAnsi="Noto Sans" w:eastAsia="Noto Sans" w:cs="Noto Sans"/>
                <w:b w:val="0"/>
                <w:color w:val="18212B"/>
                <w:sz w:val="16"/>
              </w:rPr>
              <w:t xml:space="preserve">Used as conceptual source and cited.</w:t>
            </w:r>
          </w:p>
        </w:tc>
      </w:tr>
      <w:tr>
        <w:trPr>
          <w:cantSplit/>
        </w:trPr>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FFFFFF" w:val="clear"/>
          </w:tcPr>
          <w:p>
            <w:pPr>
              <w:pStyle w:val="Compact"/>
              <w:spacing w:before="30" w:after="30" w:line="240" w:lineRule="auto"/>
              <w:jc w:val="left"/>
            </w:pPr>
            <w:r>
              <w:rPr>
                <w:rFonts w:ascii="Noto Sans" w:hAnsi="Noto Sans" w:eastAsia="Noto Sans" w:cs="Noto Sans"/>
                <w:b w:val="0"/>
                <w:color w:val="18212B"/>
                <w:sz w:val="16"/>
              </w:rPr>
              <w:t xml:space="preserve">Source figures from PDFs</w:t>
            </w:r>
          </w:p>
        </w:tc>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FFFFFF" w:val="clear"/>
          </w:tcPr>
          <w:p>
            <w:pPr>
              <w:pStyle w:val="Compact"/>
              <w:spacing w:before="30" w:after="30" w:line="240" w:lineRule="auto"/>
              <w:jc w:val="left"/>
            </w:pPr>
            <w:r>
              <w:rPr>
                <w:rFonts w:ascii="Noto Sans" w:hAnsi="Noto Sans" w:eastAsia="Noto Sans" w:cs="Noto Sans"/>
                <w:b w:val="0"/>
                <w:color w:val="18212B"/>
                <w:sz w:val="16"/>
              </w:rPr>
              <w:t xml:space="preserve">Ruey S. Tsay course notes</w:t>
            </w:r>
          </w:p>
        </w:tc>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FFFFFF" w:val="clear"/>
          </w:tcPr>
          <w:p>
            <w:pPr>
              <w:pStyle w:val="Compact"/>
              <w:spacing w:before="30" w:after="30" w:line="240" w:lineRule="auto"/>
              <w:jc w:val="left"/>
            </w:pPr>
            <w:r>
              <w:rPr>
                <w:rFonts w:ascii="Noto Sans" w:hAnsi="Noto Sans" w:eastAsia="Noto Sans" w:cs="Noto Sans"/>
                <w:b w:val="0"/>
                <w:color w:val="18212B"/>
                <w:sz w:val="16"/>
              </w:rPr>
              <w:t xml:space="preserve">Not reused</w:t>
            </w:r>
          </w:p>
        </w:tc>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FFFFFF" w:val="clear"/>
          </w:tcPr>
          <w:p>
            <w:pPr>
              <w:pStyle w:val="Compact"/>
              <w:spacing w:before="30" w:after="30" w:line="240" w:lineRule="auto"/>
              <w:jc w:val="left"/>
            </w:pPr>
            <w:r>
              <w:rPr>
                <w:rFonts w:ascii="Noto Sans" w:hAnsi="Noto Sans" w:eastAsia="Noto Sans" w:cs="Noto Sans"/>
                <w:b w:val="0"/>
                <w:color w:val="18212B"/>
                <w:sz w:val="16"/>
              </w:rPr>
              <w:t xml:space="preserve">All visuals recreated with Python.</w:t>
            </w:r>
          </w:p>
        </w:tc>
      </w:tr>
      <w:tr>
        <w:trPr>
          <w:cantSplit/>
        </w:trPr>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EEF4F8" w:val="clear"/>
          </w:tcPr>
          <w:p>
            <w:pPr>
              <w:pStyle w:val="Compact"/>
              <w:spacing w:before="30" w:after="30" w:line="240" w:lineRule="auto"/>
              <w:jc w:val="left"/>
            </w:pPr>
            <w:r>
              <w:rPr>
                <w:rFonts w:ascii="Noto Sans" w:hAnsi="Noto Sans" w:eastAsia="Noto Sans" w:cs="Noto Sans"/>
                <w:b w:val="0"/>
                <w:color w:val="18212B"/>
                <w:sz w:val="16"/>
              </w:rPr>
              <w:t xml:space="preserve">GloVe subsets/images in IntroAI</w:t>
            </w:r>
          </w:p>
        </w:tc>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EEF4F8" w:val="clear"/>
          </w:tcPr>
          <w:p>
            <w:pPr>
              <w:pStyle w:val="Compact"/>
              <w:spacing w:before="30" w:after="30" w:line="240" w:lineRule="auto"/>
              <w:jc w:val="left"/>
            </w:pPr>
            <w:r>
              <w:rPr>
                <w:rFonts w:ascii="Noto Sans" w:hAnsi="Noto Sans" w:eastAsia="Noto Sans" w:cs="Noto Sans"/>
                <w:b w:val="0"/>
                <w:color w:val="18212B"/>
                <w:sz w:val="16"/>
              </w:rPr>
              <w:t xml:space="preserve">Third-party assets</w:t>
            </w:r>
          </w:p>
        </w:tc>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EEF4F8" w:val="clear"/>
          </w:tcPr>
          <w:p>
            <w:pPr>
              <w:pStyle w:val="Compact"/>
              <w:spacing w:before="30" w:after="30" w:line="240" w:lineRule="auto"/>
              <w:jc w:val="left"/>
            </w:pPr>
            <w:r>
              <w:rPr>
                <w:rFonts w:ascii="Noto Sans" w:hAnsi="Noto Sans" w:eastAsia="Noto Sans" w:cs="Noto Sans"/>
                <w:b w:val="0"/>
                <w:color w:val="18212B"/>
                <w:sz w:val="16"/>
              </w:rPr>
              <w:t xml:space="preserve">Excluded</w:t>
            </w:r>
          </w:p>
        </w:tc>
        <w:tc>
          <w:tcPr>
            <w:vAlign w:val="center"/>
            <w:tcBorders>
              <w:top w:val="single" w:sz="4" w:space="0" w:color="B7C8D6"/>
              <w:left w:val="single" w:sz="4" w:space="0" w:color="B7C8D6"/>
              <w:bottom w:val="single" w:sz="4" w:space="0" w:color="B7C8D6"/>
              <w:right w:val="single" w:sz="4" w:space="0" w:color="B7C8D6"/>
              <w:insideH w:val="single" w:sz="4" w:space="0" w:color="B7C8D6"/>
              <w:insideV w:val="single" w:sz="4" w:space="0" w:color="B7C8D6"/>
            </w:tcBorders>
            <w:shd w:fill="EEF4F8" w:val="clear"/>
          </w:tcPr>
          <w:p>
            <w:pPr>
              <w:pStyle w:val="Compact"/>
              <w:spacing w:before="30" w:after="30" w:line="240" w:lineRule="auto"/>
              <w:jc w:val="left"/>
            </w:pPr>
            <w:r>
              <w:rPr>
                <w:rFonts w:ascii="Noto Sans" w:hAnsi="Noto Sans" w:eastAsia="Noto Sans" w:cs="Noto Sans"/>
                <w:b w:val="0"/>
                <w:color w:val="18212B"/>
                <w:sz w:val="16"/>
              </w:rPr>
              <w:t xml:space="preserve">Rights or redistribution conditions handled conservatively.</w:t>
            </w:r>
          </w:p>
        </w:tc>
      </w:tr>
    </w:tbl>
    <w:p>
      <w:pPr>
        <w:pStyle w:val="BodyText"/>
      </w:pPr>
      <w:r>
        <w:t xml:space="preserve">For the complete file-level decision record, see</w:t>
      </w:r>
      <w:r>
        <w:t xml:space="preserve"> </w:t>
      </w:r>
      <w:r>
        <w:rPr>
          <w:rStyle w:val="VerbatimChar"/>
        </w:rPr>
        <w:t xml:space="preserve">audits/SOURCE_AND_LICENSE_AUDIT.md</w:t>
      </w:r>
      <w:r>
        <w:t xml:space="preserve"> </w:t>
      </w:r>
      <w:r>
        <w:t xml:space="preserve">and</w:t>
      </w:r>
      <w:r>
        <w:t xml:space="preserve"> </w:t>
      </w:r>
      <w:r>
        <w:rPr>
          <w:rStyle w:val="VerbatimChar"/>
        </w:rPr>
        <w:t xml:space="preserve">audits/SOURCE_INVENTORY.csv</w:t>
      </w:r>
      <w:r>
        <w:t xml:space="preserve"> </w:t>
      </w:r>
      <w:r>
        <w:t xml:space="preserve">in the source package.</w:t>
      </w:r>
    </w:p>
    <w:bookmarkEnd w:id="799"/>
    <w:bookmarkStart w:id="800" w:name="appendix-h.-software-and-reproducibility"/>
    <w:p>
      <w:pPr>
        <w:pStyle w:val="Heading1"/>
        <w:keepNext/>
        <w:pageBreakBefore/>
      </w:pPr>
      <w:r>
        <w:rPr>
          <w:rStyle w:val="SectionNumber"/>
          <w:rFonts w:ascii="Noto Sans" w:hAnsi="Noto Sans" w:eastAsia="Noto Sans" w:cs="Noto Sans"/>
          <w:b/>
          <w:color w:val="0A2342"/>
          <w:sz w:val="43"/>
        </w:rPr>
        <w:t xml:space="preserve">42</w:t>
      </w:r>
      <w:r>
        <w:rPr>
          <w:rFonts w:ascii="Noto Sans" w:hAnsi="Noto Sans" w:eastAsia="Noto Sans" w:cs="Noto Sans"/>
          <w:b/>
          <w:color w:val="0A2342"/>
          <w:sz w:val="43"/>
        </w:rPr>
        <w:tab/>
      </w:r>
      <w:r>
        <w:rPr>
          <w:rFonts w:ascii="Noto Sans" w:hAnsi="Noto Sans" w:eastAsia="Noto Sans" w:cs="Noto Sans"/>
          <w:b/>
          <w:color w:val="0A2342"/>
          <w:sz w:val="43"/>
        </w:rPr>
        <w:t xml:space="preserve">Appendix H. Software and Reproducibility</w:t>
      </w:r>
    </w:p>
    <w:p>
      <w:pPr>
        <w:pStyle w:val="FirstParagraph"/>
      </w:pPr>
      <w:r>
        <w:t xml:space="preserve">The tested build records exact versions in</w:t>
      </w:r>
      <w:r>
        <w:t xml:space="preserve"> </w:t>
      </w:r>
      <w:r>
        <w:rPr>
          <w:rStyle w:val="VerbatimChar"/>
        </w:rPr>
        <w:t xml:space="preserve">environment.yml</w:t>
      </w:r>
      <w:r>
        <w:t xml:space="preserve"> </w:t>
      </w:r>
      <w:r>
        <w:t xml:space="preserve">and in the code-execution QA report stored in the</w:t>
      </w:r>
      <w:r>
        <w:t xml:space="preserve"> </w:t>
      </w:r>
      <w:r>
        <w:rPr>
          <w:rStyle w:val="VerbatimChar"/>
        </w:rPr>
        <w:t xml:space="preserve">audits</w:t>
      </w:r>
      <w:r>
        <w:t xml:space="preserve"> </w:t>
      </w:r>
      <w:r>
        <w:t xml:space="preserve">folder. The principal stack is Python, NumPy, pandas, SciPy, Matplotlib, statsmodels, scikit-learn, PyTorch, Jupyter, Pandoc, and XeLaTeX. The separate</w:t>
      </w:r>
      <w:r>
        <w:t xml:space="preserve"> </w:t>
      </w:r>
      <w:r>
        <w:rPr>
          <w:rStyle w:val="VerbatimChar"/>
        </w:rPr>
        <w:t xml:space="preserve">requirements.txt</w:t>
      </w:r>
      <w:r>
        <w:t xml:space="preserve"> </w:t>
      </w:r>
      <w:r>
        <w:t xml:space="preserve">uses compatible version ranges for students, while the environment file preserves the authoring environment.</w:t>
      </w:r>
    </w:p>
    <w:bookmarkEnd w:id="800"/>
    <w:bookmarkStart w:id="801" w:name="appendix-i.-accessibility-statement"/>
    <w:p>
      <w:pPr>
        <w:pStyle w:val="Heading1"/>
        <w:keepNext/>
        <w:pageBreakBefore/>
      </w:pPr>
      <w:r>
        <w:rPr>
          <w:rStyle w:val="SectionNumber"/>
          <w:rFonts w:ascii="Noto Sans" w:hAnsi="Noto Sans" w:eastAsia="Noto Sans" w:cs="Noto Sans"/>
          <w:b/>
          <w:color w:val="0A2342"/>
          <w:sz w:val="43"/>
        </w:rPr>
        <w:t xml:space="preserve">43</w:t>
      </w:r>
      <w:r>
        <w:rPr>
          <w:rFonts w:ascii="Noto Sans" w:hAnsi="Noto Sans" w:eastAsia="Noto Sans" w:cs="Noto Sans"/>
          <w:b/>
          <w:color w:val="0A2342"/>
          <w:sz w:val="43"/>
        </w:rPr>
        <w:tab/>
      </w:r>
      <w:r>
        <w:rPr>
          <w:rFonts w:ascii="Noto Sans" w:hAnsi="Noto Sans" w:eastAsia="Noto Sans" w:cs="Noto Sans"/>
          <w:b/>
          <w:color w:val="0A2342"/>
          <w:sz w:val="43"/>
        </w:rPr>
        <w:t xml:space="preserve">Appendix I. Accessibility Statement</w:t>
      </w:r>
    </w:p>
    <w:p>
      <w:pPr>
        <w:pStyle w:val="FirstParagraph"/>
      </w:pPr>
      <w:r>
        <w:t xml:space="preserve">The publication uses high-contrast navy and teal branding, readable body and code fonts, descriptive captions, selectable text, non-colour cues, wrapped code, and print-safe figures. The HTML edition includes responsive images, heading navigation, and descriptive link text. The PDF is generated from structured source; tagging support depends on the LaTeX engine and PDF toolchain.</w:t>
      </w:r>
    </w:p>
    <w:bookmarkEnd w:id="801"/>
    <w:bookmarkStart w:id="802" w:name="appendix-j.-acknowledgments"/>
    <w:p>
      <w:pPr>
        <w:pStyle w:val="Heading1"/>
        <w:keepNext/>
        <w:pageBreakBefore/>
      </w:pPr>
      <w:r>
        <w:rPr>
          <w:rStyle w:val="SectionNumber"/>
          <w:rFonts w:ascii="Noto Sans" w:hAnsi="Noto Sans" w:eastAsia="Noto Sans" w:cs="Noto Sans"/>
          <w:b/>
          <w:color w:val="0A2342"/>
          <w:sz w:val="43"/>
        </w:rPr>
        <w:t xml:space="preserve">44</w:t>
      </w:r>
      <w:r>
        <w:rPr>
          <w:rFonts w:ascii="Noto Sans" w:hAnsi="Noto Sans" w:eastAsia="Noto Sans" w:cs="Noto Sans"/>
          <w:b/>
          <w:color w:val="0A2342"/>
          <w:sz w:val="43"/>
        </w:rPr>
        <w:tab/>
      </w:r>
      <w:r>
        <w:rPr>
          <w:rFonts w:ascii="Noto Sans" w:hAnsi="Noto Sans" w:eastAsia="Noto Sans" w:cs="Noto Sans"/>
          <w:b/>
          <w:color w:val="0A2342"/>
          <w:sz w:val="43"/>
        </w:rPr>
        <w:t xml:space="preserve">Appendix J. Acknowledgments</w:t>
      </w:r>
    </w:p>
    <w:p>
      <w:pPr>
        <w:pStyle w:val="FirstParagraph"/>
      </w:pPr>
      <w:r>
        <w:t xml:space="preserve">Ceteris LAB acknowledges Ruey S. Tsay for the financial-time-series concepts in the supplied 2013 lecture notes and Ali Sharifi-Zarchi and contributors for the CC BY 4.0 IntroAI educational materials. The new organization, explanations, Python implementations, figures, exercises, Canadian applications, audits, and publication design were prepared for Ceteris LAB by Mohammad Safavi, Ph.D.</w:t>
      </w:r>
    </w:p>
    <w:bookmarkEnd w:id="802"/>
    <w:bookmarkStart w:id="848" w:name="references"/>
    <w:p>
      <w:pPr>
        <w:pStyle w:val="Heading1"/>
        <w:keepNext/>
        <w:pageBreakBefore/>
      </w:pPr>
      <w:r>
        <w:rPr>
          <w:rFonts w:ascii="Noto Sans" w:hAnsi="Noto Sans" w:eastAsia="Noto Sans" w:cs="Noto Sans"/>
          <w:b/>
          <w:color w:val="0A2342"/>
          <w:sz w:val="43"/>
        </w:rPr>
        <w:t xml:space="preserve">References</w:t>
      </w:r>
    </w:p>
    <w:bookmarkStart w:id="847" w:name="refs"/>
    <w:bookmarkStart w:id="804" w:name="ref-artzner1999"/>
    <w:p>
      <w:pPr>
        <w:pStyle w:val="Bibliography"/>
      </w:pPr>
      <w:r>
        <w:t xml:space="preserve">Artzner, Philippe, Freddy Delbaen, Jean-Marc Eber, and David Heath. 1999.</w:t>
      </w:r>
      <w:r>
        <w:t xml:space="preserve"> </w:t>
      </w:r>
      <w:r>
        <w:t xml:space="preserve">“Coherent Measures of Risk.”</w:t>
      </w:r>
      <w:r>
        <w:t xml:space="preserve"> </w:t>
      </w:r>
      <w:r>
        <w:rPr>
          <w:i/>
          <w:iCs/>
        </w:rPr>
        <w:t xml:space="preserve">Mathematical Finance</w:t>
      </w:r>
      <w:r>
        <w:t xml:space="preserve"> </w:t>
      </w:r>
      <w:r>
        <w:t xml:space="preserve">9 (3): 203–28.</w:t>
      </w:r>
      <w:r>
        <w:t xml:space="preserve"> </w:t>
      </w:r>
      <w:hyperlink r:id="rId803">
        <w:r>
          <w:rPr>
            <w:rStyle w:val="Hyperlink"/>
          </w:rPr>
          <w:t xml:space="preserve">https://doi.org/10.1111/1467-9965.00068</w:t>
        </w:r>
      </w:hyperlink>
      <w:r>
        <w:t xml:space="preserve">.</w:t>
      </w:r>
    </w:p>
    <w:bookmarkEnd w:id="804"/>
    <w:bookmarkStart w:id="806" w:name="ref-bocvalet2026"/>
    <w:p>
      <w:pPr>
        <w:pStyle w:val="Bibliography"/>
      </w:pPr>
      <w:r>
        <w:t xml:space="preserve">Bank of Canada. 2026.</w:t>
      </w:r>
      <w:r>
        <w:t xml:space="preserve"> </w:t>
      </w:r>
      <w:r>
        <w:t xml:space="preserve">“Valet API Documentation.”</w:t>
      </w:r>
      <w:r>
        <w:t xml:space="preserve"> </w:t>
      </w:r>
      <w:hyperlink r:id="rId805">
        <w:r>
          <w:rPr>
            <w:rStyle w:val="Hyperlink"/>
          </w:rPr>
          <w:t xml:space="preserve">https://www.bankofcanada.ca/valet/docs</w:t>
        </w:r>
      </w:hyperlink>
      <w:r>
        <w:t xml:space="preserve">.</w:t>
      </w:r>
    </w:p>
    <w:bookmarkEnd w:id="806"/>
    <w:bookmarkStart w:id="808" w:name="ref-blackscholes1973"/>
    <w:p>
      <w:pPr>
        <w:pStyle w:val="Bibliography"/>
      </w:pPr>
      <w:r>
        <w:t xml:space="preserve">Black, Fischer, and Myron Scholes. 1973.</w:t>
      </w:r>
      <w:r>
        <w:t xml:space="preserve"> </w:t>
      </w:r>
      <w:r>
        <w:t xml:space="preserve">“The Pricing of Options and Corporate Liabilities.”</w:t>
      </w:r>
      <w:r>
        <w:t xml:space="preserve"> </w:t>
      </w:r>
      <w:r>
        <w:rPr>
          <w:i/>
          <w:iCs/>
        </w:rPr>
        <w:t xml:space="preserve">Journal of Political Economy</w:t>
      </w:r>
      <w:r>
        <w:t xml:space="preserve"> </w:t>
      </w:r>
      <w:r>
        <w:t xml:space="preserve">81 (3): 637–54.</w:t>
      </w:r>
      <w:r>
        <w:t xml:space="preserve"> </w:t>
      </w:r>
      <w:hyperlink r:id="rId807">
        <w:r>
          <w:rPr>
            <w:rStyle w:val="Hyperlink"/>
          </w:rPr>
          <w:t xml:space="preserve">https://doi.org/10.1086/260062</w:t>
        </w:r>
      </w:hyperlink>
      <w:r>
        <w:t xml:space="preserve">.</w:t>
      </w:r>
    </w:p>
    <w:bookmarkEnd w:id="808"/>
    <w:bookmarkStart w:id="810" w:name="ref-bollerslev1986"/>
    <w:p>
      <w:pPr>
        <w:pStyle w:val="Bibliography"/>
      </w:pPr>
      <w:r>
        <w:t xml:space="preserve">Bollerslev, Tim. 1986.</w:t>
      </w:r>
      <w:r>
        <w:t xml:space="preserve"> </w:t>
      </w:r>
      <w:r>
        <w:t xml:space="preserve">“Generalized Autoregressive Conditional Heteroskedasticity.”</w:t>
      </w:r>
      <w:r>
        <w:t xml:space="preserve"> </w:t>
      </w:r>
      <w:r>
        <w:rPr>
          <w:i/>
          <w:iCs/>
        </w:rPr>
        <w:t xml:space="preserve">Journal of Econometrics</w:t>
      </w:r>
      <w:r>
        <w:t xml:space="preserve"> </w:t>
      </w:r>
      <w:r>
        <w:t xml:space="preserve">31 (3): 307–27.</w:t>
      </w:r>
      <w:r>
        <w:t xml:space="preserve"> </w:t>
      </w:r>
      <w:hyperlink r:id="rId809">
        <w:r>
          <w:rPr>
            <w:rStyle w:val="Hyperlink"/>
          </w:rPr>
          <w:t xml:space="preserve">https://doi.org/10.1016/0304-4076(86)90063-1</w:t>
        </w:r>
      </w:hyperlink>
      <w:r>
        <w:t xml:space="preserve">.</w:t>
      </w:r>
    </w:p>
    <w:bookmarkEnd w:id="810"/>
    <w:bookmarkStart w:id="812" w:name="ref-engle1982"/>
    <w:p>
      <w:pPr>
        <w:pStyle w:val="Bibliography"/>
      </w:pPr>
      <w:r>
        <w:t xml:space="preserve">Engle, Robert F. 1982.</w:t>
      </w:r>
      <w:r>
        <w:t xml:space="preserve"> </w:t>
      </w:r>
      <w:r>
        <w:t xml:space="preserve">“Autoregressive Conditional Heteroscedasticity with Estimates of the Variance of United Kingdom Inflation.”</w:t>
      </w:r>
      <w:r>
        <w:t xml:space="preserve"> </w:t>
      </w:r>
      <w:r>
        <w:rPr>
          <w:i/>
          <w:iCs/>
        </w:rPr>
        <w:t xml:space="preserve">Econometrica</w:t>
      </w:r>
      <w:r>
        <w:t xml:space="preserve"> </w:t>
      </w:r>
      <w:r>
        <w:t xml:space="preserve">50 (4): 987–1007.</w:t>
      </w:r>
      <w:r>
        <w:t xml:space="preserve"> </w:t>
      </w:r>
      <w:hyperlink r:id="rId811">
        <w:r>
          <w:rPr>
            <w:rStyle w:val="Hyperlink"/>
          </w:rPr>
          <w:t xml:space="preserve">https://doi.org/10.2307/1912773</w:t>
        </w:r>
      </w:hyperlink>
      <w:r>
        <w:t xml:space="preserve">.</w:t>
      </w:r>
    </w:p>
    <w:bookmarkEnd w:id="812"/>
    <w:bookmarkStart w:id="814" w:name="ref-fred2026"/>
    <w:p>
      <w:pPr>
        <w:pStyle w:val="Bibliography"/>
      </w:pPr>
      <w:r>
        <w:t xml:space="preserve">Federal Reserve Bank of St. Louis. 2026.</w:t>
      </w:r>
      <w:r>
        <w:t xml:space="preserve"> </w:t>
      </w:r>
      <w:r>
        <w:t xml:space="preserve">“FRED API Documentation.”</w:t>
      </w:r>
      <w:r>
        <w:t xml:space="preserve"> </w:t>
      </w:r>
      <w:hyperlink r:id="rId813">
        <w:r>
          <w:rPr>
            <w:rStyle w:val="Hyperlink"/>
          </w:rPr>
          <w:t xml:space="preserve">https://fred.stlouisfed.org/docs/api/fred/</w:t>
        </w:r>
      </w:hyperlink>
      <w:r>
        <w:t xml:space="preserve">.</w:t>
      </w:r>
    </w:p>
    <w:bookmarkEnd w:id="814"/>
    <w:bookmarkStart w:id="815" w:name="ref-garmanklass1980"/>
    <w:p>
      <w:pPr>
        <w:pStyle w:val="Bibliography"/>
      </w:pPr>
      <w:r>
        <w:t xml:space="preserve">Garman, Mark B., and Michael J. Klass. 1980.</w:t>
      </w:r>
      <w:r>
        <w:t xml:space="preserve"> </w:t>
      </w:r>
      <w:r>
        <w:t xml:space="preserve">“On the Estimation of Security Price Volatilities from Historical Data.”</w:t>
      </w:r>
      <w:r>
        <w:t xml:space="preserve"> </w:t>
      </w:r>
      <w:r>
        <w:rPr>
          <w:i/>
          <w:iCs/>
        </w:rPr>
        <w:t xml:space="preserve">Journal of Business</w:t>
      </w:r>
      <w:r>
        <w:t xml:space="preserve"> </w:t>
      </w:r>
      <w:r>
        <w:t xml:space="preserve">53 (1): 67–78.</w:t>
      </w:r>
    </w:p>
    <w:bookmarkEnd w:id="815"/>
    <w:bookmarkStart w:id="816" w:name="ref-goodfellow2016"/>
    <w:p>
      <w:pPr>
        <w:pStyle w:val="Bibliography"/>
      </w:pPr>
      <w:r>
        <w:t xml:space="preserve">Goodfellow, Ian, Yoshua Bengio, and Aaron Courville. 2016.</w:t>
      </w:r>
      <w:r>
        <w:t xml:space="preserve"> </w:t>
      </w:r>
      <w:r>
        <w:rPr>
          <w:i/>
          <w:iCs/>
        </w:rPr>
        <w:t xml:space="preserve">Deep Learning</w:t>
      </w:r>
      <w:r>
        <w:t xml:space="preserve">. MIT Press.</w:t>
      </w:r>
    </w:p>
    <w:bookmarkEnd w:id="816"/>
    <w:bookmarkStart w:id="818" w:name="ref-johansen1988"/>
    <w:p>
      <w:pPr>
        <w:pStyle w:val="Bibliography"/>
      </w:pPr>
      <w:r>
        <w:t xml:space="preserve">Johansen, Søren. 1988.</w:t>
      </w:r>
      <w:r>
        <w:t xml:space="preserve"> </w:t>
      </w:r>
      <w:r>
        <w:t xml:space="preserve">“Statistical Analysis of Cointegration Vectors.”</w:t>
      </w:r>
      <w:r>
        <w:t xml:space="preserve"> </w:t>
      </w:r>
      <w:r>
        <w:rPr>
          <w:i/>
          <w:iCs/>
        </w:rPr>
        <w:t xml:space="preserve">Journal of Economic Dynamics and Control</w:t>
      </w:r>
      <w:r>
        <w:t xml:space="preserve"> </w:t>
      </w:r>
      <w:r>
        <w:t xml:space="preserve">12 (2-3): 231–54.</w:t>
      </w:r>
      <w:r>
        <w:t xml:space="preserve"> </w:t>
      </w:r>
      <w:hyperlink r:id="rId817">
        <w:r>
          <w:rPr>
            <w:rStyle w:val="Hyperlink"/>
          </w:rPr>
          <w:t xml:space="preserve">https://doi.org/10.1016/0165-1889(88)90041-3</w:t>
        </w:r>
      </w:hyperlink>
      <w:r>
        <w:t xml:space="preserve">.</w:t>
      </w:r>
    </w:p>
    <w:bookmarkEnd w:id="818"/>
    <w:bookmarkStart w:id="820" w:name="ref-matplotlib2026"/>
    <w:p>
      <w:pPr>
        <w:pStyle w:val="Bibliography"/>
      </w:pPr>
      <w:r>
        <w:t xml:space="preserve">Matplotlib Development Team. 2026.</w:t>
      </w:r>
      <w:r>
        <w:t xml:space="preserve"> </w:t>
      </w:r>
      <w:r>
        <w:t xml:space="preserve">“Matplotlib Documentation.”</w:t>
      </w:r>
      <w:r>
        <w:t xml:space="preserve"> </w:t>
      </w:r>
      <w:hyperlink r:id="rId819">
        <w:r>
          <w:rPr>
            <w:rStyle w:val="Hyperlink"/>
          </w:rPr>
          <w:t xml:space="preserve">https://matplotlib.org/stable/</w:t>
        </w:r>
      </w:hyperlink>
      <w:r>
        <w:t xml:space="preserve">.</w:t>
      </w:r>
    </w:p>
    <w:bookmarkEnd w:id="820"/>
    <w:bookmarkStart w:id="822" w:name="ref-merton1973"/>
    <w:p>
      <w:pPr>
        <w:pStyle w:val="Bibliography"/>
      </w:pPr>
      <w:r>
        <w:t xml:space="preserve">Merton, Robert C. 1973.</w:t>
      </w:r>
      <w:r>
        <w:t xml:space="preserve"> </w:t>
      </w:r>
      <w:r>
        <w:t xml:space="preserve">“Theory of Rational Option Pricing.”</w:t>
      </w:r>
      <w:r>
        <w:t xml:space="preserve"> </w:t>
      </w:r>
      <w:r>
        <w:rPr>
          <w:i/>
          <w:iCs/>
        </w:rPr>
        <w:t xml:space="preserve">Bell Journal of Economics and Management Science</w:t>
      </w:r>
      <w:r>
        <w:t xml:space="preserve"> </w:t>
      </w:r>
      <w:r>
        <w:t xml:space="preserve">4 (1): 141–83.</w:t>
      </w:r>
      <w:r>
        <w:t xml:space="preserve"> </w:t>
      </w:r>
      <w:hyperlink r:id="rId821">
        <w:r>
          <w:rPr>
            <w:rStyle w:val="Hyperlink"/>
          </w:rPr>
          <w:t xml:space="preserve">https://doi.org/10.2307/3003143</w:t>
        </w:r>
      </w:hyperlink>
      <w:r>
        <w:t xml:space="preserve">.</w:t>
      </w:r>
    </w:p>
    <w:bookmarkEnd w:id="822"/>
    <w:bookmarkStart w:id="824" w:name="ref-nelson1991"/>
    <w:p>
      <w:pPr>
        <w:pStyle w:val="Bibliography"/>
      </w:pPr>
      <w:r>
        <w:t xml:space="preserve">Nelson, Daniel B. 1991.</w:t>
      </w:r>
      <w:r>
        <w:t xml:space="preserve"> </w:t>
      </w:r>
      <w:r>
        <w:t xml:space="preserve">“Conditional Heteroskedasticity in Asset Returns: A New Approach.”</w:t>
      </w:r>
      <w:r>
        <w:t xml:space="preserve"> </w:t>
      </w:r>
      <w:r>
        <w:rPr>
          <w:i/>
          <w:iCs/>
        </w:rPr>
        <w:t xml:space="preserve">Econometrica</w:t>
      </w:r>
      <w:r>
        <w:t xml:space="preserve"> </w:t>
      </w:r>
      <w:r>
        <w:t xml:space="preserve">59 (2): 347–70.</w:t>
      </w:r>
      <w:r>
        <w:t xml:space="preserve"> </w:t>
      </w:r>
      <w:hyperlink r:id="rId823">
        <w:r>
          <w:rPr>
            <w:rStyle w:val="Hyperlink"/>
          </w:rPr>
          <w:t xml:space="preserve">https://doi.org/10.2307/2938260</w:t>
        </w:r>
      </w:hyperlink>
      <w:r>
        <w:t xml:space="preserve">.</w:t>
      </w:r>
    </w:p>
    <w:bookmarkEnd w:id="824"/>
    <w:bookmarkStart w:id="826" w:name="ref-numpy2026"/>
    <w:p>
      <w:pPr>
        <w:pStyle w:val="Bibliography"/>
      </w:pPr>
      <w:r>
        <w:t xml:space="preserve">NumPy Developers. 2026.</w:t>
      </w:r>
      <w:r>
        <w:t xml:space="preserve"> </w:t>
      </w:r>
      <w:r>
        <w:t xml:space="preserve">“NumPy Documentation.”</w:t>
      </w:r>
      <w:r>
        <w:t xml:space="preserve"> </w:t>
      </w:r>
      <w:hyperlink r:id="rId825">
        <w:r>
          <w:rPr>
            <w:rStyle w:val="Hyperlink"/>
          </w:rPr>
          <w:t xml:space="preserve">https://numpy.org/doc/</w:t>
        </w:r>
      </w:hyperlink>
      <w:r>
        <w:t xml:space="preserve">.</w:t>
      </w:r>
    </w:p>
    <w:bookmarkEnd w:id="826"/>
    <w:bookmarkStart w:id="828" w:name="ref-pandas2026"/>
    <w:p>
      <w:pPr>
        <w:pStyle w:val="Bibliography"/>
      </w:pPr>
      <w:r>
        <w:t xml:space="preserve">pandas Development Team. 2026.</w:t>
      </w:r>
      <w:r>
        <w:t xml:space="preserve"> </w:t>
      </w:r>
      <w:r>
        <w:t xml:space="preserve">“Pandas Documentation.”</w:t>
      </w:r>
      <w:r>
        <w:t xml:space="preserve"> </w:t>
      </w:r>
      <w:hyperlink r:id="rId827">
        <w:r>
          <w:rPr>
            <w:rStyle w:val="Hyperlink"/>
          </w:rPr>
          <w:t xml:space="preserve">https://pandas.pydata.org/docs/</w:t>
        </w:r>
      </w:hyperlink>
      <w:r>
        <w:t xml:space="preserve">.</w:t>
      </w:r>
    </w:p>
    <w:bookmarkEnd w:id="828"/>
    <w:bookmarkStart w:id="830" w:name="ref-python2026"/>
    <w:p>
      <w:pPr>
        <w:pStyle w:val="Bibliography"/>
      </w:pPr>
      <w:r>
        <w:t xml:space="preserve">Python Software Foundation. 2026.</w:t>
      </w:r>
      <w:r>
        <w:t xml:space="preserve"> </w:t>
      </w:r>
      <w:r>
        <w:t xml:space="preserve">“Python 3.14 Documentation.”</w:t>
      </w:r>
      <w:r>
        <w:t xml:space="preserve"> </w:t>
      </w:r>
      <w:hyperlink r:id="rId829">
        <w:r>
          <w:rPr>
            <w:rStyle w:val="Hyperlink"/>
          </w:rPr>
          <w:t xml:space="preserve">https://docs.python.org/3.14/</w:t>
        </w:r>
      </w:hyperlink>
      <w:r>
        <w:t xml:space="preserve">.</w:t>
      </w:r>
    </w:p>
    <w:bookmarkEnd w:id="830"/>
    <w:bookmarkStart w:id="832" w:name="ref-pytorch2026"/>
    <w:p>
      <w:pPr>
        <w:pStyle w:val="Bibliography"/>
      </w:pPr>
      <w:r>
        <w:t xml:space="preserve">PyTorch Contributors. 2026.</w:t>
      </w:r>
      <w:r>
        <w:t xml:space="preserve"> </w:t>
      </w:r>
      <w:r>
        <w:t xml:space="preserve">“PyTorch Documentation.”</w:t>
      </w:r>
      <w:r>
        <w:t xml:space="preserve"> </w:t>
      </w:r>
      <w:hyperlink r:id="rId831">
        <w:r>
          <w:rPr>
            <w:rStyle w:val="Hyperlink"/>
          </w:rPr>
          <w:t xml:space="preserve">https://docs.pytorch.org/docs/stable/</w:t>
        </w:r>
      </w:hyperlink>
      <w:r>
        <w:t xml:space="preserve">.</w:t>
      </w:r>
    </w:p>
    <w:bookmarkEnd w:id="832"/>
    <w:bookmarkStart w:id="834" w:name="ref-sklearn2026"/>
    <w:p>
      <w:pPr>
        <w:pStyle w:val="Bibliography"/>
      </w:pPr>
      <w:r>
        <w:t xml:space="preserve">scikit-learn Developers. 2026.</w:t>
      </w:r>
      <w:r>
        <w:t xml:space="preserve"> </w:t>
      </w:r>
      <w:r>
        <w:t xml:space="preserve">“Scikit-Learn User Guide.”</w:t>
      </w:r>
      <w:r>
        <w:t xml:space="preserve"> </w:t>
      </w:r>
      <w:hyperlink r:id="rId833">
        <w:r>
          <w:rPr>
            <w:rStyle w:val="Hyperlink"/>
          </w:rPr>
          <w:t xml:space="preserve">https://scikit-learn.org/stable/user_guide.html</w:t>
        </w:r>
      </w:hyperlink>
      <w:r>
        <w:t xml:space="preserve">.</w:t>
      </w:r>
    </w:p>
    <w:bookmarkEnd w:id="834"/>
    <w:bookmarkStart w:id="836" w:name="ref-sharifi2026introai"/>
    <w:p>
      <w:pPr>
        <w:pStyle w:val="Bibliography"/>
      </w:pPr>
      <w:r>
        <w:t xml:space="preserve">Sharifi-Zarchi, Ali, and contributors. 2026.</w:t>
      </w:r>
      <w:r>
        <w:t xml:space="preserve"> </w:t>
      </w:r>
      <w:r>
        <w:t xml:space="preserve">“Introduction to the World of Artificial Intelligence.”</w:t>
      </w:r>
      <w:r>
        <w:t xml:space="preserve"> </w:t>
      </w:r>
      <w:hyperlink r:id="rId835">
        <w:r>
          <w:rPr>
            <w:rStyle w:val="Hyperlink"/>
          </w:rPr>
          <w:t xml:space="preserve">https://github.com/SharifiZarchi/IntroAI</w:t>
        </w:r>
      </w:hyperlink>
      <w:r>
        <w:t xml:space="preserve">.</w:t>
      </w:r>
    </w:p>
    <w:bookmarkEnd w:id="836"/>
    <w:bookmarkStart w:id="838" w:name="ref-statcan2026"/>
    <w:p>
      <w:pPr>
        <w:pStyle w:val="Bibliography"/>
      </w:pPr>
      <w:r>
        <w:t xml:space="preserve">Statistics Canada. 2026.</w:t>
      </w:r>
      <w:r>
        <w:t xml:space="preserve"> </w:t>
      </w:r>
      <w:r>
        <w:t xml:space="preserve">“Web Data Service.”</w:t>
      </w:r>
      <w:r>
        <w:t xml:space="preserve"> </w:t>
      </w:r>
      <w:hyperlink r:id="rId837">
        <w:r>
          <w:rPr>
            <w:rStyle w:val="Hyperlink"/>
          </w:rPr>
          <w:t xml:space="preserve">https://www.statcan.gc.ca/en/developers/wds</w:t>
        </w:r>
      </w:hyperlink>
      <w:r>
        <w:t xml:space="preserve">.</w:t>
      </w:r>
    </w:p>
    <w:bookmarkEnd w:id="838"/>
    <w:bookmarkStart w:id="840" w:name="ref-statsmodels2026"/>
    <w:p>
      <w:pPr>
        <w:pStyle w:val="Bibliography"/>
      </w:pPr>
      <w:r>
        <w:t xml:space="preserve">statsmodels Developers. 2026.</w:t>
      </w:r>
      <w:r>
        <w:t xml:space="preserve"> </w:t>
      </w:r>
      <w:r>
        <w:t xml:space="preserve">“Statsmodels Documentation.”</w:t>
      </w:r>
      <w:r>
        <w:t xml:space="preserve"> </w:t>
      </w:r>
      <w:hyperlink r:id="rId839">
        <w:r>
          <w:rPr>
            <w:rStyle w:val="Hyperlink"/>
          </w:rPr>
          <w:t xml:space="preserve">https://www.statsmodels.org/stable/</w:t>
        </w:r>
      </w:hyperlink>
      <w:r>
        <w:t xml:space="preserve">.</w:t>
      </w:r>
    </w:p>
    <w:bookmarkEnd w:id="840"/>
    <w:bookmarkStart w:id="841" w:name="ref-tsay2010"/>
    <w:p>
      <w:pPr>
        <w:pStyle w:val="Bibliography"/>
      </w:pPr>
      <w:r>
        <w:t xml:space="preserve">Tsay, Ruey S. 2010.</w:t>
      </w:r>
      <w:r>
        <w:t xml:space="preserve"> </w:t>
      </w:r>
      <w:r>
        <w:rPr>
          <w:i/>
          <w:iCs/>
        </w:rPr>
        <w:t xml:space="preserve">Analysis of Financial Time Series</w:t>
      </w:r>
      <w:r>
        <w:t xml:space="preserve">. 3rd ed. Wiley.</w:t>
      </w:r>
    </w:p>
    <w:bookmarkEnd w:id="841"/>
    <w:bookmarkStart w:id="842" w:name="ref-tsay2013lectures"/>
    <w:p>
      <w:pPr>
        <w:pStyle w:val="Bibliography"/>
      </w:pPr>
      <w:r>
        <w:t xml:space="preserve">———. 2013.</w:t>
      </w:r>
      <w:r>
        <w:t xml:space="preserve"> </w:t>
      </w:r>
      <w:r>
        <w:t xml:space="preserve">“Analysis of Financial Time Series: Course Lecture Notes.”</w:t>
      </w:r>
    </w:p>
    <w:bookmarkEnd w:id="842"/>
    <w:bookmarkStart w:id="843" w:name="ref-vaswani2017"/>
    <w:p>
      <w:pPr>
        <w:pStyle w:val="Bibliography"/>
      </w:pPr>
      <w:r>
        <w:t xml:space="preserve">Vaswani, Ashish, Noam Shazeer, Niki Parmar, et al. 2017.</w:t>
      </w:r>
      <w:r>
        <w:t xml:space="preserve"> </w:t>
      </w:r>
      <w:r>
        <w:t xml:space="preserve">“Attention Is All You Need.”</w:t>
      </w:r>
      <w:r>
        <w:t xml:space="preserve"> </w:t>
      </w:r>
      <w:r>
        <w:rPr>
          <w:i/>
          <w:iCs/>
        </w:rPr>
        <w:t xml:space="preserve">Advances in Neural Information Processing Systems</w:t>
      </w:r>
      <w:r>
        <w:t xml:space="preserve"> </w:t>
      </w:r>
      <w:r>
        <w:t xml:space="preserve">30.</w:t>
      </w:r>
    </w:p>
    <w:bookmarkEnd w:id="843"/>
    <w:bookmarkStart w:id="845" w:name="ref-worldbank2026"/>
    <w:p>
      <w:pPr>
        <w:pStyle w:val="Bibliography"/>
      </w:pPr>
      <w:r>
        <w:t xml:space="preserve">World Bank. 2026.</w:t>
      </w:r>
      <w:r>
        <w:t xml:space="preserve"> </w:t>
      </w:r>
      <w:r>
        <w:t xml:space="preserve">“World Bank Indicators API.”</w:t>
      </w:r>
      <w:r>
        <w:t xml:space="preserve"> </w:t>
      </w:r>
      <w:hyperlink r:id="rId844">
        <w:r>
          <w:rPr>
            <w:rStyle w:val="Hyperlink"/>
          </w:rPr>
          <w:t xml:space="preserve">https://datahelpdesk.worldbank.org/knowledgebase/articles/889392</w:t>
        </w:r>
      </w:hyperlink>
      <w:r>
        <w:t xml:space="preserve">.</w:t>
      </w:r>
    </w:p>
    <w:bookmarkEnd w:id="845"/>
    <w:bookmarkStart w:id="846" w:name="ref-yangzhang2000"/>
    <w:p>
      <w:pPr>
        <w:pStyle w:val="Bibliography"/>
      </w:pPr>
      <w:r>
        <w:t xml:space="preserve">Yang, Dennis, and Qiang Zhang. 2000.</w:t>
      </w:r>
      <w:r>
        <w:t xml:space="preserve"> </w:t>
      </w:r>
      <w:r>
        <w:t xml:space="preserve">“Drift-Independent Volatility Estimation Based on High, Low, Open, and Close Prices.”</w:t>
      </w:r>
      <w:r>
        <w:t xml:space="preserve"> </w:t>
      </w:r>
      <w:r>
        <w:rPr>
          <w:i/>
          <w:iCs/>
        </w:rPr>
        <w:t xml:space="preserve">Journal of Business</w:t>
      </w:r>
      <w:r>
        <w:t xml:space="preserve"> </w:t>
      </w:r>
      <w:r>
        <w:t xml:space="preserve">73 (3): 477–91.</w:t>
      </w:r>
    </w:p>
    <w:bookmarkEnd w:id="846"/>
    <w:bookmarkEnd w:id="847"/>
    <w:bookmarkEnd w:id="848"/>
    <w:sectPr>
      <w:headerReference w:type="first" r:id="rId10"/>
      <w:footerReference w:type="first" r:id="rId11"/>
      <w:headerReference w:type="default" r:id="rId12"/>
      <w:footerReference w:type="default" r:id="rId13"/>
      <w:headerReference w:type="even" r:id="rId14"/>
      <w:footerReference w:type="even" r:id="rId15"/>
      <w:pgSz w:w="12240" w:h="15840"/>
      <w:pgMar w:top="1240" w:right="1180" w:bottom="1240" w:left="1180" w:header="480" w:footer="480" w:gutter="0"/>
      <w:pgNumType w:start="0"/>
      <w:titlePg/>
    </w:sectPr>
  </w:body>
</w:document>
</file>

<file path=word/comments.xml><?xml version="1.0" encoding="utf-8"?>
<w:comments xmlns:w="http://schemas.openxmlformats.org/wordprocessingml/2006/main" xmlns:m="http://schemas.openxmlformats.org/officeDocument/2006/math" xmlns:r="http://schemas.openxmlformats.org/officeDocument/2006/relationships" xmlns:o="urn:schemas-microsoft-com:office:office" xmlns:v="urn:schemas-microsoft-com:vml" xmlns:w10="urn:schemas-microsoft-com:office:word" xmlns:a="http://schemas.openxmlformats.org/drawingml/2006/main" xmlns:pic="http://schemas.openxmlformats.org/drawingml/2006/picture" xmlns:wp="http://schemas.openxmlformats.org/drawingml/2006/wordprocessingDrawing"/>
</file>

<file path=word/fontTable.xml><?xml version="1.0" encoding="utf-8"?>
<w:fonts xmlns:r="http://schemas.openxmlformats.org/officeDocument/2006/relationships" xmlns:w="http://schemas.openxmlformats.org/wordprocessingml/2006/main">
  <w:font w:name="Symbol">
    <w:panose1 w:val="02000500000000000000"/>
    <w:charset w:val="02"/>
    <w:family w:val="auto"/>
    <w:pitch w:val="variable"/>
    <w:sig w:usb0="00000000" w:usb1="00000000" w:usb2="00010000" w:usb3="00000000" w:csb0="80000000" w:csb1="00000000"/>
  </w:font>
  <w:font w:name="Times New Roman">
    <w:panose1 w:val="02020603050405020304"/>
    <w:charset w:val="00"/>
    <w:family w:val="auto"/>
    <w:pitch w:val="variable"/>
    <w:sig w:usb0="00000003" w:usb1="00000000" w:usb2="00000000" w:usb3="00000000" w:csb0="00000001" w:csb1="00000000"/>
  </w:font>
  <w:font w:name="Courier New">
    <w:panose1 w:val="02070309020205020404"/>
    <w:charset w:val="00"/>
    <w:family w:val="auto"/>
    <w:pitch w:val="variable"/>
    <w:sig w:usb0="00000003" w:usb1="00000000" w:usb2="00000000" w:usb3="00000000" w:csb0="00000001" w:csb1="00000000"/>
  </w:font>
  <w:font w:name="Wingdings">
    <w:panose1 w:val="05020102010804080708"/>
    <w:charset w:val="02"/>
    <w:family w:val="auto"/>
    <w:pitch w:val="variable"/>
    <w:sig w:usb0="00000000" w:usb1="00000000" w:usb2="00010000" w:usb3="00000000" w:csb0="80000000" w:csb1="00000000"/>
  </w:font>
  <w:font w:name="Cambria">
    <w:panose1 w:val="02040503050406030204"/>
    <w:charset w:val="00"/>
    <w:family w:val="auto"/>
    <w:pitch w:val="variable"/>
    <w:sig w:usb0="00000003" w:usb1="00000000" w:usb2="00000000" w:usb3="00000000" w:csb0="00000001" w:csb1="00000000"/>
  </w:font>
  <w:font w:name="Calibri">
    <w:panose1 w:val="020F0502020204030204"/>
    <w:charset w:val="00"/>
    <w:family w:val="auto"/>
    <w:pitch w:val="variable"/>
    <w:sig w:usb0="00000003" w:usb1="00000000" w:usb2="00000000" w:usb3="00000000" w:csb0="00000001" w:csb1="00000000"/>
  </w:font>
  <w:font w:name="Arial">
    <w:panose1 w:val="020B0604020202020204"/>
    <w:charset w:val="00"/>
    <w:family w:val="auto"/>
    <w:pitch w:val="variable"/>
    <w:sig w:usb0="00000003" w:usb1="00000000" w:usb2="00000000" w:usb3="00000000" w:csb0="00000001" w:csb1="00000000"/>
  </w:font>
</w:fonts>
</file>

<file path=word/footer1.xml><?xml version="1.0" encoding="utf-8"?>
<w:ftr xmlns:m="http://schemas.openxmlformats.org/officeDocument/2006/math" xmlns:mc="http://schemas.openxmlformats.org/markup-compatibility/2006" xmlns:mo="http://schemas.microsoft.com/office/mac/office/2008/main" xmlns:mv="urn:schemas-microsoft-com:mac:vml" xmlns:o="urn:schemas-microsoft-com:office:office" xmlns:r="http://schemas.openxmlformats.org/officeDocument/2006/relationships" xmlns:v="urn:schemas-microsoft-com:vml" xmlns:w10="urn:schemas-microsoft-com:office:word" xmlns:w14="http://schemas.microsoft.com/office/word/2010/wordml" xmlns:w="http://schemas.openxmlformats.org/wordprocessingml/2006/main" xmlns:wne="http://schemas.microsoft.com/office/word/2006/wordml" xmlns:wp14="http://schemas.microsoft.com/office/word/2010/wordprocessingDrawing" xmlns:wp="http://schemas.openxmlformats.org/drawingml/2006/wordprocessingDrawing" xmlns:wpc="http://schemas.microsoft.com/office/word/2010/wordprocessingCanvas" xmlns:wpg="http://schemas.microsoft.com/office/word/2010/wordprocessingGroup" xmlns:wpi="http://schemas.microsoft.com/office/word/2010/wordprocessingInk" xmlns:wps="http://schemas.microsoft.com/office/word/2010/wordprocessingShape" mc:Ignorable="w14 wp14">
  <w:p>
    <w:pPr>
      <w:pStyle w:val="Footer"/>
    </w:pPr>
  </w:p>
</w:ftr>
</file>

<file path=word/footer2.xml><?xml version="1.0" encoding="utf-8"?>
<w:ftr xmlns:m="http://schemas.openxmlformats.org/officeDocument/2006/math" xmlns:mc="http://schemas.openxmlformats.org/markup-compatibility/2006" xmlns:mo="http://schemas.microsoft.com/office/mac/office/2008/main" xmlns:mv="urn:schemas-microsoft-com:mac:vml" xmlns:o="urn:schemas-microsoft-com:office:office" xmlns:r="http://schemas.openxmlformats.org/officeDocument/2006/relationships" xmlns:v="urn:schemas-microsoft-com:vml" xmlns:w10="urn:schemas-microsoft-com:office:word" xmlns:w14="http://schemas.microsoft.com/office/word/2010/wordml" xmlns:w="http://schemas.openxmlformats.org/wordprocessingml/2006/main" xmlns:wne="http://schemas.microsoft.com/office/word/2006/wordml" xmlns:wp14="http://schemas.microsoft.com/office/word/2010/wordprocessingDrawing" xmlns:wp="http://schemas.openxmlformats.org/drawingml/2006/wordprocessingDrawing" xmlns:wpc="http://schemas.microsoft.com/office/word/2010/wordprocessingCanvas" xmlns:wpg="http://schemas.microsoft.com/office/word/2010/wordprocessingGroup" xmlns:wpi="http://schemas.microsoft.com/office/word/2010/wordprocessingInk" xmlns:wps="http://schemas.microsoft.com/office/word/2010/wordprocessingShape" mc:Ignorable="w14 wp14">
  <w:p>
    <w:pPr>
      <w:pStyle w:val="Footer"/>
      <w:spacing w:before="40"/>
      <w:jc w:val="center"/>
    </w:pPr>
    <w:r>
      <w:rPr>
        <w:rFonts w:ascii="Noto Sans" w:hAnsi="Noto Sans" w:eastAsia="Noto Sans" w:cs="Noto Sans"/>
        <w:color w:val="6B7280"/>
        <w:sz w:val="16"/>
      </w:rPr>
      <w:t xml:space="preserve">econometrics.safavim.com   •   </w:t>
    </w:r>
    <w:r>
      <w:rPr>
        <w:rFonts w:ascii="Noto Sans" w:hAnsi="Noto Sans" w:eastAsia="Noto Sans" w:cs="Noto Sans"/>
        <w:color w:val="6B7280"/>
        <w:sz w:val="17"/>
      </w:rPr>
      <w:t xml:space="preserve">Page </w:t>
    </w:r>
    <w:fldSimple w:instr="PAGE">
      <w:r>
        <w:rPr>
          <w:rFonts w:ascii="Noto Sans" w:hAnsi="Noto Sans" w:eastAsia="Noto Sans" w:cs="Noto Sans"/>
          <w:sz w:val="17"/>
          <w:color w:val="6B7280"/>
        </w:rPr>
        <w:t>1</w:t>
      </w:r>
    </w:fldSimple>
  </w:p>
</w:ftr>
</file>

<file path=word/footer3.xml><?xml version="1.0" encoding="utf-8"?>
<w:ftr xmlns:m="http://schemas.openxmlformats.org/officeDocument/2006/math" xmlns:mc="http://schemas.openxmlformats.org/markup-compatibility/2006" xmlns:mo="http://schemas.microsoft.com/office/mac/office/2008/main" xmlns:mv="urn:schemas-microsoft-com:mac:vml" xmlns:o="urn:schemas-microsoft-com:office:office" xmlns:r="http://schemas.openxmlformats.org/officeDocument/2006/relationships" xmlns:v="urn:schemas-microsoft-com:vml" xmlns:w10="urn:schemas-microsoft-com:office:word" xmlns:w14="http://schemas.microsoft.com/office/word/2010/wordml" xmlns:w="http://schemas.openxmlformats.org/wordprocessingml/2006/main" xmlns:wne="http://schemas.microsoft.com/office/word/2006/wordml" xmlns:wp14="http://schemas.microsoft.com/office/word/2010/wordprocessingDrawing" xmlns:wp="http://schemas.openxmlformats.org/drawingml/2006/wordprocessingDrawing" xmlns:wpc="http://schemas.microsoft.com/office/word/2010/wordprocessingCanvas" xmlns:wpg="http://schemas.microsoft.com/office/word/2010/wordprocessingGroup" xmlns:wpi="http://schemas.microsoft.com/office/word/2010/wordprocessingInk" xmlns:wps="http://schemas.microsoft.com/office/word/2010/wordprocessingShape" mc:Ignorable="w14 wp14">
  <w:p>
    <w:pPr>
      <w:pStyle w:val="Footer"/>
    </w:pPr>
  </w:p>
</w:ftr>
</file>

<file path=word/footnotes.xml><?xml version="1.0" encoding="utf-8"?>
<w:footnotes xmlns:w="http://schemas.openxmlformats.org/wordprocessingml/2006/main" xmlns:m="http://schemas.openxmlformats.org/officeDocument/2006/math" xmlns:r="http://schemas.openxmlformats.org/officeDocument/2006/relationships" xmlns:o="urn:schemas-microsoft-com:office:office" xmlns:v="urn:schemas-microsoft-com:vml" xmlns:w10="urn:schemas-microsoft-com:office:word" xmlns:a="http://schemas.openxmlformats.org/drawingml/2006/main" xmlns:pic="http://schemas.openxmlformats.org/drawingml/2006/picture" xmlns:wp="http://schemas.openxmlformats.org/drawingml/2006/wordprocessingDrawing">
  <w:footnote w:type="continuationSeparator" w:id="0">
    <w:p>
      <w:r>
        <w:continuationSeparator/>
      </w:r>
    </w:p>
  </w:footnote>
  <w:footnote w:type="separator" w:id="-1">
    <w:p>
      <w:r>
        <w:separator/>
      </w:r>
    </w:p>
  </w:footnote>
</w:footnotes>
</file>

<file path=word/header1.xml><?xml version="1.0" encoding="utf-8"?>
<w:hdr xmlns:m="http://schemas.openxmlformats.org/officeDocument/2006/math" xmlns:mc="http://schemas.openxmlformats.org/markup-compatibility/2006" xmlns:mo="http://schemas.microsoft.com/office/mac/office/2008/main" xmlns:mv="urn:schemas-microsoft-com:mac:vml" xmlns:o="urn:schemas-microsoft-com:office:office" xmlns:r="http://schemas.openxmlformats.org/officeDocument/2006/relationships" xmlns:v="urn:schemas-microsoft-com:vml" xmlns:w10="urn:schemas-microsoft-com:office:word" xmlns:w14="http://schemas.microsoft.com/office/word/2010/wordml" xmlns:w="http://schemas.openxmlformats.org/wordprocessingml/2006/main" xmlns:wne="http://schemas.microsoft.com/office/word/2006/wordml" xmlns:wp14="http://schemas.microsoft.com/office/word/2010/wordprocessingDrawing" xmlns:wp="http://schemas.openxmlformats.org/drawingml/2006/wordprocessingDrawing" xmlns:wpc="http://schemas.microsoft.com/office/word/2010/wordprocessingCanvas" xmlns:wpg="http://schemas.microsoft.com/office/word/2010/wordprocessingGroup" xmlns:wpi="http://schemas.microsoft.com/office/word/2010/wordprocessingInk" xmlns:wps="http://schemas.microsoft.com/office/word/2010/wordprocessingShape" mc:Ignorable="w14 wp14">
  <w:p>
    <w:pPr>
      <w:pStyle w:val="Header"/>
    </w:pPr>
  </w:p>
</w:hdr>
</file>

<file path=word/header2.xml><?xml version="1.0" encoding="utf-8"?>
<w:hdr xmlns:m="http://schemas.openxmlformats.org/officeDocument/2006/math" xmlns:mc="http://schemas.openxmlformats.org/markup-compatibility/2006" xmlns:mo="http://schemas.microsoft.com/office/mac/office/2008/main" xmlns:mv="urn:schemas-microsoft-com:mac:vml" xmlns:o="urn:schemas-microsoft-com:office:office" xmlns:r="http://schemas.openxmlformats.org/officeDocument/2006/relationships" xmlns:v="urn:schemas-microsoft-com:vml" xmlns:w10="urn:schemas-microsoft-com:office:word" xmlns:w14="http://schemas.microsoft.com/office/word/2010/wordml" xmlns:w="http://schemas.openxmlformats.org/wordprocessingml/2006/main" xmlns:wne="http://schemas.microsoft.com/office/word/2006/wordml" xmlns:wp14="http://schemas.microsoft.com/office/word/2010/wordprocessingDrawing" xmlns:wp="http://schemas.openxmlformats.org/drawingml/2006/wordprocessingDrawing" xmlns:wpc="http://schemas.microsoft.com/office/word/2010/wordprocessingCanvas" xmlns:wpg="http://schemas.microsoft.com/office/word/2010/wordprocessingGroup" xmlns:wpi="http://schemas.microsoft.com/office/word/2010/wordprocessingInk" xmlns:wps="http://schemas.microsoft.com/office/word/2010/wordprocessingShape" mc:Ignorable="w14 wp14">
  <w:p>
    <w:pPr>
      <w:pStyle w:val="Header"/>
      <w:spacing w:after="40"/>
      <w:jc w:val="center"/>
      <w:pBdr>
        <w:bottom w:val="single" w:sz="8" w:space="4" w:color="008F87"/>
      </w:pBdr>
    </w:pPr>
    <w:r>
      <w:rPr>
        <w:rFonts w:ascii="Noto Sans" w:hAnsi="Noto Sans" w:eastAsia="Noto Sans" w:cs="Noto Sans"/>
        <w:b/>
        <w:color w:val="0A2342"/>
        <w:sz w:val="17"/>
      </w:rPr>
      <w:t>FUNDAMENTALS OF PYTHON FOR ECONOMETRICS</w:t>
    </w:r>
    <w:r>
      <w:rPr>
        <w:rFonts w:ascii="Noto Sans" w:hAnsi="Noto Sans" w:eastAsia="Noto Sans" w:cs="Noto Sans"/>
        <w:b/>
        <w:color w:val="008F87"/>
        <w:sz w:val="17"/>
      </w:rPr>
      <w:t xml:space="preserve">   |   CETERIS LAB</w:t>
    </w:r>
  </w:p>
</w:hdr>
</file>

<file path=word/header3.xml><?xml version="1.0" encoding="utf-8"?>
<w:hdr xmlns:m="http://schemas.openxmlformats.org/officeDocument/2006/math" xmlns:mc="http://schemas.openxmlformats.org/markup-compatibility/2006" xmlns:mo="http://schemas.microsoft.com/office/mac/office/2008/main" xmlns:mv="urn:schemas-microsoft-com:mac:vml" xmlns:o="urn:schemas-microsoft-com:office:office" xmlns:r="http://schemas.openxmlformats.org/officeDocument/2006/relationships" xmlns:v="urn:schemas-microsoft-com:vml" xmlns:w10="urn:schemas-microsoft-com:office:word" xmlns:w14="http://schemas.microsoft.com/office/word/2010/wordml" xmlns:w="http://schemas.openxmlformats.org/wordprocessingml/2006/main" xmlns:wne="http://schemas.microsoft.com/office/word/2006/wordml" xmlns:wp14="http://schemas.microsoft.com/office/word/2010/wordprocessingDrawing" xmlns:wp="http://schemas.openxmlformats.org/drawingml/2006/wordprocessingDrawing" xmlns:wpc="http://schemas.microsoft.com/office/word/2010/wordprocessingCanvas" xmlns:wpg="http://schemas.microsoft.com/office/word/2010/wordprocessingGroup" xmlns:wpi="http://schemas.microsoft.com/office/word/2010/wordprocessingInk" xmlns:wps="http://schemas.microsoft.com/office/word/2010/wordprocessingShape" mc:Ignorable="w14 wp14">
  <w:p>
    <w:pPr>
      <w:pStyle w:val="Header"/>
    </w:pPr>
  </w:p>
</w:hdr>
</file>

<file path=word/numbering.xml><?xml version="1.0" encoding="utf-8"?>
<w:numbering xmlns:w="http://schemas.openxmlformats.org/wordprocessingml/2006/main">
  <w:abstractNum w:abstractNumId="990">
    <w:nsid w:val="0000A990"/>
    <w:multiLevelType w:val="multilevel"/>
    <w:lvl w:ilvl="0">
      <w:numFmt w:val="bullet"/>
      <w:lvlText w:val=" "/>
      <w:lvlJc w:val="left"/>
      <w:pPr>
        <w:ind w:left="720" w:hanging="480"/>
      </w:pPr>
    </w:lvl>
    <w:lvl w:ilvl="1">
      <w:numFmt w:val="bullet"/>
      <w:lvlText w:val=" "/>
      <w:lvlJc w:val="left"/>
      <w:pPr>
        <w:ind w:left="1440" w:hanging="480"/>
      </w:pPr>
    </w:lvl>
    <w:lvl w:ilvl="2">
      <w:numFmt w:val="bullet"/>
      <w:lvlText w:val=" "/>
      <w:lvlJc w:val="left"/>
      <w:pPr>
        <w:ind w:left="2160" w:hanging="480"/>
      </w:pPr>
    </w:lvl>
    <w:lvl w:ilvl="3">
      <w:numFmt w:val="bullet"/>
      <w:lvlText w:val=" "/>
      <w:lvlJc w:val="left"/>
      <w:pPr>
        <w:ind w:left="2880" w:hanging="480"/>
      </w:pPr>
    </w:lvl>
    <w:lvl w:ilvl="4">
      <w:numFmt w:val="bullet"/>
      <w:lvlText w:val=" "/>
      <w:lvlJc w:val="left"/>
      <w:pPr>
        <w:ind w:left="3600" w:hanging="480"/>
      </w:pPr>
    </w:lvl>
    <w:lvl w:ilvl="5">
      <w:numFmt w:val="bullet"/>
      <w:lvlText w:val=" "/>
      <w:lvlJc w:val="left"/>
      <w:pPr>
        <w:ind w:left="4320" w:hanging="480"/>
      </w:pPr>
    </w:lvl>
    <w:lvl w:ilvl="6">
      <w:numFmt w:val="bullet"/>
      <w:lvlText w:val=" "/>
      <w:lvlJc w:val="left"/>
      <w:pPr>
        <w:ind w:left="5040" w:hanging="480"/>
      </w:pPr>
    </w:lvl>
    <w:lvl w:ilvl="7">
      <w:numFmt w:val="bullet"/>
      <w:lvlText w:val=" "/>
      <w:lvlJc w:val="left"/>
      <w:pPr>
        <w:ind w:left="5760" w:hanging="480"/>
      </w:pPr>
    </w:lvl>
    <w:lvl w:ilvl="8">
      <w:numFmt w:val="bullet"/>
      <w:lvlText w:val=" "/>
      <w:lvlJc w:val="left"/>
      <w:pPr>
        <w:ind w:left="6480" w:hanging="480"/>
      </w:pPr>
    </w:lvl>
  </w:abstractNum>
  <w:abstractNum w:abstractNumId="99411">
    <w:nsid w:val="00A99411"/>
    <w:multiLevelType w:val="multilevel"/>
    <w:lvl w:ilvl="0">
      <w:start w:val="1"/>
      <w:numFmt w:val="decimal"/>
      <w:lvlText w:val="%1."/>
      <w:lvlJc w:val="left"/>
      <w:pPr>
        <w:ind w:left="720" w:hanging="480"/>
      </w:pPr>
    </w:lvl>
    <w:lvl w:ilvl="1">
      <w:start w:val="1"/>
      <w:numFmt w:val="decimal"/>
      <w:lvlText w:val="%2."/>
      <w:lvlJc w:val="left"/>
      <w:pPr>
        <w:ind w:left="1440" w:hanging="480"/>
      </w:pPr>
    </w:lvl>
    <w:lvl w:ilvl="2">
      <w:start w:val="1"/>
      <w:numFmt w:val="decimal"/>
      <w:lvlText w:val="%3."/>
      <w:lvlJc w:val="left"/>
      <w:pPr>
        <w:ind w:left="2160" w:hanging="480"/>
      </w:pPr>
    </w:lvl>
    <w:lvl w:ilvl="3">
      <w:start w:val="1"/>
      <w:numFmt w:val="decimal"/>
      <w:lvlText w:val="%4."/>
      <w:lvlJc w:val="left"/>
      <w:pPr>
        <w:ind w:left="2880" w:hanging="480"/>
      </w:pPr>
    </w:lvl>
    <w:lvl w:ilvl="4">
      <w:start w:val="1"/>
      <w:numFmt w:val="decimal"/>
      <w:lvlText w:val="%5."/>
      <w:lvlJc w:val="left"/>
      <w:pPr>
        <w:ind w:left="3600" w:hanging="480"/>
      </w:pPr>
    </w:lvl>
    <w:lvl w:ilvl="5">
      <w:start w:val="1"/>
      <w:numFmt w:val="decimal"/>
      <w:lvlText w:val="%6."/>
      <w:lvlJc w:val="left"/>
      <w:pPr>
        <w:ind w:left="4320" w:hanging="480"/>
      </w:pPr>
    </w:lvl>
    <w:lvl w:ilvl="6">
      <w:start w:val="1"/>
      <w:numFmt w:val="decimal"/>
      <w:lvlText w:val="%7."/>
      <w:lvlJc w:val="left"/>
      <w:pPr>
        <w:ind w:left="5040" w:hanging="480"/>
      </w:pPr>
    </w:lvl>
    <w:lvl w:ilvl="7">
      <w:start w:val="1"/>
      <w:numFmt w:val="decimal"/>
      <w:lvlText w:val="%8."/>
      <w:lvlJc w:val="left"/>
      <w:pPr>
        <w:ind w:left="5760" w:hanging="480"/>
      </w:pPr>
    </w:lvl>
    <w:lvl w:ilvl="8">
      <w:start w:val="1"/>
      <w:numFmt w:val="decimal"/>
      <w:lvlText w:val="%9."/>
      <w:lvlJc w:val="left"/>
      <w:pPr>
        <w:ind w:left="6480" w:hanging="480"/>
      </w:pPr>
    </w:lvl>
  </w:abstractNum>
  <w:abstractNum w:abstractNumId="991">
    <w:nsid w:val="0000A991"/>
    <w:multiLevelType w:val="multilevel"/>
    <w:lvl w:ilvl="0">
      <w:numFmt w:val="bullet"/>
      <w:lvlText w:val="•"/>
      <w:lvlJc w:val="left"/>
      <w:pPr>
        <w:ind w:left="720" w:hanging="480"/>
      </w:pPr>
    </w:lvl>
    <w:lvl w:ilvl="1">
      <w:numFmt w:val="bullet"/>
      <w:lvlText w:val="–"/>
      <w:lvlJc w:val="left"/>
      <w:pPr>
        <w:ind w:left="1440" w:hanging="480"/>
      </w:pPr>
    </w:lvl>
    <w:lvl w:ilvl="2">
      <w:numFmt w:val="bullet"/>
      <w:lvlText w:val="•"/>
      <w:lvlJc w:val="left"/>
      <w:pPr>
        <w:ind w:left="2160" w:hanging="480"/>
      </w:pPr>
    </w:lvl>
    <w:lvl w:ilvl="3">
      <w:numFmt w:val="bullet"/>
      <w:lvlText w:val="–"/>
      <w:lvlJc w:val="left"/>
      <w:pPr>
        <w:ind w:left="2880" w:hanging="480"/>
      </w:pPr>
    </w:lvl>
    <w:lvl w:ilvl="4">
      <w:numFmt w:val="bullet"/>
      <w:lvlText w:val="•"/>
      <w:lvlJc w:val="left"/>
      <w:pPr>
        <w:ind w:left="3600" w:hanging="480"/>
      </w:pPr>
    </w:lvl>
    <w:lvl w:ilvl="5">
      <w:numFmt w:val="bullet"/>
      <w:lvlText w:val="–"/>
      <w:lvlJc w:val="left"/>
      <w:pPr>
        <w:ind w:left="4320" w:hanging="480"/>
      </w:pPr>
    </w:lvl>
    <w:lvl w:ilvl="6">
      <w:numFmt w:val="bullet"/>
      <w:lvlText w:val="•"/>
      <w:lvlJc w:val="left"/>
      <w:pPr>
        <w:ind w:left="5040" w:hanging="480"/>
      </w:pPr>
    </w:lvl>
    <w:lvl w:ilvl="7">
      <w:numFmt w:val="bullet"/>
      <w:lvlText w:val="–"/>
      <w:lvlJc w:val="left"/>
      <w:pPr>
        <w:ind w:left="5760" w:hanging="480"/>
      </w:pPr>
    </w:lvl>
    <w:lvl w:ilvl="8">
      <w:numFmt w:val="bullet"/>
      <w:lvlText w:val="•"/>
      <w:lvlJc w:val="left"/>
      <w:pPr>
        <w:ind w:left="6480" w:hanging="480"/>
      </w:pPr>
    </w:lvl>
  </w:abstractNum>
  <w:num w:numId="1000">
    <w:abstractNumId w:val="990"/>
  </w:num>
  <w:num w:numId="1001">
    <w:abstractNumId w:val="994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02">
    <w:abstractNumId w:val="994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03">
    <w:abstractNumId w:val="991"/>
  </w:num>
  <w:num w:numId="1004">
    <w:abstractNumId w:val="994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05">
    <w:abstractNumId w:val="994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06">
    <w:abstractNumId w:val="991"/>
  </w:num>
  <w:num w:numId="1007">
    <w:abstractNumId w:val="991"/>
  </w:num>
  <w:num w:numId="1008">
    <w:abstractNumId w:val="994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09">
    <w:abstractNumId w:val="994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10">
    <w:abstractNumId w:val="991"/>
  </w:num>
  <w:num w:numId="1011">
    <w:abstractNumId w:val="991"/>
  </w:num>
  <w:num w:numId="1012">
    <w:abstractNumId w:val="994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13">
    <w:abstractNumId w:val="994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14">
    <w:abstractNumId w:val="991"/>
  </w:num>
  <w:num w:numId="1015">
    <w:abstractNumId w:val="991"/>
  </w:num>
  <w:num w:numId="1016">
    <w:abstractNumId w:val="994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17">
    <w:abstractNumId w:val="994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18">
    <w:abstractNumId w:val="991"/>
  </w:num>
  <w:num w:numId="1019">
    <w:abstractNumId w:val="991"/>
  </w:num>
  <w:num w:numId="1020">
    <w:abstractNumId w:val="994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21">
    <w:abstractNumId w:val="994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22">
    <w:abstractNumId w:val="991"/>
  </w:num>
  <w:num w:numId="1023">
    <w:abstractNumId w:val="991"/>
  </w:num>
  <w:num w:numId="1024">
    <w:abstractNumId w:val="994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25">
    <w:abstractNumId w:val="994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26">
    <w:abstractNumId w:val="991"/>
  </w:num>
  <w:num w:numId="1027">
    <w:abstractNumId w:val="991"/>
  </w:num>
  <w:num w:numId="1028">
    <w:abstractNumId w:val="994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29">
    <w:abstractNumId w:val="994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30">
    <w:abstractNumId w:val="991"/>
  </w:num>
  <w:num w:numId="1031">
    <w:abstractNumId w:val="991"/>
  </w:num>
  <w:num w:numId="1032">
    <w:abstractNumId w:val="994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33">
    <w:abstractNumId w:val="994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34">
    <w:abstractNumId w:val="991"/>
  </w:num>
  <w:num w:numId="1035">
    <w:abstractNumId w:val="991"/>
  </w:num>
  <w:num w:numId="1036">
    <w:abstractNumId w:val="994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37">
    <w:abstractNumId w:val="994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38">
    <w:abstractNumId w:val="991"/>
  </w:num>
  <w:num w:numId="1039">
    <w:abstractNumId w:val="991"/>
  </w:num>
  <w:num w:numId="1040">
    <w:abstractNumId w:val="994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41">
    <w:abstractNumId w:val="994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42">
    <w:abstractNumId w:val="991"/>
  </w:num>
  <w:num w:numId="1043">
    <w:abstractNumId w:val="991"/>
  </w:num>
  <w:num w:numId="1044">
    <w:abstractNumId w:val="994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45">
    <w:abstractNumId w:val="994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46">
    <w:abstractNumId w:val="991"/>
  </w:num>
  <w:num w:numId="1047">
    <w:abstractNumId w:val="991"/>
  </w:num>
  <w:num w:numId="1048">
    <w:abstractNumId w:val="994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49">
    <w:abstractNumId w:val="994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50">
    <w:abstractNumId w:val="991"/>
  </w:num>
  <w:num w:numId="1051">
    <w:abstractNumId w:val="991"/>
  </w:num>
  <w:num w:numId="1052">
    <w:abstractNumId w:val="994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53">
    <w:abstractNumId w:val="994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54">
    <w:abstractNumId w:val="991"/>
  </w:num>
  <w:num w:numId="1055">
    <w:abstractNumId w:val="991"/>
  </w:num>
  <w:num w:numId="1056">
    <w:abstractNumId w:val="994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57">
    <w:abstractNumId w:val="994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58">
    <w:abstractNumId w:val="991"/>
  </w:num>
  <w:num w:numId="1059">
    <w:abstractNumId w:val="991"/>
  </w:num>
  <w:num w:numId="1060">
    <w:abstractNumId w:val="994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61">
    <w:abstractNumId w:val="994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62">
    <w:abstractNumId w:val="991"/>
  </w:num>
  <w:num w:numId="1063">
    <w:abstractNumId w:val="991"/>
  </w:num>
  <w:num w:numId="1064">
    <w:abstractNumId w:val="994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65">
    <w:abstractNumId w:val="994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66">
    <w:abstractNumId w:val="991"/>
  </w:num>
  <w:num w:numId="1067">
    <w:abstractNumId w:val="991"/>
  </w:num>
  <w:num w:numId="1068">
    <w:abstractNumId w:val="994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69">
    <w:abstractNumId w:val="994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70">
    <w:abstractNumId w:val="991"/>
  </w:num>
  <w:num w:numId="1071">
    <w:abstractNumId w:val="991"/>
  </w:num>
  <w:num w:numId="1072">
    <w:abstractNumId w:val="994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73">
    <w:abstractNumId w:val="994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74">
    <w:abstractNumId w:val="991"/>
  </w:num>
  <w:num w:numId="1075">
    <w:abstractNumId w:val="991"/>
  </w:num>
  <w:num w:numId="1076">
    <w:abstractNumId w:val="994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77">
    <w:abstractNumId w:val="994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78">
    <w:abstractNumId w:val="991"/>
  </w:num>
  <w:num w:numId="1079">
    <w:abstractNumId w:val="991"/>
  </w:num>
  <w:num w:numId="1080">
    <w:abstractNumId w:val="994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81">
    <w:abstractNumId w:val="994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82">
    <w:abstractNumId w:val="991"/>
  </w:num>
  <w:num w:numId="1083">
    <w:abstractNumId w:val="991"/>
  </w:num>
  <w:num w:numId="1084">
    <w:abstractNumId w:val="994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85">
    <w:abstractNumId w:val="994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86">
    <w:abstractNumId w:val="991"/>
  </w:num>
  <w:num w:numId="1087">
    <w:abstractNumId w:val="991"/>
  </w:num>
  <w:num w:numId="1088">
    <w:abstractNumId w:val="994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89">
    <w:abstractNumId w:val="994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90">
    <w:abstractNumId w:val="991"/>
  </w:num>
  <w:num w:numId="1091">
    <w:abstractNumId w:val="991"/>
  </w:num>
  <w:num w:numId="1092">
    <w:abstractNumId w:val="994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93">
    <w:abstractNumId w:val="994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94">
    <w:abstractNumId w:val="991"/>
  </w:num>
  <w:num w:numId="1095">
    <w:abstractNumId w:val="991"/>
  </w:num>
  <w:num w:numId="1096">
    <w:abstractNumId w:val="994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97">
    <w:abstractNumId w:val="994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98">
    <w:abstractNumId w:val="991"/>
  </w:num>
  <w:num w:numId="1099">
    <w:abstractNumId w:val="991"/>
  </w:num>
  <w:num w:numId="1100">
    <w:abstractNumId w:val="994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01">
    <w:abstractNumId w:val="994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02">
    <w:abstractNumId w:val="991"/>
  </w:num>
  <w:num w:numId="1103">
    <w:abstractNumId w:val="991"/>
  </w:num>
  <w:num w:numId="1104">
    <w:abstractNumId w:val="994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05">
    <w:abstractNumId w:val="994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06">
    <w:abstractNumId w:val="991"/>
  </w:num>
  <w:num w:numId="1107">
    <w:abstractNumId w:val="991"/>
  </w:num>
  <w:num w:numId="1108">
    <w:abstractNumId w:val="994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09">
    <w:abstractNumId w:val="994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10">
    <w:abstractNumId w:val="991"/>
  </w:num>
  <w:num w:numId="1111">
    <w:abstractNumId w:val="991"/>
  </w:num>
  <w:num w:numId="1112">
    <w:abstractNumId w:val="994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13">
    <w:abstractNumId w:val="994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14">
    <w:abstractNumId w:val="991"/>
  </w:num>
  <w:num w:numId="1115">
    <w:abstractNumId w:val="991"/>
  </w:num>
  <w:num w:numId="1116">
    <w:abstractNumId w:val="994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17">
    <w:abstractNumId w:val="994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18">
    <w:abstractNumId w:val="991"/>
  </w:num>
  <w:num w:numId="1119">
    <w:abstractNumId w:val="991"/>
  </w:num>
  <w:num w:numId="1120">
    <w:abstractNumId w:val="994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21">
    <w:abstractNumId w:val="994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22">
    <w:abstractNumId w:val="991"/>
  </w:num>
  <w:num w:numId="1123">
    <w:abstractNumId w:val="991"/>
  </w:num>
  <w:num w:numId="1124">
    <w:abstractNumId w:val="994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25">
    <w:abstractNumId w:val="994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26">
    <w:abstractNumId w:val="991"/>
  </w:num>
  <w:num w:numId="1127">
    <w:abstractNumId w:val="991"/>
  </w:num>
  <w:num w:numId="1128">
    <w:abstractNumId w:val="994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29">
    <w:abstractNumId w:val="994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30">
    <w:abstractNumId w:val="991"/>
  </w:num>
  <w:num w:numId="1131">
    <w:abstractNumId w:val="991"/>
  </w:num>
  <w:num w:numId="1132">
    <w:abstractNumId w:val="994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33">
    <w:abstractNumId w:val="994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34">
    <w:abstractNumId w:val="991"/>
  </w:num>
  <w:num w:numId="1135">
    <w:abstractNumId w:val="991"/>
  </w:num>
  <w:num w:numId="1136">
    <w:abstractNumId w:val="994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37">
    <w:abstractNumId w:val="994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38">
    <w:abstractNumId w:val="991"/>
  </w:num>
  <w:num w:numId="1139">
    <w:abstractNumId w:val="994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http://schemas.openxmlformats.org/officeDocument/2006/math" xmlns:o="urn:schemas-microsoft-com:office:office" xmlns:r="http://schemas.openxmlformats.org/officeDocument/2006/relationships" xmlns:sl="http://schemas.openxmlformats.org/schemaLibrary/2006/main" xmlns:v="urn:schemas-microsoft-com:vml" xmlns:w="http://schemas.openxmlformats.org/wordprocessingml/2006/main" xmlns:w10="urn:schemas-microsoft-com:office:word">
  <w:zoom w:percent="100"/>
  <w:embedSystemFonts/>
  <w:proofState w:grammar="clean" w:spelling="clean"/>
  <w:stylePaneFormatFilter w:val="0004"/>
  <w:doNotTrackMoves/>
  <w:defaultTabStop w:val="720"/>
  <w:drawingGridHorizontalSpacing w:val="360"/>
  <w:drawingGridVerticalSpacing w:val="360"/>
  <w:displayHorizontalDrawingGridEvery w:val="0"/>
  <w:displayVerticalDrawingGridEvery w:val="0"/>
  <w:characterSpacingControl w:val="doNotCompress"/>
  <w:savePreviewPicture/>
  <w:footnotePr>
    <w:footnote w:id="-1"/>
    <w:footnote w:id="0"/>
  </w:footnotePr>
  <w:rsids>
  </w:rsids>
  <w:themeFontLang w:val="en-US"/>
  <w:clrSchemeMapping w:accent1="accent1" w:accent2="accent2" w:accent3="accent3" w:accent4="accent4" w:accent5="accent5" w:accent6="accent6" w:bg1="light1" w:bg2="light2" w:followedHyperlink="followedHyperlink" w:hyperlink="hyperlink" w:t1="dark1" w:t2="dark2"/>
  <w:decimalSymbol w:val="."/>
  <w:listSeparator w:val=","/>
  <w:updateFields w:val="true"/>
</w:settings>
</file>

<file path=word/styles.xml><?xml version="1.0" encoding="utf-8"?>
<w:styles xmlns:r="http://schemas.openxmlformats.org/officeDocument/2006/relationships" xmlns:w="http://schemas.openxmlformats.org/wordprocessingml/2006/main">
  <w:docDefaults>
    <w:rPrDefault>
      <w:rPr>
        <w:rFonts w:asciiTheme="minorHAnsi" w:cstheme="minorBidi" w:eastAsiaTheme="minorHAnsi" w:hAnsiTheme="minorHAnsi"/>
        <w:sz w:val="24"/>
        <w:szCs w:val="24"/>
        <w:lang w:bidi="ar-SA" w:eastAsia="en-US" w:val="en-US"/>
      </w:rPr>
    </w:rPrDefault>
    <w:pPrDefault>
      <w:pPr>
        <w:spacing w:after="200"/>
      </w:pPr>
    </w:pPrDefault>
  </w:docDefaults>
  <w:latentStyles w:count="276" w:defLockedState="0" w:defQFormat="0" w:defSemiHidden="0" w:defUIPriority="0" w:defUnhideWhenUsed="0"/>
  <w:style w:default="1" w:styleId="Normal" w:type="paragraph">
    <w:name w:val="Normal"/>
    <w:qFormat/>
    <w:pPr>
      <w:widowControl/>
      <w:spacing w:after="116" w:line="274" w:lineRule="auto"/>
    </w:pPr>
    <w:rPr>
      <w:rFonts w:ascii="Noto Serif" w:hAnsi="Noto Serif" w:eastAsia="Noto Serif" w:cs="Noto Serif"/>
      <w:color w:val="18212B"/>
      <w:sz w:val="22"/>
    </w:rPr>
  </w:style>
  <w:style w:styleId="BodyText" w:type="paragraph">
    <w:name w:val="Body Text"/>
    <w:basedOn w:val="Normal"/>
    <w:link w:val="BodyTextChar"/>
    <w:qFormat/>
    <w:pPr>
      <w:widowControl/>
      <w:spacing w:after="116" w:before="180" w:line="274" w:lineRule="auto"/>
    </w:pPr>
    <w:rPr>
      <w:rFonts w:ascii="Noto Serif" w:hAnsi="Noto Serif" w:eastAsia="Noto Serif" w:cs="Noto Serif"/>
      <w:color w:val="18212B"/>
      <w:sz w:val="22"/>
    </w:rPr>
  </w:style>
  <w:style w:customStyle="1" w:styleId="FirstParagraph" w:type="paragraph">
    <w:name w:val="First Paragraph"/>
    <w:basedOn w:val="BodyText"/>
    <w:next w:val="BodyText"/>
    <w:qFormat/>
    <w:pPr>
      <w:widowControl/>
      <w:spacing w:after="116" w:line="274" w:lineRule="auto"/>
      <w:ind w:firstLine="0"/>
    </w:pPr>
    <w:rPr>
      <w:rFonts w:ascii="Noto Serif" w:hAnsi="Noto Serif" w:eastAsia="Noto Serif" w:cs="Noto Serif"/>
      <w:color w:val="18212B"/>
      <w:sz w:val="22"/>
    </w:rPr>
  </w:style>
  <w:style w:customStyle="1" w:styleId="Compact" w:type="paragraph">
    <w:name w:val="Compact"/>
    <w:basedOn w:val="BodyText"/>
    <w:qFormat/>
    <w:pPr>
      <w:spacing w:after="52" w:before="36" w:line="254" w:lineRule="auto"/>
    </w:pPr>
    <w:rPr>
      <w:rFonts w:ascii="Noto Serif" w:hAnsi="Noto Serif" w:eastAsia="Noto Serif" w:cs="Noto Serif"/>
      <w:color w:val="18212B"/>
      <w:sz w:val="21"/>
    </w:rPr>
  </w:style>
  <w:style w:styleId="Title" w:type="paragraph">
    <w:name w:val="Title"/>
    <w:basedOn w:val="Normal"/>
    <w:next w:val="BodyText"/>
    <w:qFormat/>
    <w:pPr>
      <w:keepNext/>
      <w:keepLines/>
      <w:spacing w:after="240" w:before="480"/>
      <w:jc w:val="center"/>
    </w:pPr>
    <w:rPr>
      <w:rFonts w:asciiTheme="majorHAnsi" w:cstheme="majorBidi" w:eastAsiaTheme="majorEastAsia" w:hAnsiTheme="majorHAnsi"/>
      <w:b/>
      <w:bCs/>
      <w:color w:themeColor="accent1" w:themeShade="B5" w:val="345A8A"/>
      <w:sz w:val="36"/>
      <w:szCs w:val="36"/>
    </w:rPr>
  </w:style>
  <w:style w:styleId="Subtitle" w:type="paragraph">
    <w:name w:val="Subtitle"/>
    <w:basedOn w:val="Title"/>
    <w:next w:val="BodyText"/>
    <w:qFormat/>
    <w:pPr>
      <w:keepNext/>
      <w:keepLines/>
      <w:spacing w:after="240" w:before="240"/>
      <w:jc w:val="center"/>
    </w:pPr>
    <w:rPr>
      <w:sz w:val="30"/>
      <w:szCs w:val="30"/>
    </w:rPr>
  </w:style>
  <w:style w:customStyle="1" w:styleId="Author" w:type="paragraph">
    <w:name w:val="Author"/>
    <w:next w:val="BodyText"/>
    <w:qFormat/>
    <w:pPr>
      <w:keepNext/>
      <w:keepLines/>
      <w:jc w:val="center"/>
    </w:pPr>
  </w:style>
  <w:style w:styleId="Date" w:type="paragraph">
    <w:name w:val="Date"/>
    <w:next w:val="BodyText"/>
    <w:qFormat/>
    <w:pPr>
      <w:keepNext/>
      <w:keepLines/>
      <w:jc w:val="center"/>
    </w:pPr>
  </w:style>
  <w:style w:customStyle="1" w:styleId="AbstractTitle" w:type="paragraph">
    <w:name w:val="Abstract Title"/>
    <w:basedOn w:val="Normal"/>
    <w:next w:val="Abstract"/>
    <w:qFormat/>
    <w:pPr>
      <w:keepNext/>
      <w:keepLines/>
      <w:spacing w:after="0" w:before="300"/>
      <w:jc w:val="center"/>
    </w:pPr>
    <w:rPr>
      <w:b/>
      <w:color w:val="345A8A"/>
      <w:sz w:val="20"/>
      <w:szCs w:val="20"/>
    </w:rPr>
  </w:style>
  <w:style w:customStyle="1" w:styleId="Abstract" w:type="paragraph">
    <w:name w:val="Abstract"/>
    <w:basedOn w:val="Normal"/>
    <w:next w:val="BodyText"/>
    <w:qFormat/>
    <w:pPr>
      <w:keepNext/>
      <w:keepLines/>
      <w:spacing w:after="300" w:before="100"/>
    </w:pPr>
    <w:rPr>
      <w:sz w:val="20"/>
      <w:szCs w:val="20"/>
    </w:rPr>
  </w:style>
  <w:style w:styleId="Bibliography" w:type="paragraph">
    <w:name w:val="Bibliography"/>
    <w:basedOn w:val="Normal"/>
    <w:next w:val="Bibliography"/>
    <w:qFormat/>
    <w:pPr/>
    <w:rPr/>
  </w:style>
  <w:style w:styleId="Heading1" w:type="paragraph">
    <w:name w:val="Heading 1"/>
    <w:basedOn w:val="Normal"/>
    <w:next w:val="BodyText"/>
    <w:uiPriority w:val="9"/>
    <w:qFormat/>
    <w:pPr>
      <w:keepNext/>
      <w:keepLines/>
      <w:spacing w:after="0" w:before="480"/>
      <w:outlineLvl w:val="0"/>
    </w:pPr>
    <w:rPr>
      <w:rFonts w:asciiTheme="majorHAnsi" w:cstheme="majorBidi" w:eastAsiaTheme="majorEastAsia" w:hAnsiTheme="majorHAnsi"/>
      <w:b/>
      <w:bCs/>
      <w:color w:themeColor="accent1" w:val="4F81BD"/>
      <w:sz w:val="32"/>
      <w:szCs w:val="32"/>
    </w:rPr>
  </w:style>
  <w:style w:styleId="Heading2" w:type="paragraph">
    <w:name w:val="Heading 2"/>
    <w:basedOn w:val="Normal"/>
    <w:next w:val="BodyText"/>
    <w:uiPriority w:val="9"/>
    <w:unhideWhenUsed/>
    <w:qFormat/>
    <w:pPr>
      <w:keepNext/>
      <w:keepLines/>
      <w:spacing w:after="0" w:before="200"/>
      <w:outlineLvl w:val="1"/>
    </w:pPr>
    <w:rPr>
      <w:rFonts w:asciiTheme="majorHAnsi" w:cstheme="majorBidi" w:eastAsiaTheme="majorEastAsia" w:hAnsiTheme="majorHAnsi"/>
      <w:b/>
      <w:bCs/>
      <w:color w:themeColor="accent1" w:val="4F81BD"/>
      <w:sz w:val="28"/>
      <w:szCs w:val="28"/>
    </w:rPr>
  </w:style>
  <w:style w:styleId="Heading3" w:type="paragraph">
    <w:name w:val="Heading 3"/>
    <w:basedOn w:val="Normal"/>
    <w:next w:val="BodyText"/>
    <w:uiPriority w:val="9"/>
    <w:unhideWhenUsed/>
    <w:qFormat/>
    <w:pPr>
      <w:keepNext/>
      <w:keepLines/>
      <w:spacing w:after="0" w:before="200"/>
      <w:outlineLvl w:val="2"/>
    </w:pPr>
    <w:rPr>
      <w:rFonts w:asciiTheme="majorHAnsi" w:cstheme="majorBidi" w:eastAsiaTheme="majorEastAsia" w:hAnsiTheme="majorHAnsi"/>
      <w:b/>
      <w:bCs/>
      <w:color w:themeColor="accent1" w:val="4F81BD"/>
      <w:sz w:val="24"/>
      <w:szCs w:val="24"/>
    </w:rPr>
  </w:style>
  <w:style w:styleId="Heading4" w:type="paragraph">
    <w:name w:val="Heading 4"/>
    <w:basedOn w:val="Normal"/>
    <w:next w:val="BodyText"/>
    <w:uiPriority w:val="9"/>
    <w:unhideWhenUsed/>
    <w:qFormat/>
    <w:pPr>
      <w:keepNext/>
      <w:keepLines/>
      <w:spacing w:after="0" w:before="200"/>
      <w:outlineLvl w:val="3"/>
    </w:pPr>
    <w:rPr>
      <w:rFonts w:asciiTheme="majorHAnsi" w:cstheme="majorBidi" w:eastAsiaTheme="majorEastAsia" w:hAnsiTheme="majorHAnsi"/>
      <w:bCs/>
      <w:i/>
      <w:color w:themeColor="accent1" w:val="4F81BD"/>
      <w:sz w:val="24"/>
      <w:szCs w:val="24"/>
    </w:rPr>
  </w:style>
  <w:style w:styleId="Heading5" w:type="paragraph">
    <w:name w:val="Heading 5"/>
    <w:basedOn w:val="Normal"/>
    <w:next w:val="BodyText"/>
    <w:uiPriority w:val="9"/>
    <w:unhideWhenUsed/>
    <w:qFormat/>
    <w:pPr>
      <w:keepNext/>
      <w:keepLines/>
      <w:spacing w:after="0" w:before="200"/>
      <w:outlineLvl w:val="4"/>
    </w:pPr>
    <w:rPr>
      <w:rFonts w:asciiTheme="majorHAnsi" w:cstheme="majorBidi" w:eastAsiaTheme="majorEastAsia" w:hAnsiTheme="majorHAnsi"/>
      <w:iCs/>
      <w:color w:themeColor="accent1" w:val="4F81BD"/>
      <w:sz w:val="24"/>
      <w:szCs w:val="24"/>
    </w:rPr>
  </w:style>
  <w:style w:styleId="Heading6" w:type="paragraph">
    <w:name w:val="Heading 6"/>
    <w:basedOn w:val="Normal"/>
    <w:next w:val="BodyText"/>
    <w:uiPriority w:val="9"/>
    <w:unhideWhenUsed/>
    <w:qFormat/>
    <w:pPr>
      <w:keepNext/>
      <w:keepLines/>
      <w:spacing w:after="0" w:before="200"/>
      <w:outlineLvl w:val="5"/>
    </w:pPr>
    <w:rPr>
      <w:rFonts w:asciiTheme="majorHAnsi" w:cstheme="majorBidi" w:eastAsiaTheme="majorEastAsia" w:hAnsiTheme="majorHAnsi"/>
      <w:color w:themeColor="accent1" w:val="4F81BD"/>
      <w:sz w:val="24"/>
      <w:szCs w:val="24"/>
    </w:rPr>
  </w:style>
  <w:style w:styleId="Heading7" w:type="paragraph">
    <w:name w:val="Heading 7"/>
    <w:basedOn w:val="Normal"/>
    <w:next w:val="BodyText"/>
    <w:uiPriority w:val="9"/>
    <w:unhideWhenUsed/>
    <w:qFormat/>
    <w:pPr>
      <w:keepNext/>
      <w:keepLines/>
      <w:spacing w:after="0" w:before="200"/>
      <w:outlineLvl w:val="6"/>
    </w:pPr>
    <w:rPr>
      <w:rFonts w:asciiTheme="majorHAnsi" w:cstheme="majorBidi" w:eastAsiaTheme="majorEastAsia" w:hAnsiTheme="majorHAnsi"/>
      <w:color w:themeColor="accent1" w:val="4F81BD"/>
      <w:sz w:val="24"/>
      <w:szCs w:val="24"/>
    </w:rPr>
  </w:style>
  <w:style w:styleId="Heading8" w:type="paragraph">
    <w:name w:val="Heading 8"/>
    <w:basedOn w:val="Normal"/>
    <w:next w:val="BodyText"/>
    <w:uiPriority w:val="9"/>
    <w:unhideWhenUsed/>
    <w:qFormat/>
    <w:pPr>
      <w:keepNext/>
      <w:keepLines/>
      <w:spacing w:after="0" w:before="200"/>
      <w:outlineLvl w:val="7"/>
    </w:pPr>
    <w:rPr>
      <w:rFonts w:asciiTheme="majorHAnsi" w:cstheme="majorBidi" w:eastAsiaTheme="majorEastAsia" w:hAnsiTheme="majorHAnsi"/>
      <w:color w:themeColor="accent1" w:val="4F81BD"/>
      <w:sz w:val="24"/>
      <w:szCs w:val="24"/>
    </w:rPr>
  </w:style>
  <w:style w:styleId="Heading9" w:type="paragraph">
    <w:name w:val="Heading 9"/>
    <w:basedOn w:val="Normal"/>
    <w:next w:val="BodyText"/>
    <w:uiPriority w:val="9"/>
    <w:unhideWhenUsed/>
    <w:qFormat/>
    <w:pPr>
      <w:keepNext/>
      <w:keepLines/>
      <w:spacing w:after="0" w:before="200"/>
      <w:outlineLvl w:val="8"/>
    </w:pPr>
    <w:rPr>
      <w:rFonts w:asciiTheme="majorHAnsi" w:cstheme="majorBidi" w:eastAsiaTheme="majorEastAsia" w:hAnsiTheme="majorHAnsi"/>
      <w:color w:themeColor="accent1" w:val="4F81BD"/>
      <w:sz w:val="24"/>
      <w:szCs w:val="24"/>
    </w:rPr>
  </w:style>
  <w:style w:styleId="BlockText" w:type="paragraph">
    <w:name w:val="Block Text"/>
    <w:basedOn w:val="BodyText"/>
    <w:next w:val="BodyText"/>
    <w:uiPriority w:val="9"/>
    <w:unhideWhenUsed/>
    <w:qFormat/>
    <w:pPr>
      <w:spacing w:after="120" w:before="80" w:line="252" w:lineRule="auto"/>
      <w:ind w:firstLine="0" w:left="317" w:right="173"/>
    </w:pPr>
    <w:rPr>
      <w:rFonts w:ascii="Noto Sans" w:hAnsi="Noto Sans" w:eastAsia="Noto Sans" w:cs="Noto Sans"/>
      <w:color w:val="18212B"/>
      <w:sz w:val="19"/>
    </w:rPr>
  </w:style>
  <w:style w:styleId="FootnoteText" w:type="paragraph">
    <w:name w:val="Footnote Text"/>
    <w:basedOn w:val="Normal"/>
    <w:next w:val="FootnoteText"/>
    <w:uiPriority w:val="9"/>
    <w:unhideWhenUsed/>
    <w:qFormat/>
  </w:style>
  <w:style w:styleId="FootnoteBlockText" w:type="paragraph">
    <w:name w:val="Footnote Block Text"/>
    <w:basedOn w:val="Footnote Text"/>
    <w:next w:val="Footnote Text"/>
    <w:uiPriority w:val="9"/>
    <w:unhideWhenUsed/>
    <w:qFormat/>
    <w:pPr>
      <w:spacing w:after="100" w:before="100"/>
      <w:ind w:firstLine="0" w:left="480" w:right="480"/>
    </w:pPr>
  </w:style>
  <w:style w:default="1" w:styleId="DefaultParagraphFont" w:type="character">
    <w:name w:val="Default Paragraph Font"/>
    <w:semiHidden/>
    <w:unhideWhenUsed/>
  </w:style>
  <w:style w:default="1" w:styleId="Table" w:type="table">
    <w:name w:val="Table"/>
    <w:basedOn w:val="TableNormal"/>
    <w:semiHidden/>
    <w:unhideWhenUsed/>
    <w:qFormat/>
    <w:tblPr>
      <w:tblInd w:type="dxa" w:w="0"/>
      <w:tblCellMar>
        <w:top w:type="dxa" w:w="0"/>
        <w:left w:type="dxa" w:w="108"/>
        <w:bottom w:type="dxa" w:w="0"/>
        <w:right w:type="dxa" w:w="108"/>
      </w:tblCellMar>
    </w:tblPr>
    <w:tblStylePr w:type="firstRow">
      <w:tblPr>
        <w:jc w:val="left"/>
        <w:tblInd w:type="dxa" w:w="0"/>
      </w:tblPr>
      <w:trPr>
        <w:jc w:val="left"/>
      </w:trPr>
      <w:tcPr>
        <w:tcBorders>
          <w:bottom w:val="single"/>
        </w:tcBorders>
        <w:vAlign w:val="bottom"/>
      </w:tcPr>
    </w:tblStylePr>
  </w:style>
  <w:style w:customStyle="1" w:styleId="DefinitionTerm" w:type="paragraph">
    <w:name w:val="Definition Term"/>
    <w:basedOn w:val="Normal"/>
    <w:next w:val="Definition"/>
    <w:pPr>
      <w:keepNext/>
      <w:keepLines/>
      <w:spacing w:after="0"/>
    </w:pPr>
    <w:rPr>
      <w:b/>
    </w:rPr>
  </w:style>
  <w:style w:customStyle="1" w:styleId="Definition" w:type="paragraph">
    <w:name w:val="Definition"/>
    <w:basedOn w:val="Normal"/>
  </w:style>
  <w:style w:styleId="Caption" w:type="paragraph">
    <w:name w:val="Caption"/>
    <w:basedOn w:val="Normal"/>
    <w:link w:val="BodyTextChar"/>
    <w:pPr>
      <w:spacing w:after="120" w:before="0"/>
    </w:pPr>
    <w:rPr>
      <w:i/>
    </w:rPr>
  </w:style>
  <w:style w:customStyle="1" w:styleId="TableCaption" w:type="paragraph">
    <w:name w:val="Table Caption"/>
    <w:basedOn w:val="Caption"/>
    <w:pPr>
      <w:keepNext/>
    </w:pPr>
  </w:style>
  <w:style w:customStyle="1" w:styleId="ImageCaption" w:type="paragraph">
    <w:name w:val="Image Caption"/>
    <w:basedOn w:val="Caption"/>
  </w:style>
  <w:style w:customStyle="1" w:styleId="Figure" w:type="paragraph">
    <w:name w:val="Figure"/>
    <w:basedOn w:val="Normal"/>
  </w:style>
  <w:style w:customStyle="1" w:styleId="CaptionedFigure" w:type="paragraph">
    <w:name w:val="Captioned Figure"/>
    <w:basedOn w:val="Figure"/>
    <w:pPr>
      <w:keepNext/>
    </w:pPr>
  </w:style>
  <w:style w:customStyle="1" w:styleId="BodyTextChar" w:type="character">
    <w:name w:val="Body Text Char"/>
    <w:basedOn w:val="DefaultParagraphFont"/>
    <w:link w:val="BodyText"/>
  </w:style>
  <w:style w:customStyle="1" w:styleId="VerbatimChar" w:type="character">
    <w:name w:val="Verbatim Char"/>
    <w:basedOn w:val="BodyTextChar"/>
    <w:rPr>
      <w:rFonts w:ascii="Consolas" w:hAnsi="Consolas"/>
      <w:sz w:val="22"/>
    </w:rPr>
  </w:style>
  <w:style w:customStyle="1" w:styleId="SectionNumber" w:type="character">
    <w:name w:val="Section Number"/>
    <w:basedOn w:val="BodyTextChar"/>
  </w:style>
  <w:style w:styleId="FootnoteReference" w:type="character">
    <w:name w:val="Footnote Reference"/>
    <w:basedOn w:val="BodyTextChar"/>
    <w:rPr>
      <w:vertAlign w:val="superscript"/>
    </w:rPr>
  </w:style>
  <w:style w:styleId="Hyperlink" w:type="character">
    <w:name w:val="Hyperlink"/>
    <w:basedOn w:val="BodyTextChar"/>
    <w:rPr>
      <w:color w:themeColor="accent1" w:val="4F81BD"/>
    </w:rPr>
  </w:style>
  <w:style w:styleId="TOCHeading" w:type="paragraph">
    <w:name w:val="TOC Heading"/>
    <w:basedOn w:val="Heading1"/>
    <w:next w:val="BodyText"/>
    <w:uiPriority w:val="39"/>
    <w:unhideWhenUsed/>
    <w:qFormat/>
    <w:pPr>
      <w:keepNext/>
      <w:spacing w:before="240" w:line="259" w:lineRule="auto" w:after="240"/>
      <w:outlineLvl w:val="9"/>
    </w:pPr>
    <w:rPr>
      <w:rFonts w:asciiTheme="majorHAnsi" w:cstheme="majorBidi" w:eastAsiaTheme="majorEastAsia" w:hAnsiTheme="majorHAnsi" w:ascii="Noto Sans" w:hAnsi="Noto Sans" w:eastAsia="Noto Sans" w:cs="Noto Sans"/>
      <w:b/>
      <w:bCs w:val="0"/>
      <w:color w:val="0A2342"/>
      <w:sz w:val="44"/>
    </w:rPr>
  </w:style>
  <w:style w:type="paragraph" w:customStyle="1" w:styleId="SourceCode">
    <w:name w:val="Source Code"/>
    <w:basedOn w:val="Normal"/>
    <w:link w:val="VerbatimChar"/>
    <w:pPr>
      <w:wordWrap w:val="off"/>
      <w:spacing w:before="50" w:after="90" w:line="240" w:lineRule="auto"/>
      <w:ind w:left="173" w:right="86"/>
    </w:pPr>
    <w:rPr>
      <w:rFonts w:ascii="DejaVu Sans Mono" w:hAnsi="DejaVu Sans Mono" w:eastAsia="DejaVu Sans Mono" w:cs="DejaVu Sans Mono"/>
      <w:color w:val="1E293B"/>
      <w:sz w:val="16"/>
    </w:rPr>
  </w:style>
  <w:style w:type="character" w:customStyle="1" w:styleId="KeywordTok">
    <w:name w:val="KeywordTok"/>
    <w:basedOn w:val="VerbatimChar"/>
    <w:rPr>
      <w:b/>
      <w:color w:val="007020"/>
    </w:rPr>
  </w:style>
  <w:style w:type="character" w:customStyle="1" w:styleId="DataTypeTok">
    <w:name w:val="DataTypeTok"/>
    <w:basedOn w:val="VerbatimChar"/>
    <w:rPr>
      <w:color w:val="902000"/>
    </w:rPr>
  </w:style>
  <w:style w:type="character" w:customStyle="1" w:styleId="DecValTok">
    <w:name w:val="DecValTok"/>
    <w:basedOn w:val="VerbatimChar"/>
    <w:rPr>
      <w:color w:val="40a070"/>
    </w:rPr>
  </w:style>
  <w:style w:type="character" w:customStyle="1" w:styleId="BaseNTok">
    <w:name w:val="BaseNTok"/>
    <w:basedOn w:val="VerbatimChar"/>
    <w:rPr>
      <w:color w:val="40a070"/>
    </w:rPr>
  </w:style>
  <w:style w:type="character" w:customStyle="1" w:styleId="FloatTok">
    <w:name w:val="FloatTok"/>
    <w:basedOn w:val="VerbatimChar"/>
    <w:rPr>
      <w:color w:val="40a070"/>
    </w:rPr>
  </w:style>
  <w:style w:type="character" w:customStyle="1" w:styleId="ConstantTok">
    <w:name w:val="ConstantTok"/>
    <w:basedOn w:val="VerbatimChar"/>
    <w:rPr>
      <w:color w:val="880000"/>
    </w:rPr>
  </w:style>
  <w:style w:type="character" w:customStyle="1" w:styleId="CharTok">
    <w:name w:val="CharTok"/>
    <w:basedOn w:val="VerbatimChar"/>
    <w:rPr>
      <w:color w:val="4070a0"/>
    </w:rPr>
  </w:style>
  <w:style w:type="character" w:customStyle="1" w:styleId="SpecialCharTok">
    <w:name w:val="SpecialCharTok"/>
    <w:basedOn w:val="VerbatimChar"/>
    <w:rPr>
      <w:color w:val="4070a0"/>
    </w:rPr>
  </w:style>
  <w:style w:type="character" w:customStyle="1" w:styleId="StringTok">
    <w:name w:val="StringTok"/>
    <w:basedOn w:val="VerbatimChar"/>
    <w:rPr>
      <w:color w:val="4070a0"/>
    </w:rPr>
  </w:style>
  <w:style w:type="character" w:customStyle="1" w:styleId="VerbatimStringTok">
    <w:name w:val="VerbatimStringTok"/>
    <w:basedOn w:val="VerbatimChar"/>
    <w:rPr>
      <w:color w:val="4070a0"/>
    </w:rPr>
  </w:style>
  <w:style w:type="character" w:customStyle="1" w:styleId="SpecialStringTok">
    <w:name w:val="SpecialStringTok"/>
    <w:basedOn w:val="VerbatimChar"/>
    <w:rPr>
      <w:color w:val="bb6688"/>
    </w:rPr>
  </w:style>
  <w:style w:type="character" w:customStyle="1" w:styleId="ImportTok">
    <w:name w:val="ImportTok"/>
    <w:basedOn w:val="VerbatimChar"/>
    <w:rPr>
      <w:b/>
      <w:color w:val="008000"/>
    </w:rPr>
  </w:style>
  <w:style w:type="character" w:customStyle="1" w:styleId="CommentTok">
    <w:name w:val="CommentTok"/>
    <w:basedOn w:val="VerbatimChar"/>
    <w:rPr>
      <w:i/>
      <w:color w:val="60a0b0"/>
    </w:rPr>
  </w:style>
  <w:style w:type="character" w:customStyle="1" w:styleId="DocumentationTok">
    <w:name w:val="DocumentationTok"/>
    <w:basedOn w:val="VerbatimChar"/>
    <w:rPr>
      <w:i/>
      <w:color w:val="ba2121"/>
    </w:rPr>
  </w:style>
  <w:style w:type="character" w:customStyle="1" w:styleId="AnnotationTok">
    <w:name w:val="AnnotationTok"/>
    <w:basedOn w:val="VerbatimChar"/>
    <w:rPr>
      <w:b/>
      <w:i/>
      <w:color w:val="60a0b0"/>
    </w:rPr>
  </w:style>
  <w:style w:type="character" w:customStyle="1" w:styleId="CommentVarTok">
    <w:name w:val="CommentVarTok"/>
    <w:basedOn w:val="VerbatimChar"/>
    <w:rPr>
      <w:b/>
      <w:i/>
      <w:color w:val="60a0b0"/>
    </w:rPr>
  </w:style>
  <w:style w:type="character" w:customStyle="1" w:styleId="OtherTok">
    <w:name w:val="OtherTok"/>
    <w:basedOn w:val="VerbatimChar"/>
    <w:rPr>
      <w:color w:val="007020"/>
    </w:rPr>
  </w:style>
  <w:style w:type="character" w:customStyle="1" w:styleId="FunctionTok">
    <w:name w:val="FunctionTok"/>
    <w:basedOn w:val="VerbatimChar"/>
    <w:rPr>
      <w:color w:val="06287e"/>
    </w:rPr>
  </w:style>
  <w:style w:type="character" w:customStyle="1" w:styleId="VariableTok">
    <w:name w:val="VariableTok"/>
    <w:basedOn w:val="VerbatimChar"/>
    <w:rPr>
      <w:color w:val="19177c"/>
    </w:rPr>
  </w:style>
  <w:style w:type="character" w:customStyle="1" w:styleId="ControlFlowTok">
    <w:name w:val="ControlFlowTok"/>
    <w:basedOn w:val="VerbatimChar"/>
    <w:rPr>
      <w:b/>
      <w:color w:val="007020"/>
    </w:rPr>
  </w:style>
  <w:style w:type="character" w:customStyle="1" w:styleId="OperatorTok">
    <w:name w:val="OperatorTok"/>
    <w:basedOn w:val="VerbatimChar"/>
    <w:rPr>
      <w:color w:val="666666"/>
    </w:rPr>
  </w:style>
  <w:style w:type="character" w:customStyle="1" w:styleId="BuiltInTok">
    <w:name w:val="BuiltInTok"/>
    <w:basedOn w:val="VerbatimChar"/>
    <w:rPr>
      <w:color w:val="008000"/>
    </w:rPr>
  </w:style>
  <w:style w:type="character" w:customStyle="1" w:styleId="ExtensionTok">
    <w:name w:val="ExtensionTok"/>
    <w:basedOn w:val="VerbatimChar"/>
    <w:rPr/>
  </w:style>
  <w:style w:type="character" w:customStyle="1" w:styleId="PreprocessorTok">
    <w:name w:val="PreprocessorTok"/>
    <w:basedOn w:val="VerbatimChar"/>
    <w:rPr>
      <w:color w:val="bc7a00"/>
    </w:rPr>
  </w:style>
  <w:style w:type="character" w:customStyle="1" w:styleId="AttributeTok">
    <w:name w:val="AttributeTok"/>
    <w:basedOn w:val="VerbatimChar"/>
    <w:rPr>
      <w:color w:val="7d9029"/>
    </w:rPr>
  </w:style>
  <w:style w:type="character" w:customStyle="1" w:styleId="RegionMarkerTok">
    <w:name w:val="RegionMarkerTok"/>
    <w:basedOn w:val="VerbatimChar"/>
    <w:rPr/>
  </w:style>
  <w:style w:type="character" w:customStyle="1" w:styleId="InformationTok">
    <w:name w:val="InformationTok"/>
    <w:basedOn w:val="VerbatimChar"/>
    <w:rPr>
      <w:b/>
      <w:i/>
      <w:color w:val="60a0b0"/>
    </w:rPr>
  </w:style>
  <w:style w:type="character" w:customStyle="1" w:styleId="WarningTok">
    <w:name w:val="WarningTok"/>
    <w:basedOn w:val="VerbatimChar"/>
    <w:rPr>
      <w:b/>
      <w:i/>
      <w:color w:val="60a0b0"/>
    </w:rPr>
  </w:style>
  <w:style w:type="character" w:customStyle="1" w:styleId="AlertTok">
    <w:name w:val="AlertTok"/>
    <w:basedOn w:val="VerbatimChar"/>
    <w:rPr>
      <w:b/>
      <w:color w:val="ff0000"/>
    </w:rPr>
  </w:style>
  <w:style w:type="character" w:customStyle="1" w:styleId="ErrorTok">
    <w:name w:val="ErrorTok"/>
    <w:basedOn w:val="VerbatimChar"/>
    <w:rPr>
      <w:b/>
      <w:color w:val="ff0000"/>
    </w:rPr>
  </w:style>
  <w:style w:type="character" w:customStyle="1" w:styleId="NormalTok">
    <w:name w:val="NormalTok"/>
    <w:basedOn w:val="VerbatimChar"/>
    <w:rPr/>
  </w:style>
  <w:style w:type="paragraph" w:customStyle="1" w:styleId="PartTitle">
    <w:name w:val="Part Title"/>
    <w:pPr>
      <w:spacing w:before="320" w:after="360"/>
      <w:jc w:val="center"/>
    </w:pPr>
    <w:rPr>
      <w:rFonts w:ascii="Noto Sans" w:hAnsi="Noto Sans" w:eastAsia="Noto Sans" w:cs="Noto Sans"/>
      <w:b/>
      <w:color w:val="008F87"/>
      <w:sz w:val="56"/>
    </w:rPr>
  </w:style>
  <w:style w:type="paragraph" w:customStyle="1" w:styleId="PartTagline">
    <w:name w:val="Part Tagline"/>
    <w:pPr>
      <w:spacing w:before="280" w:after="0"/>
      <w:jc w:val="center"/>
    </w:pPr>
    <w:rPr>
      <w:rFonts w:ascii="Noto Sans" w:hAnsi="Noto Sans" w:eastAsia="Noto Sans" w:cs="Noto Sans"/>
      <w:b/>
      <w:color w:val="0A2342"/>
      <w:sz w:val="21"/>
    </w:rPr>
  </w:style>
</w:styles>
</file>

<file path=word/webSettings.xml><?xml version="1.0" encoding="utf-8"?>
<ns0:webSettings xmlns:ns0="http://schemas.openxmlformats.org/wordprocessingml/2006/main">
  <ns0:allowPNG/>
  <ns0:doNotSaveAsSingleFile/>
</ns0:webSettings>
</file>

<file path=word/_rels/document.xml.rels><?xml version='1.0' encoding='UTF-8' standalone='yes'?>
<Relationships xmlns="http://schemas.openxmlformats.org/package/2006/relationships"><Relationship Id="rId1" Type="http://schemas.openxmlformats.org/officeDocument/2006/relationships/numbering" Target="numbering.xml"/><Relationship Id="rId2" Type="http://schemas.openxmlformats.org/officeDocument/2006/relationships/styles" Target="styles.xml"/><Relationship Id="rId3" Type="http://schemas.openxmlformats.org/officeDocument/2006/relationships/settings" Target="settings.xml"/><Relationship Id="rId4" Type="http://schemas.openxmlformats.org/officeDocument/2006/relationships/webSettings" Target="webSettings.xml"/><Relationship Id="rId5" Type="http://schemas.openxmlformats.org/officeDocument/2006/relationships/fontTable" Target="fontTable.xml"/><Relationship Id="rId6" Type="http://schemas.openxmlformats.org/officeDocument/2006/relationships/theme" Target="theme/theme1.xml"/><Relationship Id="rId7" Type="http://schemas.openxmlformats.org/officeDocument/2006/relationships/footnotes" Target="footnotes.xml"/><Relationship Id="rId8" Type="http://schemas.openxmlformats.org/officeDocument/2006/relationships/comments" Target="comments.xml"/><Relationship Id="rId20" Type="http://schemas.openxmlformats.org/officeDocument/2006/relationships/image" Target="media/rId20.png"/><Relationship Id="rId38" Type="http://schemas.openxmlformats.org/officeDocument/2006/relationships/image" Target="media/rId38.png"/><Relationship Id="rId41" Type="http://schemas.openxmlformats.org/officeDocument/2006/relationships/image" Target="media/rId41.png"/><Relationship Id="rId77" Type="http://schemas.openxmlformats.org/officeDocument/2006/relationships/image" Target="media/rId77.png"/><Relationship Id="rId94" Type="http://schemas.openxmlformats.org/officeDocument/2006/relationships/image" Target="media/rId94.png"/><Relationship Id="rId111" Type="http://schemas.openxmlformats.org/officeDocument/2006/relationships/image" Target="media/rId111.png"/><Relationship Id="rId128" Type="http://schemas.openxmlformats.org/officeDocument/2006/relationships/image" Target="media/rId128.png"/><Relationship Id="rId60" Type="http://schemas.openxmlformats.org/officeDocument/2006/relationships/image" Target="media/rId60.png"/><Relationship Id="rId162" Type="http://schemas.openxmlformats.org/officeDocument/2006/relationships/image" Target="media/rId162.png"/><Relationship Id="rId180" Type="http://schemas.openxmlformats.org/officeDocument/2006/relationships/image" Target="media/rId180.png"/><Relationship Id="rId197" Type="http://schemas.openxmlformats.org/officeDocument/2006/relationships/image" Target="media/rId197.png"/><Relationship Id="rId214" Type="http://schemas.openxmlformats.org/officeDocument/2006/relationships/image" Target="media/rId214.png"/><Relationship Id="rId231" Type="http://schemas.openxmlformats.org/officeDocument/2006/relationships/image" Target="media/rId231.png"/><Relationship Id="rId249" Type="http://schemas.openxmlformats.org/officeDocument/2006/relationships/image" Target="media/rId249.png"/><Relationship Id="rId252" Type="http://schemas.openxmlformats.org/officeDocument/2006/relationships/image" Target="media/rId252.png"/><Relationship Id="rId287" Type="http://schemas.openxmlformats.org/officeDocument/2006/relationships/image" Target="media/rId287.png"/><Relationship Id="rId290" Type="http://schemas.openxmlformats.org/officeDocument/2006/relationships/image" Target="media/rId290.png"/><Relationship Id="rId307" Type="http://schemas.openxmlformats.org/officeDocument/2006/relationships/image" Target="media/rId307.png"/><Relationship Id="rId329" Type="http://schemas.openxmlformats.org/officeDocument/2006/relationships/image" Target="media/rId329.png"/><Relationship Id="rId332" Type="http://schemas.openxmlformats.org/officeDocument/2006/relationships/image" Target="media/rId332.png"/><Relationship Id="rId350" Type="http://schemas.openxmlformats.org/officeDocument/2006/relationships/image" Target="media/rId350.png"/><Relationship Id="rId353" Type="http://schemas.openxmlformats.org/officeDocument/2006/relationships/image" Target="media/rId353.png"/><Relationship Id="rId371" Type="http://schemas.openxmlformats.org/officeDocument/2006/relationships/image" Target="media/rId371.png"/><Relationship Id="rId389" Type="http://schemas.openxmlformats.org/officeDocument/2006/relationships/image" Target="media/rId389.png"/><Relationship Id="rId392" Type="http://schemas.openxmlformats.org/officeDocument/2006/relationships/image" Target="media/rId392.png"/><Relationship Id="rId395" Type="http://schemas.openxmlformats.org/officeDocument/2006/relationships/image" Target="media/rId395.png"/><Relationship Id="rId413" Type="http://schemas.openxmlformats.org/officeDocument/2006/relationships/image" Target="media/rId413.png"/><Relationship Id="rId416" Type="http://schemas.openxmlformats.org/officeDocument/2006/relationships/image" Target="media/rId416.png"/><Relationship Id="rId434" Type="http://schemas.openxmlformats.org/officeDocument/2006/relationships/image" Target="media/rId434.png"/><Relationship Id="rId437" Type="http://schemas.openxmlformats.org/officeDocument/2006/relationships/image" Target="media/rId437.png"/><Relationship Id="rId440" Type="http://schemas.openxmlformats.org/officeDocument/2006/relationships/image" Target="media/rId440.png"/><Relationship Id="rId458" Type="http://schemas.openxmlformats.org/officeDocument/2006/relationships/image" Target="media/rId458.png"/><Relationship Id="rId461" Type="http://schemas.openxmlformats.org/officeDocument/2006/relationships/image" Target="media/rId461.png"/><Relationship Id="rId464" Type="http://schemas.openxmlformats.org/officeDocument/2006/relationships/image" Target="media/rId464.png"/><Relationship Id="rId467" Type="http://schemas.openxmlformats.org/officeDocument/2006/relationships/image" Target="media/rId467.png"/><Relationship Id="rId485" Type="http://schemas.openxmlformats.org/officeDocument/2006/relationships/image" Target="media/rId485.png"/><Relationship Id="rId488" Type="http://schemas.openxmlformats.org/officeDocument/2006/relationships/image" Target="media/rId488.png"/><Relationship Id="rId491" Type="http://schemas.openxmlformats.org/officeDocument/2006/relationships/image" Target="media/rId491.png"/><Relationship Id="rId494" Type="http://schemas.openxmlformats.org/officeDocument/2006/relationships/image" Target="media/rId494.png"/><Relationship Id="rId512" Type="http://schemas.openxmlformats.org/officeDocument/2006/relationships/image" Target="media/rId512.png"/><Relationship Id="rId515" Type="http://schemas.openxmlformats.org/officeDocument/2006/relationships/image" Target="media/rId515.png"/><Relationship Id="rId518" Type="http://schemas.openxmlformats.org/officeDocument/2006/relationships/image" Target="media/rId518.png"/><Relationship Id="rId536" Type="http://schemas.openxmlformats.org/officeDocument/2006/relationships/image" Target="media/rId536.png"/><Relationship Id="rId539" Type="http://schemas.openxmlformats.org/officeDocument/2006/relationships/image" Target="media/rId539.png"/><Relationship Id="rId542" Type="http://schemas.openxmlformats.org/officeDocument/2006/relationships/image" Target="media/rId542.png"/><Relationship Id="rId545" Type="http://schemas.openxmlformats.org/officeDocument/2006/relationships/image" Target="media/rId545.png"/><Relationship Id="rId548" Type="http://schemas.openxmlformats.org/officeDocument/2006/relationships/image" Target="media/rId548.png"/><Relationship Id="rId566" Type="http://schemas.openxmlformats.org/officeDocument/2006/relationships/image" Target="media/rId566.png"/><Relationship Id="rId584" Type="http://schemas.openxmlformats.org/officeDocument/2006/relationships/image" Target="media/rId584.png"/><Relationship Id="rId587" Type="http://schemas.openxmlformats.org/officeDocument/2006/relationships/image" Target="media/rId587.png"/><Relationship Id="rId605" Type="http://schemas.openxmlformats.org/officeDocument/2006/relationships/image" Target="media/rId605.png"/><Relationship Id="rId608" Type="http://schemas.openxmlformats.org/officeDocument/2006/relationships/image" Target="media/rId608.png"/><Relationship Id="rId611" Type="http://schemas.openxmlformats.org/officeDocument/2006/relationships/image" Target="media/rId611.png"/><Relationship Id="rId614" Type="http://schemas.openxmlformats.org/officeDocument/2006/relationships/image" Target="media/rId614.png"/><Relationship Id="rId617" Type="http://schemas.openxmlformats.org/officeDocument/2006/relationships/image" Target="media/rId617.png"/><Relationship Id="rId620" Type="http://schemas.openxmlformats.org/officeDocument/2006/relationships/image" Target="media/rId620.png"/><Relationship Id="rId638" Type="http://schemas.openxmlformats.org/officeDocument/2006/relationships/image" Target="media/rId638.png"/><Relationship Id="rId641" Type="http://schemas.openxmlformats.org/officeDocument/2006/relationships/image" Target="media/rId641.png"/><Relationship Id="rId659" Type="http://schemas.openxmlformats.org/officeDocument/2006/relationships/image" Target="media/rId659.png"/><Relationship Id="rId662" Type="http://schemas.openxmlformats.org/officeDocument/2006/relationships/image" Target="media/rId662.png"/><Relationship Id="rId680" Type="http://schemas.openxmlformats.org/officeDocument/2006/relationships/image" Target="media/rId680.png"/><Relationship Id="rId683" Type="http://schemas.openxmlformats.org/officeDocument/2006/relationships/image" Target="media/rId683.png"/><Relationship Id="rId686" Type="http://schemas.openxmlformats.org/officeDocument/2006/relationships/image" Target="media/rId686.png"/><Relationship Id="rId703" Type="http://schemas.openxmlformats.org/officeDocument/2006/relationships/image" Target="media/rId703.png"/><Relationship Id="rId706" Type="http://schemas.openxmlformats.org/officeDocument/2006/relationships/image" Target="media/rId706.png"/><Relationship Id="rId310" Type="http://schemas.openxmlformats.org/officeDocument/2006/relationships/image" Target="media/rId310.png"/><Relationship Id="rId725" Type="http://schemas.openxmlformats.org/officeDocument/2006/relationships/image" Target="media/rId725.png"/><Relationship Id="rId728" Type="http://schemas.openxmlformats.org/officeDocument/2006/relationships/image" Target="media/rId728.png"/><Relationship Id="rId731" Type="http://schemas.openxmlformats.org/officeDocument/2006/relationships/image" Target="media/rId731.png"/><Relationship Id="rId844" Type="http://schemas.openxmlformats.org/officeDocument/2006/relationships/hyperlink" Target="https://datahelpdesk.worldbank.org/knowledgebase/articles/889392" TargetMode="External"/><Relationship Id="rId829" Type="http://schemas.openxmlformats.org/officeDocument/2006/relationships/hyperlink" Target="https://docs.python.org/3.14/" TargetMode="External"/><Relationship Id="rId831" Type="http://schemas.openxmlformats.org/officeDocument/2006/relationships/hyperlink" Target="https://docs.pytorch.org/docs/stable/" TargetMode="External"/><Relationship Id="rId817" Type="http://schemas.openxmlformats.org/officeDocument/2006/relationships/hyperlink" Target="https://doi.org/10.1016/0165-1889(88)90041-3" TargetMode="External"/><Relationship Id="rId809" Type="http://schemas.openxmlformats.org/officeDocument/2006/relationships/hyperlink" Target="https://doi.org/10.1016/0304-4076(86)90063-1" TargetMode="External"/><Relationship Id="rId807" Type="http://schemas.openxmlformats.org/officeDocument/2006/relationships/hyperlink" Target="https://doi.org/10.1086/260062" TargetMode="External"/><Relationship Id="rId803" Type="http://schemas.openxmlformats.org/officeDocument/2006/relationships/hyperlink" Target="https://doi.org/10.1111/1467-9965.00068" TargetMode="External"/><Relationship Id="rId811" Type="http://schemas.openxmlformats.org/officeDocument/2006/relationships/hyperlink" Target="https://doi.org/10.2307/1912773" TargetMode="External"/><Relationship Id="rId823" Type="http://schemas.openxmlformats.org/officeDocument/2006/relationships/hyperlink" Target="https://doi.org/10.2307/2938260" TargetMode="External"/><Relationship Id="rId821" Type="http://schemas.openxmlformats.org/officeDocument/2006/relationships/hyperlink" Target="https://doi.org/10.2307/3003143" TargetMode="External"/><Relationship Id="rId23" Type="http://schemas.openxmlformats.org/officeDocument/2006/relationships/hyperlink" Target="https://econometrics.safavim.com/" TargetMode="External"/><Relationship Id="rId813" Type="http://schemas.openxmlformats.org/officeDocument/2006/relationships/hyperlink" Target="https://fred.stlouisfed.org/docs/api/fred/" TargetMode="External"/><Relationship Id="rId835" Type="http://schemas.openxmlformats.org/officeDocument/2006/relationships/hyperlink" Target="https://github.com/SharifiZarchi/IntroAI" TargetMode="External"/><Relationship Id="rId819" Type="http://schemas.openxmlformats.org/officeDocument/2006/relationships/hyperlink" Target="https://matplotlib.org/stable/" TargetMode="External"/><Relationship Id="rId825" Type="http://schemas.openxmlformats.org/officeDocument/2006/relationships/hyperlink" Target="https://numpy.org/doc/" TargetMode="External"/><Relationship Id="rId827" Type="http://schemas.openxmlformats.org/officeDocument/2006/relationships/hyperlink" Target="https://pandas.pydata.org/docs/" TargetMode="External"/><Relationship Id="rId833" Type="http://schemas.openxmlformats.org/officeDocument/2006/relationships/hyperlink" Target="https://scikit-learn.org/stable/user_guide.html" TargetMode="External"/><Relationship Id="rId805" Type="http://schemas.openxmlformats.org/officeDocument/2006/relationships/hyperlink" Target="https://www.bankofcanada.ca/valet/docs" TargetMode="External"/><Relationship Id="rId837" Type="http://schemas.openxmlformats.org/officeDocument/2006/relationships/hyperlink" Target="https://www.statcan.gc.ca/en/developers/wds" TargetMode="External"/><Relationship Id="rId839" Type="http://schemas.openxmlformats.org/officeDocument/2006/relationships/hyperlink" Target="https://www.statsmodels.org/stable/" TargetMode="External"/><Relationship Id="rId9" Type="http://schemas.openxmlformats.org/officeDocument/2006/relationships/image" Target="media/image1.png"/><Relationship Id="rId10" Type="http://schemas.openxmlformats.org/officeDocument/2006/relationships/header" Target="header1.xml"/><Relationship Id="rId11" Type="http://schemas.openxmlformats.org/officeDocument/2006/relationships/footer" Target="footer1.xml"/><Relationship Id="rId12" Type="http://schemas.openxmlformats.org/officeDocument/2006/relationships/header" Target="header2.xml"/><Relationship Id="rId13" Type="http://schemas.openxmlformats.org/officeDocument/2006/relationships/footer" Target="footer2.xml"/><Relationship Id="rId14" Type="http://schemas.openxmlformats.org/officeDocument/2006/relationships/header" Target="header3.xml"/><Relationship Id="rId15" Type="http://schemas.openxmlformats.org/officeDocument/2006/relationships/footer" Target="footer3.xml"/><Relationship Id="rId16" Type="http://schemas.openxmlformats.org/officeDocument/2006/relationships/image" Target="media/image2.png"/><Relationship Id="rId17" Type="http://schemas.openxmlformats.org/officeDocument/2006/relationships/image" Target="media/image3.png"/><Relationship Id="rId18" Type="http://schemas.openxmlformats.org/officeDocument/2006/relationships/image" Target="media/image4.png"/><Relationship Id="rId19" Type="http://schemas.openxmlformats.org/officeDocument/2006/relationships/image" Target="media/image5.png"/><Relationship Id="rId21" Type="http://schemas.openxmlformats.org/officeDocument/2006/relationships/image" Target="media/image6.png"/><Relationship Id="rId22" Type="http://schemas.openxmlformats.org/officeDocument/2006/relationships/image" Target="media/image7.png"/><Relationship Id="rId24" Type="http://schemas.openxmlformats.org/officeDocument/2006/relationships/image" Target="media/image8.png"/><Relationship Id="rId25" Type="http://schemas.openxmlformats.org/officeDocument/2006/relationships/image" Target="media/image9.png"/><Relationship Id="rId26" Type="http://schemas.openxmlformats.org/officeDocument/2006/relationships/image" Target="media/image10.png"/><Relationship Id="rId27" Type="http://schemas.openxmlformats.org/officeDocument/2006/relationships/image" Target="media/image11.png"/><Relationship Id="rId28" Type="http://schemas.openxmlformats.org/officeDocument/2006/relationships/image" Target="media/image12.png"/><Relationship Id="rId29" Type="http://schemas.openxmlformats.org/officeDocument/2006/relationships/image" Target="media/image13.png"/><Relationship Id="rId30" Type="http://schemas.openxmlformats.org/officeDocument/2006/relationships/image" Target="media/image14.png"/><Relationship Id="rId31" Type="http://schemas.openxmlformats.org/officeDocument/2006/relationships/image" Target="media/image15.png"/><Relationship Id="rId32" Type="http://schemas.openxmlformats.org/officeDocument/2006/relationships/image" Target="media/image16.png"/><Relationship Id="rId33" Type="http://schemas.openxmlformats.org/officeDocument/2006/relationships/image" Target="media/image17.png"/><Relationship Id="rId34" Type="http://schemas.openxmlformats.org/officeDocument/2006/relationships/image" Target="media/image18.png"/><Relationship Id="rId35" Type="http://schemas.openxmlformats.org/officeDocument/2006/relationships/image" Target="media/image19.png"/><Relationship Id="rId36" Type="http://schemas.openxmlformats.org/officeDocument/2006/relationships/image" Target="media/image21.png"/></Relationships>
</file>

<file path=word/_rels/footnotes.xml.rels><?xml version='1.0' encoding='UTF-8' standalone='yes'?>
<Relationships xmlns="http://schemas.openxmlformats.org/package/2006/relationships"><Relationship Id="rId844" Type="http://schemas.openxmlformats.org/officeDocument/2006/relationships/hyperlink" Target="https://datahelpdesk.worldbank.org/knowledgebase/articles/889392" TargetMode="External"/><Relationship Id="rId829" Type="http://schemas.openxmlformats.org/officeDocument/2006/relationships/hyperlink" Target="https://docs.python.org/3.14/" TargetMode="External"/><Relationship Id="rId831" Type="http://schemas.openxmlformats.org/officeDocument/2006/relationships/hyperlink" Target="https://docs.pytorch.org/docs/stable/" TargetMode="External"/><Relationship Id="rId817" Type="http://schemas.openxmlformats.org/officeDocument/2006/relationships/hyperlink" Target="https://doi.org/10.1016/0165-1889(88)90041-3" TargetMode="External"/><Relationship Id="rId809" Type="http://schemas.openxmlformats.org/officeDocument/2006/relationships/hyperlink" Target="https://doi.org/10.1016/0304-4076(86)90063-1" TargetMode="External"/><Relationship Id="rId807" Type="http://schemas.openxmlformats.org/officeDocument/2006/relationships/hyperlink" Target="https://doi.org/10.1086/260062" TargetMode="External"/><Relationship Id="rId803" Type="http://schemas.openxmlformats.org/officeDocument/2006/relationships/hyperlink" Target="https://doi.org/10.1111/1467-9965.00068" TargetMode="External"/><Relationship Id="rId811" Type="http://schemas.openxmlformats.org/officeDocument/2006/relationships/hyperlink" Target="https://doi.org/10.2307/1912773" TargetMode="External"/><Relationship Id="rId823" Type="http://schemas.openxmlformats.org/officeDocument/2006/relationships/hyperlink" Target="https://doi.org/10.2307/2938260" TargetMode="External"/><Relationship Id="rId821" Type="http://schemas.openxmlformats.org/officeDocument/2006/relationships/hyperlink" Target="https://doi.org/10.2307/3003143" TargetMode="External"/><Relationship Id="rId23" Type="http://schemas.openxmlformats.org/officeDocument/2006/relationships/hyperlink" Target="https://econometrics.safavim.com/" TargetMode="External"/><Relationship Id="rId813" Type="http://schemas.openxmlformats.org/officeDocument/2006/relationships/hyperlink" Target="https://fred.stlouisfed.org/docs/api/fred/" TargetMode="External"/><Relationship Id="rId835" Type="http://schemas.openxmlformats.org/officeDocument/2006/relationships/hyperlink" Target="https://github.com/SharifiZarchi/IntroAI" TargetMode="External"/><Relationship Id="rId819" Type="http://schemas.openxmlformats.org/officeDocument/2006/relationships/hyperlink" Target="https://matplotlib.org/stable/" TargetMode="External"/><Relationship Id="rId825" Type="http://schemas.openxmlformats.org/officeDocument/2006/relationships/hyperlink" Target="https://numpy.org/doc/" TargetMode="External"/><Relationship Id="rId827" Type="http://schemas.openxmlformats.org/officeDocument/2006/relationships/hyperlink" Target="https://pandas.pydata.org/docs/" TargetMode="External"/><Relationship Id="rId833" Type="http://schemas.openxmlformats.org/officeDocument/2006/relationships/hyperlink" Target="https://scikit-learn.org/stable/user_guide.html" TargetMode="External"/><Relationship Id="rId805" Type="http://schemas.openxmlformats.org/officeDocument/2006/relationships/hyperlink" Target="https://www.bankofcanada.ca/valet/docs" TargetMode="External"/><Relationship Id="rId837" Type="http://schemas.openxmlformats.org/officeDocument/2006/relationships/hyperlink" Target="https://www.statcan.gc.ca/en/developers/wds" TargetMode="External"/><Relationship Id="rId839" Type="http://schemas.openxmlformats.org/officeDocument/2006/relationships/hyperlink" Target="https://www.statsmodels.org/stable/"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Words>83</Words>
  <SharedDoc>false</SharedDoc>
  <HyperlinksChanged>false</HyperlinksChanged>
  <Lines>12</Lines>
  <AppVersion>12.0000</AppVersion>
  <LinksUpToDate>false</LinksUpToDate>
  <Application>Microsoft Word 12.0.0</Application>
  <CharactersWithSpaces>583</CharactersWithSpaces>
  <Template>Normal.dotm</Template>
  <DocSecurity>0</DocSecurity>
  <TotalTime>6</TotalTime>
  <ScaleCrop>false</ScaleCrop>
  <Characters>475</Characters>
  <Paragraphs>8</Paragraphs>
  <Pages>1</Pages>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Fundamentals of Python for Econometrics</dc:title>
  <dc:creator>Mohammad Safavi, Ph.D. | Ceteris LAB</dc:creator>
  <cp:keywords>Python, econometrics, economics, causal inference, machine learning, deep learning, forecasting, Ceteris LAB</cp:keywords>
  <dcterms:created xsi:type="dcterms:W3CDTF">2026-08-15T21:53:12Z</dcterms:created>
  <dcterms:modified xsi:type="dcterms:W3CDTF">2026-08-15T21:53:12Z</dcterms:modified>
  <dc:subject>Economics, Econometrics, Causal Inference, Forecasting, Machine Learning, and Deep Learning</dc:subject>
  <dc:description>Complete Word edition prepared for Ceteris LAB, August 2026.</dc:descript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ibliography">
    <vt:lpwstr>references/references.bib</vt:lpwstr>
  </property>
  <property fmtid="{D5CDD505-2E9C-101B-9397-08002B2CF9AE}" pid="3" name="subtitle">
    <vt:lpwstr>Student Notes for Economics, Econometrics, Finance, Data Analysis, and Artificial Intelligence</vt:lpwstr>
  </property>
</Properties>
</file>